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604" w:rsidRPr="00605195" w:rsidRDefault="003A48F4">
      <w:pPr>
        <w:rPr>
          <w:b/>
        </w:rPr>
      </w:pPr>
      <w:r w:rsidRPr="00605195">
        <w:rPr>
          <w:b/>
        </w:rPr>
        <w:t>2021 Compliance Supplement – Updated</w:t>
      </w:r>
    </w:p>
    <w:p w:rsidR="003A48F4" w:rsidRDefault="003A48F4" w:rsidP="003A48F4">
      <w:pPr>
        <w:pStyle w:val="ListParagraph"/>
        <w:numPr>
          <w:ilvl w:val="0"/>
          <w:numId w:val="1"/>
        </w:numPr>
      </w:pPr>
      <w:r>
        <w:t>Part 8, Appendix IV. Internal Reference Tables - the first page was left out of the original version and added back.  Follow is the added text.</w:t>
      </w:r>
    </w:p>
    <w:p w:rsidR="00605195" w:rsidRDefault="003A48F4" w:rsidP="00605195">
      <w:pPr>
        <w:autoSpaceDE w:val="0"/>
        <w:autoSpaceDN w:val="0"/>
        <w:adjustRightInd w:val="0"/>
        <w:spacing w:after="0" w:line="240" w:lineRule="auto"/>
        <w:rPr>
          <w:rFonts w:ascii="TimesNewRomanPS-BoldMT" w:hAnsi="TimesNewRomanPS-BoldMT" w:cs="TimesNewRomanPS-BoldMT"/>
          <w:b/>
          <w:bCs/>
          <w:sz w:val="24"/>
          <w:szCs w:val="24"/>
        </w:rPr>
      </w:pPr>
      <w:r w:rsidRPr="00605195">
        <w:rPr>
          <w:b/>
          <w:bCs/>
          <w:color w:val="00B0F0"/>
        </w:rPr>
        <w:t>“</w:t>
      </w:r>
      <w:r w:rsidR="00605195">
        <w:rPr>
          <w:rFonts w:ascii="TimesNewRomanPS-BoldMT" w:hAnsi="TimesNewRomanPS-BoldMT" w:cs="TimesNewRomanPS-BoldMT"/>
          <w:b/>
          <w:bCs/>
          <w:sz w:val="24"/>
          <w:szCs w:val="24"/>
        </w:rPr>
        <w:t>APPENDIX IV</w:t>
      </w:r>
    </w:p>
    <w:p w:rsidR="00605195" w:rsidRDefault="00605195" w:rsidP="00605195">
      <w:pPr>
        <w:rPr>
          <w:b/>
          <w:bCs/>
          <w:color w:val="00B0F0"/>
        </w:rPr>
      </w:pPr>
      <w:r>
        <w:rPr>
          <w:rFonts w:ascii="TimesNewRomanPS-BoldMT" w:hAnsi="TimesNewRomanPS-BoldMT" w:cs="TimesNewRomanPS-BoldMT"/>
          <w:b/>
          <w:bCs/>
          <w:sz w:val="24"/>
          <w:szCs w:val="24"/>
        </w:rPr>
        <w:t>INTERNAL REFERENCE TABLES</w:t>
      </w:r>
    </w:p>
    <w:p w:rsidR="003A48F4" w:rsidRPr="00327656" w:rsidRDefault="003A48F4" w:rsidP="003A48F4">
      <w:pPr>
        <w:rPr>
          <w:b/>
          <w:bCs/>
          <w:color w:val="00B0F0"/>
        </w:rPr>
      </w:pPr>
      <w:bookmarkStart w:id="0" w:name="_GoBack"/>
      <w:bookmarkEnd w:id="0"/>
      <w:r w:rsidRPr="00605195">
        <w:rPr>
          <w:b/>
          <w:bCs/>
          <w:color w:val="00B0F0"/>
        </w:rPr>
        <w:t>P</w:t>
      </w:r>
      <w:r w:rsidRPr="00327656">
        <w:rPr>
          <w:b/>
          <w:bCs/>
          <w:color w:val="00B0F0"/>
        </w:rPr>
        <w:t>rograms with “Higher Risk” Designation</w:t>
      </w:r>
    </w:p>
    <w:p w:rsidR="003A48F4" w:rsidRPr="00327656" w:rsidRDefault="003A48F4" w:rsidP="003A48F4">
      <w:pPr>
        <w:rPr>
          <w:color w:val="00B0F0"/>
        </w:rPr>
      </w:pPr>
      <w:r w:rsidRPr="00327656">
        <w:rPr>
          <w:color w:val="00B0F0"/>
        </w:rPr>
        <w:t>Uniform Guidance section 200.519(c)(2) states that “Federal agencies, with the concurrence of OMB, may identify Federal programs that are higher risk. It also states that OMB will provide this identification in the Compliance Supplement.”</w:t>
      </w:r>
    </w:p>
    <w:p w:rsidR="003A48F4" w:rsidRPr="00327656" w:rsidRDefault="003A48F4" w:rsidP="003A48F4">
      <w:pPr>
        <w:rPr>
          <w:color w:val="00B0F0"/>
        </w:rPr>
      </w:pPr>
      <w:r w:rsidRPr="00327656">
        <w:rPr>
          <w:color w:val="00B0F0"/>
        </w:rPr>
        <w:t>As a result of the COVID-19 pandemic, many new federal programs have been established and funding has been added to existing federal programs from the following Acts:</w:t>
      </w:r>
    </w:p>
    <w:p w:rsidR="003A48F4" w:rsidRPr="00327656" w:rsidRDefault="003A48F4" w:rsidP="003A48F4">
      <w:pPr>
        <w:rPr>
          <w:color w:val="00B0F0"/>
        </w:rPr>
      </w:pPr>
      <w:r w:rsidRPr="00327656">
        <w:rPr>
          <w:color w:val="00B0F0"/>
        </w:rPr>
        <w:t>• Coronavirus Preparedness and Response Supplemental Appropriations Act</w:t>
      </w:r>
    </w:p>
    <w:p w:rsidR="003A48F4" w:rsidRPr="00327656" w:rsidRDefault="003A48F4" w:rsidP="003A48F4">
      <w:pPr>
        <w:rPr>
          <w:color w:val="00B0F0"/>
        </w:rPr>
      </w:pPr>
      <w:r w:rsidRPr="00327656">
        <w:rPr>
          <w:color w:val="00B0F0"/>
        </w:rPr>
        <w:t>• Families First Coronavirus Response Act</w:t>
      </w:r>
    </w:p>
    <w:p w:rsidR="003A48F4" w:rsidRPr="00327656" w:rsidRDefault="003A48F4" w:rsidP="003A48F4">
      <w:pPr>
        <w:rPr>
          <w:color w:val="00B0F0"/>
        </w:rPr>
      </w:pPr>
      <w:r w:rsidRPr="00327656">
        <w:rPr>
          <w:color w:val="00B0F0"/>
        </w:rPr>
        <w:t>• Coronavirus Aid, Relief, and Economic Security Act (CARES Act)</w:t>
      </w:r>
    </w:p>
    <w:p w:rsidR="003A48F4" w:rsidRPr="00327656" w:rsidRDefault="003A48F4" w:rsidP="003A48F4">
      <w:pPr>
        <w:rPr>
          <w:color w:val="00B0F0"/>
        </w:rPr>
      </w:pPr>
      <w:r w:rsidRPr="00327656">
        <w:rPr>
          <w:color w:val="00B0F0"/>
        </w:rPr>
        <w:t>• Coronavirus Response and Relief Supplemental Appropriations Act (CRRSAA)</w:t>
      </w:r>
    </w:p>
    <w:p w:rsidR="003A48F4" w:rsidRPr="00327656" w:rsidRDefault="003A48F4" w:rsidP="003A48F4">
      <w:pPr>
        <w:rPr>
          <w:color w:val="00B0F0"/>
        </w:rPr>
      </w:pPr>
      <w:r w:rsidRPr="00327656">
        <w:rPr>
          <w:color w:val="00B0F0"/>
        </w:rPr>
        <w:t>• American Rescue Plan Act (ARP)</w:t>
      </w:r>
    </w:p>
    <w:p w:rsidR="003A48F4" w:rsidRPr="00327656" w:rsidRDefault="003A48F4" w:rsidP="003A48F4">
      <w:pPr>
        <w:rPr>
          <w:color w:val="00B0F0"/>
        </w:rPr>
      </w:pPr>
      <w:r w:rsidRPr="00327656">
        <w:rPr>
          <w:color w:val="00B0F0"/>
        </w:rPr>
        <w:t>Funding arising from these sources, both to new and existing programs, is referred to as “COVID-19 funding,” or “COVID-19 programs.”</w:t>
      </w:r>
    </w:p>
    <w:p w:rsidR="003A48F4" w:rsidRPr="00327656" w:rsidRDefault="003A48F4" w:rsidP="003A48F4">
      <w:pPr>
        <w:rPr>
          <w:color w:val="00B0F0"/>
        </w:rPr>
      </w:pPr>
      <w:r w:rsidRPr="00327656">
        <w:rPr>
          <w:color w:val="00B0F0"/>
        </w:rPr>
        <w:t>While, historically, the only program with a “higher risk” designation in the Compliance Supplement has been the Medicaid cluster, due to the additional risk associated with certain COVID-19 funding, additional programs have been added to the “higher risk” list for single audits subject to the 2021 Compliance Supplement.</w:t>
      </w:r>
    </w:p>
    <w:p w:rsidR="003A48F4" w:rsidRPr="00327656" w:rsidRDefault="003A48F4" w:rsidP="003A48F4">
      <w:pPr>
        <w:rPr>
          <w:color w:val="00B0F0"/>
        </w:rPr>
      </w:pPr>
      <w:r w:rsidRPr="00327656">
        <w:rPr>
          <w:color w:val="00B0F0"/>
        </w:rPr>
        <w:t>The following section discusses “higher risk” programs and other clusters. The section is divided into ARP and non-ARP programs. This section also includes guidance on the impact of a “higher risk” designation on the major program determination process.</w:t>
      </w:r>
    </w:p>
    <w:p w:rsidR="003A48F4" w:rsidRPr="00327656" w:rsidRDefault="003A48F4" w:rsidP="003A48F4">
      <w:pPr>
        <w:rPr>
          <w:b/>
          <w:bCs/>
          <w:color w:val="00B0F0"/>
        </w:rPr>
      </w:pPr>
      <w:r w:rsidRPr="00327656">
        <w:rPr>
          <w:b/>
          <w:bCs/>
          <w:color w:val="00B0F0"/>
        </w:rPr>
        <w:t>ARP Programs</w:t>
      </w:r>
    </w:p>
    <w:p w:rsidR="003A48F4" w:rsidRPr="00327656" w:rsidRDefault="003A48F4" w:rsidP="003A48F4">
      <w:pPr>
        <w:rPr>
          <w:color w:val="00B0F0"/>
        </w:rPr>
      </w:pPr>
      <w:r w:rsidRPr="00327656">
        <w:rPr>
          <w:color w:val="00B0F0"/>
        </w:rPr>
        <w:t>All new ARP programs are considered “higher risk.” See further discussion of ARP Type A and Type B program considerations in the “Impact of Higher Risk Status on Major Program Determination” section below.</w:t>
      </w:r>
    </w:p>
    <w:p w:rsidR="003A48F4" w:rsidRPr="00327656" w:rsidRDefault="003A48F4" w:rsidP="003A48F4">
      <w:pPr>
        <w:rPr>
          <w:color w:val="00B0F0"/>
        </w:rPr>
      </w:pPr>
      <w:r w:rsidRPr="00327656">
        <w:rPr>
          <w:color w:val="00B0F0"/>
        </w:rPr>
        <w:t>OMB is currently working to identify all new ARP programs and will be posting a complete list with Assistance Listing numbers at the CFO.gov website. This list will also identify which new programs will have a program section made available in a subsequent follow-up issuance to the 2021 Compliance Supplement. There will be no new other clusters formed by ARP Assistance Listing numbers nor will any ARP Assistance Listing numbers be added to existing other clusters. See Appendix VII for more information about the planned timing of subsequent follow-up audit guidance for these programs.”</w:t>
      </w:r>
    </w:p>
    <w:p w:rsidR="003A48F4" w:rsidRDefault="003A48F4" w:rsidP="003A48F4"/>
    <w:p w:rsidR="00327656" w:rsidRPr="00327656" w:rsidRDefault="003A48F4" w:rsidP="003A48F4">
      <w:pPr>
        <w:pStyle w:val="ListParagraph"/>
        <w:numPr>
          <w:ilvl w:val="0"/>
          <w:numId w:val="1"/>
        </w:numPr>
      </w:pPr>
      <w:r>
        <w:rPr>
          <w:bCs/>
        </w:rPr>
        <w:t xml:space="preserve">For the eight programs listed in Part 8, </w:t>
      </w:r>
      <w:r w:rsidR="00327656">
        <w:rPr>
          <w:bCs/>
        </w:rPr>
        <w:t>Appendix IV as “higher risk” programs, the following note replaces the note that pertains to the Medicaid program only.</w:t>
      </w:r>
    </w:p>
    <w:p w:rsidR="00327656" w:rsidRDefault="00327656" w:rsidP="00327656">
      <w:pPr>
        <w:ind w:left="360"/>
        <w:rPr>
          <w:b/>
          <w:bCs/>
        </w:rPr>
      </w:pPr>
    </w:p>
    <w:p w:rsidR="00327656" w:rsidRPr="00327656" w:rsidRDefault="00327656" w:rsidP="00327656">
      <w:pPr>
        <w:ind w:left="360"/>
        <w:rPr>
          <w:b/>
          <w:bCs/>
          <w:color w:val="00B0F0"/>
        </w:rPr>
      </w:pPr>
      <w:r>
        <w:rPr>
          <w:rFonts w:ascii="TimesNewRomanPS-BoldMT" w:hAnsi="TimesNewRomanPS-BoldMT" w:cs="TimesNewRomanPS-BoldMT"/>
          <w:b/>
          <w:bCs/>
          <w:sz w:val="24"/>
          <w:szCs w:val="24"/>
        </w:rPr>
        <w:t>“</w:t>
      </w:r>
      <w:r w:rsidRPr="00327656">
        <w:rPr>
          <w:rFonts w:ascii="TimesNewRomanPS-BoldMT" w:hAnsi="TimesNewRomanPS-BoldMT" w:cs="TimesNewRomanPS-BoldMT"/>
          <w:b/>
          <w:bCs/>
          <w:color w:val="00B0F0"/>
          <w:sz w:val="24"/>
          <w:szCs w:val="24"/>
        </w:rPr>
        <w:t>I. PROGRAM OBJECTIVES</w:t>
      </w:r>
    </w:p>
    <w:p w:rsidR="003A48F4" w:rsidRPr="00327656" w:rsidRDefault="003A48F4" w:rsidP="00327656">
      <w:pPr>
        <w:ind w:left="360"/>
        <w:rPr>
          <w:color w:val="00B0F0"/>
        </w:rPr>
      </w:pPr>
      <w:r w:rsidRPr="00327656">
        <w:rPr>
          <w:b/>
          <w:bCs/>
          <w:color w:val="00B0F0"/>
        </w:rPr>
        <w:t xml:space="preserve">Note: </w:t>
      </w:r>
      <w:r w:rsidRPr="00327656">
        <w:rPr>
          <w:color w:val="00B0F0"/>
        </w:rPr>
        <w:t>This program is considered a “higher risk” program for 2021, pursuant to 2 CFR section 200.519(c)(2). Refer to the “Programs with Higher Risk Designation” section of Part 8, Appendix IV, Internal Reference Tables, for a discussion of the impact of the “higher risk” designation on the major program determination process.</w:t>
      </w:r>
      <w:r w:rsidR="00327656" w:rsidRPr="00327656">
        <w:rPr>
          <w:color w:val="00B0F0"/>
        </w:rPr>
        <w:t>”</w:t>
      </w:r>
    </w:p>
    <w:p w:rsidR="00327656" w:rsidRDefault="00327656" w:rsidP="00327656">
      <w:pPr>
        <w:ind w:left="360"/>
      </w:pPr>
    </w:p>
    <w:p w:rsidR="00327656" w:rsidRDefault="00327656" w:rsidP="00327656">
      <w:pPr>
        <w:ind w:left="360"/>
      </w:pPr>
      <w:r>
        <w:t xml:space="preserve">The eight programs listed in Appendix IV as “higher risk” are: </w:t>
      </w:r>
    </w:p>
    <w:p w:rsidR="00327656" w:rsidRDefault="00327656" w:rsidP="00327656">
      <w:pPr>
        <w:ind w:left="360"/>
      </w:pPr>
      <w:r>
        <w:rPr>
          <w:noProof/>
        </w:rPr>
        <w:drawing>
          <wp:inline distT="0" distB="0" distL="0" distR="0" wp14:anchorId="370B5328" wp14:editId="3A0CE0C7">
            <wp:extent cx="4908454" cy="160697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79229" cy="1630144"/>
                    </a:xfrm>
                    <a:prstGeom prst="rect">
                      <a:avLst/>
                    </a:prstGeom>
                  </pic:spPr>
                </pic:pic>
              </a:graphicData>
            </a:graphic>
          </wp:inline>
        </w:drawing>
      </w:r>
    </w:p>
    <w:p w:rsidR="00327656" w:rsidRDefault="00327656" w:rsidP="00327656">
      <w:pPr>
        <w:ind w:left="360"/>
      </w:pPr>
    </w:p>
    <w:p w:rsidR="003A48F4" w:rsidRDefault="00327656" w:rsidP="00327656">
      <w:pPr>
        <w:pStyle w:val="ListParagraph"/>
        <w:numPr>
          <w:ilvl w:val="0"/>
          <w:numId w:val="1"/>
        </w:numPr>
      </w:pPr>
      <w:r>
        <w:t>The outdated files for the</w:t>
      </w:r>
      <w:r w:rsidR="00523170">
        <w:t>se</w:t>
      </w:r>
      <w:r>
        <w:t xml:space="preserve"> two programs were included initially, they are updated with the latest update.</w:t>
      </w:r>
    </w:p>
    <w:p w:rsidR="00327656" w:rsidRDefault="00327656" w:rsidP="00327656">
      <w:pPr>
        <w:pStyle w:val="ListParagraph"/>
        <w:numPr>
          <w:ilvl w:val="1"/>
          <w:numId w:val="1"/>
        </w:numPr>
      </w:pPr>
      <w:r>
        <w:t>Assistance Listing 93.461</w:t>
      </w:r>
      <w:r w:rsidR="00523170">
        <w:t xml:space="preserve"> – Testing for the Uninsured</w:t>
      </w:r>
    </w:p>
    <w:p w:rsidR="00523170" w:rsidRDefault="00523170" w:rsidP="00327656">
      <w:pPr>
        <w:pStyle w:val="ListParagraph"/>
        <w:numPr>
          <w:ilvl w:val="1"/>
          <w:numId w:val="1"/>
        </w:numPr>
      </w:pPr>
      <w:r>
        <w:t>Part 5-3 – Student Financial Assistance Programs</w:t>
      </w:r>
    </w:p>
    <w:p w:rsidR="003A48F4" w:rsidRDefault="003A48F4"/>
    <w:sectPr w:rsidR="003A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61E4D"/>
    <w:multiLevelType w:val="hybridMultilevel"/>
    <w:tmpl w:val="681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F4"/>
    <w:rsid w:val="00327656"/>
    <w:rsid w:val="003A48F4"/>
    <w:rsid w:val="00523170"/>
    <w:rsid w:val="005F7146"/>
    <w:rsid w:val="00605195"/>
    <w:rsid w:val="00D4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2F2F"/>
  <w15:chartTrackingRefBased/>
  <w15:docId w15:val="{F29780AF-79B1-44F9-9A46-3873B84F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Hai M. EOP/OMB</dc:creator>
  <cp:keywords/>
  <dc:description/>
  <cp:lastModifiedBy>Tran, Hai M. EOP/OMB</cp:lastModifiedBy>
  <cp:revision>2</cp:revision>
  <dcterms:created xsi:type="dcterms:W3CDTF">2021-08-25T20:16:00Z</dcterms:created>
  <dcterms:modified xsi:type="dcterms:W3CDTF">2021-08-25T20:47:00Z</dcterms:modified>
</cp:coreProperties>
</file>