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CDFE2" w14:textId="3CA0D5FC" w:rsidR="00B776BC" w:rsidRDefault="00073D93" w:rsidP="49EF888D">
      <w:pPr>
        <w:spacing w:before="80"/>
        <w:ind w:left="2950" w:right="2790"/>
        <w:jc w:val="center"/>
        <w:rPr>
          <w:b/>
          <w:bCs/>
          <w:sz w:val="24"/>
          <w:szCs w:val="24"/>
        </w:rPr>
      </w:pPr>
      <w:r w:rsidRPr="49EF888D">
        <w:rPr>
          <w:b/>
          <w:bCs/>
          <w:sz w:val="24"/>
          <w:szCs w:val="24"/>
        </w:rPr>
        <w:t>DEPARTMENT</w:t>
      </w:r>
      <w:r w:rsidRPr="49EF888D">
        <w:rPr>
          <w:b/>
          <w:bCs/>
          <w:spacing w:val="-1"/>
          <w:sz w:val="24"/>
          <w:szCs w:val="24"/>
        </w:rPr>
        <w:t xml:space="preserve"> </w:t>
      </w:r>
      <w:r w:rsidRPr="49EF888D">
        <w:rPr>
          <w:b/>
          <w:bCs/>
          <w:sz w:val="24"/>
          <w:szCs w:val="24"/>
        </w:rPr>
        <w:t>OF</w:t>
      </w:r>
      <w:r w:rsidR="11ABF013" w:rsidRPr="49EF888D">
        <w:rPr>
          <w:b/>
          <w:bCs/>
          <w:sz w:val="24"/>
          <w:szCs w:val="24"/>
        </w:rPr>
        <w:t xml:space="preserve"> </w:t>
      </w:r>
      <w:r w:rsidRPr="49EF888D">
        <w:rPr>
          <w:b/>
          <w:bCs/>
          <w:spacing w:val="-2"/>
          <w:sz w:val="24"/>
          <w:szCs w:val="24"/>
        </w:rPr>
        <w:t>COMMERCE</w:t>
      </w:r>
    </w:p>
    <w:p w14:paraId="492CDFE3" w14:textId="77777777" w:rsidR="00B776BC" w:rsidRDefault="00B776BC">
      <w:pPr>
        <w:pStyle w:val="BodyText"/>
        <w:spacing w:before="9"/>
        <w:rPr>
          <w:b/>
          <w:sz w:val="20"/>
        </w:rPr>
      </w:pPr>
    </w:p>
    <w:p w14:paraId="492CDFE4" w14:textId="4BF4AF13" w:rsidR="00B776BC" w:rsidRDefault="00073D93" w:rsidP="009A2A7C">
      <w:pPr>
        <w:spacing w:before="1"/>
        <w:rPr>
          <w:b/>
          <w:bCs/>
          <w:sz w:val="24"/>
          <w:szCs w:val="24"/>
        </w:rPr>
      </w:pPr>
      <w:r w:rsidRPr="49EF888D">
        <w:rPr>
          <w:b/>
          <w:bCs/>
          <w:sz w:val="24"/>
          <w:szCs w:val="24"/>
        </w:rPr>
        <w:t>ASSISTANCE</w:t>
      </w:r>
      <w:r w:rsidRPr="49EF888D">
        <w:rPr>
          <w:b/>
          <w:bCs/>
          <w:spacing w:val="-8"/>
          <w:sz w:val="24"/>
          <w:szCs w:val="24"/>
        </w:rPr>
        <w:t xml:space="preserve"> </w:t>
      </w:r>
      <w:r w:rsidRPr="49EF888D">
        <w:rPr>
          <w:b/>
          <w:bCs/>
          <w:sz w:val="24"/>
          <w:szCs w:val="24"/>
        </w:rPr>
        <w:t>LISTING</w:t>
      </w:r>
      <w:r w:rsidRPr="49EF888D">
        <w:rPr>
          <w:b/>
          <w:bCs/>
          <w:spacing w:val="-6"/>
          <w:sz w:val="24"/>
          <w:szCs w:val="24"/>
        </w:rPr>
        <w:t xml:space="preserve"> </w:t>
      </w:r>
      <w:r w:rsidR="005B791D" w:rsidRPr="49EF888D">
        <w:rPr>
          <w:b/>
          <w:bCs/>
          <w:sz w:val="24"/>
          <w:szCs w:val="24"/>
        </w:rPr>
        <w:t>11.03</w:t>
      </w:r>
      <w:r w:rsidR="005B791D">
        <w:rPr>
          <w:b/>
          <w:bCs/>
          <w:sz w:val="24"/>
          <w:szCs w:val="24"/>
        </w:rPr>
        <w:t>5</w:t>
      </w:r>
      <w:r w:rsidR="005B791D" w:rsidRPr="49EF888D">
        <w:rPr>
          <w:b/>
          <w:bCs/>
          <w:sz w:val="24"/>
          <w:szCs w:val="24"/>
        </w:rPr>
        <w:t xml:space="preserve"> </w:t>
      </w:r>
      <w:r w:rsidR="005B791D">
        <w:rPr>
          <w:b/>
          <w:bCs/>
          <w:sz w:val="24"/>
          <w:szCs w:val="24"/>
        </w:rPr>
        <w:t>BROADBAND</w:t>
      </w:r>
      <w:r w:rsidR="00E72CF8">
        <w:rPr>
          <w:b/>
          <w:bCs/>
          <w:sz w:val="24"/>
          <w:szCs w:val="24"/>
        </w:rPr>
        <w:t xml:space="preserve"> EQUITY, ACCESS, AND DEPLOYMENT PROGRAM</w:t>
      </w:r>
    </w:p>
    <w:p w14:paraId="492CDFE5" w14:textId="77777777" w:rsidR="00B776BC" w:rsidRDefault="00B776BC">
      <w:pPr>
        <w:pStyle w:val="BodyText"/>
        <w:spacing w:before="9"/>
        <w:rPr>
          <w:b/>
          <w:sz w:val="20"/>
        </w:rPr>
      </w:pPr>
    </w:p>
    <w:p w14:paraId="426BD1E6" w14:textId="77777777" w:rsidR="000A7C75" w:rsidRDefault="000A7C75" w:rsidP="00BA28F3">
      <w:pPr>
        <w:widowControl/>
        <w:ind w:left="90"/>
        <w:rPr>
          <w:sz w:val="24"/>
          <w:szCs w:val="24"/>
        </w:rPr>
      </w:pPr>
    </w:p>
    <w:p w14:paraId="1D79CC15" w14:textId="09B8BB6B" w:rsidR="00E65DF6" w:rsidRPr="002C0B89" w:rsidRDefault="002C0B89" w:rsidP="00541D45">
      <w:pPr>
        <w:pStyle w:val="ListParagraph"/>
        <w:numPr>
          <w:ilvl w:val="0"/>
          <w:numId w:val="4"/>
        </w:numPr>
        <w:ind w:hanging="750"/>
        <w:rPr>
          <w:b/>
          <w:bCs/>
        </w:rPr>
      </w:pPr>
      <w:r w:rsidRPr="002C0B89">
        <w:rPr>
          <w:b/>
          <w:bCs/>
        </w:rPr>
        <w:t xml:space="preserve">PROGRAM </w:t>
      </w:r>
      <w:r w:rsidR="00BA28F3">
        <w:rPr>
          <w:b/>
          <w:bCs/>
        </w:rPr>
        <w:t>OBJECTIVES</w:t>
      </w:r>
      <w:r w:rsidR="00E65DF6" w:rsidRPr="002C0B89">
        <w:rPr>
          <w:b/>
          <w:bCs/>
        </w:rPr>
        <w:t xml:space="preserve"> </w:t>
      </w:r>
    </w:p>
    <w:p w14:paraId="33687AE5" w14:textId="77777777" w:rsidR="002C0B89" w:rsidRDefault="002C0B89" w:rsidP="002C0B89">
      <w:pPr>
        <w:pStyle w:val="BodyText"/>
        <w:ind w:right="120"/>
      </w:pPr>
    </w:p>
    <w:p w14:paraId="33D630C6" w14:textId="3B372205" w:rsidR="002C0B89" w:rsidRDefault="002C0B89" w:rsidP="002C0B89">
      <w:pPr>
        <w:pStyle w:val="BodyText"/>
        <w:ind w:left="90" w:right="120"/>
      </w:pPr>
      <w:r>
        <w:t>The Broadband Equity, Access, and Deployment (BEAD) Program provides $42.45</w:t>
      </w:r>
      <w:r w:rsidR="009902F0">
        <w:t xml:space="preserve"> billion</w:t>
      </w:r>
      <w:r>
        <w:t xml:space="preserve"> in new federal funding for NTIA to grant to all fifty states, the District of Columbia, and Puerto Rico (States), as well as American Samoa,</w:t>
      </w:r>
      <w:r>
        <w:rPr>
          <w:spacing w:val="-3"/>
        </w:rPr>
        <w:t xml:space="preserve"> </w:t>
      </w:r>
      <w:r>
        <w:t>the</w:t>
      </w:r>
      <w:r>
        <w:rPr>
          <w:spacing w:val="-4"/>
        </w:rPr>
        <w:t xml:space="preserve"> </w:t>
      </w:r>
      <w:r>
        <w:t>Commonwealth</w:t>
      </w:r>
      <w:r>
        <w:rPr>
          <w:spacing w:val="-3"/>
        </w:rPr>
        <w:t xml:space="preserve"> </w:t>
      </w:r>
      <w:r>
        <w:t>of</w:t>
      </w:r>
      <w:r>
        <w:rPr>
          <w:spacing w:val="-4"/>
        </w:rPr>
        <w:t xml:space="preserve"> </w:t>
      </w:r>
      <w:r>
        <w:t>the</w:t>
      </w:r>
      <w:r>
        <w:rPr>
          <w:spacing w:val="-4"/>
        </w:rPr>
        <w:t xml:space="preserve"> </w:t>
      </w:r>
      <w:r>
        <w:t>Northern</w:t>
      </w:r>
      <w:r>
        <w:rPr>
          <w:spacing w:val="-3"/>
        </w:rPr>
        <w:t xml:space="preserve"> </w:t>
      </w:r>
      <w:r>
        <w:t>Mariana</w:t>
      </w:r>
      <w:r>
        <w:rPr>
          <w:spacing w:val="-2"/>
        </w:rPr>
        <w:t xml:space="preserve"> </w:t>
      </w:r>
      <w:r>
        <w:t>Islands,</w:t>
      </w:r>
      <w:r>
        <w:rPr>
          <w:spacing w:val="-3"/>
        </w:rPr>
        <w:t xml:space="preserve"> </w:t>
      </w:r>
      <w:r>
        <w:t>Guam,</w:t>
      </w:r>
      <w:r>
        <w:rPr>
          <w:spacing w:val="-1"/>
        </w:rPr>
        <w:t xml:space="preserve"> </w:t>
      </w:r>
      <w:r>
        <w:t>and</w:t>
      </w:r>
      <w:r>
        <w:rPr>
          <w:spacing w:val="-3"/>
        </w:rPr>
        <w:t xml:space="preserve"> </w:t>
      </w:r>
      <w:r>
        <w:t>the</w:t>
      </w:r>
      <w:r>
        <w:rPr>
          <w:spacing w:val="-4"/>
        </w:rPr>
        <w:t xml:space="preserve"> </w:t>
      </w:r>
      <w:r>
        <w:t>United</w:t>
      </w:r>
      <w:r>
        <w:rPr>
          <w:spacing w:val="-3"/>
        </w:rPr>
        <w:t xml:space="preserve"> </w:t>
      </w:r>
      <w:r>
        <w:t>States</w:t>
      </w:r>
      <w:r>
        <w:rPr>
          <w:spacing w:val="-3"/>
        </w:rPr>
        <w:t xml:space="preserve"> </w:t>
      </w:r>
      <w:r>
        <w:t>Virgin Islands (Territories), for broadband planning, deployment, mapping, equity, and adoption activities.</w:t>
      </w:r>
    </w:p>
    <w:p w14:paraId="3B19DF84" w14:textId="77777777" w:rsidR="002C0B89" w:rsidRDefault="002C0B89" w:rsidP="002C0B89">
      <w:pPr>
        <w:pStyle w:val="BodyText"/>
        <w:ind w:left="90" w:right="120"/>
      </w:pPr>
    </w:p>
    <w:p w14:paraId="6AA09EA5" w14:textId="77777777" w:rsidR="002C0B89" w:rsidRDefault="002C0B89" w:rsidP="002C0B89">
      <w:pPr>
        <w:pStyle w:val="BodyText"/>
        <w:spacing w:before="1"/>
        <w:ind w:left="90" w:right="273"/>
      </w:pPr>
      <w:r>
        <w:t>The BEAD program’s principal focus is on deploying broadband service to unserved locations (</w:t>
      </w:r>
      <w:r w:rsidRPr="00161455">
        <w:rPr>
          <w:i/>
        </w:rPr>
        <w:t>i.e.</w:t>
      </w:r>
      <w:r w:rsidRPr="00161455">
        <w:t>, broadband-serviceable locations that lack access to Reliable Broadband Service at speeds of at least</w:t>
      </w:r>
      <w:r w:rsidRPr="00161455">
        <w:rPr>
          <w:spacing w:val="-3"/>
        </w:rPr>
        <w:t xml:space="preserve"> </w:t>
      </w:r>
      <w:r w:rsidRPr="00161455">
        <w:t>25</w:t>
      </w:r>
      <w:r w:rsidRPr="00161455">
        <w:rPr>
          <w:spacing w:val="-3"/>
        </w:rPr>
        <w:t xml:space="preserve"> </w:t>
      </w:r>
      <w:r w:rsidRPr="00161455">
        <w:t>Mbps</w:t>
      </w:r>
      <w:r w:rsidRPr="00161455">
        <w:rPr>
          <w:spacing w:val="-3"/>
        </w:rPr>
        <w:t xml:space="preserve"> </w:t>
      </w:r>
      <w:r w:rsidRPr="00161455">
        <w:t>downstream</w:t>
      </w:r>
      <w:r w:rsidRPr="00161455">
        <w:rPr>
          <w:spacing w:val="-3"/>
        </w:rPr>
        <w:t xml:space="preserve"> </w:t>
      </w:r>
      <w:r w:rsidRPr="00161455">
        <w:t>and</w:t>
      </w:r>
      <w:r w:rsidRPr="00161455">
        <w:rPr>
          <w:spacing w:val="-3"/>
        </w:rPr>
        <w:t xml:space="preserve"> </w:t>
      </w:r>
      <w:r w:rsidRPr="00161455">
        <w:t>3</w:t>
      </w:r>
      <w:r w:rsidRPr="00161455">
        <w:rPr>
          <w:spacing w:val="-3"/>
        </w:rPr>
        <w:t xml:space="preserve"> </w:t>
      </w:r>
      <w:r w:rsidRPr="00161455">
        <w:t>Mbps</w:t>
      </w:r>
      <w:r w:rsidRPr="00161455">
        <w:rPr>
          <w:spacing w:val="-3"/>
        </w:rPr>
        <w:t xml:space="preserve"> </w:t>
      </w:r>
      <w:r w:rsidRPr="00161455">
        <w:t>upstream and</w:t>
      </w:r>
      <w:r w:rsidRPr="00161455">
        <w:rPr>
          <w:spacing w:val="-3"/>
        </w:rPr>
        <w:t xml:space="preserve"> </w:t>
      </w:r>
      <w:r w:rsidRPr="00161455">
        <w:t>latency</w:t>
      </w:r>
      <w:r w:rsidRPr="00161455">
        <w:rPr>
          <w:spacing w:val="-3"/>
        </w:rPr>
        <w:t xml:space="preserve"> </w:t>
      </w:r>
      <w:r w:rsidRPr="00161455">
        <w:t>levels</w:t>
      </w:r>
      <w:r w:rsidRPr="00161455">
        <w:rPr>
          <w:spacing w:val="-3"/>
        </w:rPr>
        <w:t xml:space="preserve"> </w:t>
      </w:r>
      <w:r w:rsidRPr="00161455">
        <w:t>low</w:t>
      </w:r>
      <w:r w:rsidRPr="00161455">
        <w:rPr>
          <w:spacing w:val="-4"/>
        </w:rPr>
        <w:t xml:space="preserve"> </w:t>
      </w:r>
      <w:r w:rsidRPr="00161455">
        <w:t>enough</w:t>
      </w:r>
      <w:r w:rsidRPr="00161455">
        <w:rPr>
          <w:spacing w:val="-3"/>
        </w:rPr>
        <w:t xml:space="preserve"> </w:t>
      </w:r>
      <w:r w:rsidRPr="00161455">
        <w:t>to</w:t>
      </w:r>
      <w:r w:rsidRPr="00161455">
        <w:rPr>
          <w:spacing w:val="-3"/>
        </w:rPr>
        <w:t xml:space="preserve"> </w:t>
      </w:r>
      <w:r w:rsidRPr="00161455">
        <w:t>support</w:t>
      </w:r>
      <w:r w:rsidRPr="00161455">
        <w:rPr>
          <w:spacing w:val="-3"/>
        </w:rPr>
        <w:t xml:space="preserve"> </w:t>
      </w:r>
      <w:r w:rsidRPr="00161455">
        <w:t>real- time, interactive applications</w:t>
      </w:r>
      <w:r>
        <w:t>) or underserved locations (those without broadband service offering speeds of 100 Mbps downstream/20 Mbps upstream).  Eligible Entities demonstrating the ability to ensure service to all unserved and underserved locations may then direct funding to deploy gigabit connections to community anchor institutions, such as libraries and community centers.  Eligible Entities may apply remaining funding to other eligible uses.  With respect to the deployment of last-mile broadband infrastructure, the BEAD program prioritizes projects designed to provide fiber connectivity directly to the end user.  It also requires all projects to provide a low-cost option to eligible subscribers, requires all states to have plans to address middle-class affordability, and further prioritizes proposals that improve affordability to ensure that networks built using BEAD funding are accessible to all Americans.</w:t>
      </w:r>
    </w:p>
    <w:p w14:paraId="7E24B6C5" w14:textId="3DA27BF2" w:rsidR="00E65DF6" w:rsidRDefault="00E65DF6" w:rsidP="002C0B89">
      <w:pPr>
        <w:pStyle w:val="ListParagraph"/>
        <w:numPr>
          <w:ilvl w:val="0"/>
          <w:numId w:val="0"/>
        </w:numPr>
        <w:ind w:left="90"/>
      </w:pPr>
      <w:r>
        <w:t xml:space="preserve"> </w:t>
      </w:r>
    </w:p>
    <w:p w14:paraId="08B29CC9" w14:textId="2AA46C9D" w:rsidR="002C0B89" w:rsidRPr="00AC5BE9" w:rsidRDefault="002C0B89" w:rsidP="00541D45">
      <w:pPr>
        <w:pStyle w:val="ListParagraph"/>
        <w:numPr>
          <w:ilvl w:val="0"/>
          <w:numId w:val="4"/>
        </w:numPr>
        <w:ind w:hanging="750"/>
      </w:pPr>
      <w:r>
        <w:t xml:space="preserve"> </w:t>
      </w:r>
      <w:r w:rsidR="00AC5BE9" w:rsidRPr="002C0B89">
        <w:rPr>
          <w:b/>
          <w:bCs/>
        </w:rPr>
        <w:t>PROGRAM PROCEDURES</w:t>
      </w:r>
    </w:p>
    <w:p w14:paraId="4F23FE70" w14:textId="77777777" w:rsidR="00AC5BE9" w:rsidRDefault="00AC5BE9" w:rsidP="00AC5BE9">
      <w:pPr>
        <w:pStyle w:val="ListParagraph"/>
        <w:numPr>
          <w:ilvl w:val="0"/>
          <w:numId w:val="0"/>
        </w:numPr>
        <w:ind w:left="90"/>
      </w:pPr>
    </w:p>
    <w:p w14:paraId="474950D2" w14:textId="0C34DB52" w:rsidR="008A4BC1" w:rsidRDefault="008A4BC1" w:rsidP="00BA28F3">
      <w:pPr>
        <w:pStyle w:val="TableParagraph"/>
        <w:ind w:left="90"/>
        <w:rPr>
          <w:sz w:val="24"/>
          <w:szCs w:val="24"/>
        </w:rPr>
      </w:pPr>
      <w:r w:rsidRPr="00C309DB">
        <w:rPr>
          <w:sz w:val="24"/>
          <w:szCs w:val="24"/>
        </w:rPr>
        <w:t>NTIA will make up to $41,601,000,000 available for federal financial assistance under BEAD. Funding is distributed primarily based on the relative number of unserved locations in each State and Territory. Each State is eligible to receive a</w:t>
      </w:r>
      <w:r>
        <w:rPr>
          <w:sz w:val="24"/>
          <w:szCs w:val="24"/>
        </w:rPr>
        <w:t xml:space="preserve"> </w:t>
      </w:r>
      <w:r w:rsidRPr="00C309DB">
        <w:rPr>
          <w:sz w:val="24"/>
          <w:szCs w:val="24"/>
        </w:rPr>
        <w:t xml:space="preserve">minimum </w:t>
      </w:r>
      <w:r>
        <w:rPr>
          <w:sz w:val="24"/>
          <w:szCs w:val="24"/>
        </w:rPr>
        <w:t xml:space="preserve">initial </w:t>
      </w:r>
      <w:r w:rsidRPr="00C309DB">
        <w:rPr>
          <w:sz w:val="24"/>
          <w:szCs w:val="24"/>
        </w:rPr>
        <w:t>allocation of $100,000,000 and each Territory is eligible to receive a</w:t>
      </w:r>
      <w:r>
        <w:rPr>
          <w:sz w:val="24"/>
          <w:szCs w:val="24"/>
        </w:rPr>
        <w:t xml:space="preserve"> </w:t>
      </w:r>
      <w:r w:rsidRPr="00C309DB">
        <w:rPr>
          <w:sz w:val="24"/>
          <w:szCs w:val="24"/>
        </w:rPr>
        <w:t xml:space="preserve">minimum </w:t>
      </w:r>
      <w:r>
        <w:rPr>
          <w:sz w:val="24"/>
          <w:szCs w:val="24"/>
        </w:rPr>
        <w:t xml:space="preserve">initial </w:t>
      </w:r>
      <w:r w:rsidRPr="00C309DB">
        <w:rPr>
          <w:sz w:val="24"/>
          <w:szCs w:val="24"/>
        </w:rPr>
        <w:t>allocation of $25,000,000.</w:t>
      </w:r>
    </w:p>
    <w:p w14:paraId="62AE7250" w14:textId="77777777" w:rsidR="008A4BC1" w:rsidRDefault="008A4BC1" w:rsidP="008A4BC1">
      <w:pPr>
        <w:pStyle w:val="TableParagraph"/>
        <w:rPr>
          <w:sz w:val="24"/>
          <w:szCs w:val="24"/>
        </w:rPr>
      </w:pPr>
    </w:p>
    <w:p w14:paraId="596441B9" w14:textId="77777777" w:rsidR="008A4BC1" w:rsidRDefault="008A4BC1" w:rsidP="00BA28F3">
      <w:pPr>
        <w:pStyle w:val="TableParagraph"/>
        <w:ind w:left="90"/>
        <w:rPr>
          <w:sz w:val="24"/>
          <w:szCs w:val="24"/>
        </w:rPr>
      </w:pPr>
      <w:r>
        <w:rPr>
          <w:sz w:val="24"/>
          <w:szCs w:val="24"/>
        </w:rPr>
        <w:t>States may request up to $5,000,000 of their initial minimum allocation in Initial Planning Funds.  Territories may request up to $1,250,000 of their initial minimum allocation in Initial Planning Funds.  Each Eligible Entity’s Total Allocation is the sum of the Eligible Entity’s (i) Minimum Initial Allocation; (ii) High-Cost Allocation; and (iii) Remaining Funds Allocation.  The High-Cost Allocation for each Eligible Entity is calculated by (i) dividing the number of unserved locations in high-cost areas in the Eligible Entity by the total number of unserved locations in high-cost areas in the United States and (ii) multiplying the quotient obtained by $4.245 billion.  The funds remaining after subtracting each of (i) the total Minimum Initial Allocations; and (ii) the total High-Cost Allocation from $41,601,000,000 are the “Remaining Funds.  Each Eligible Entity’s Remaining Funds Allocation is computed by dividing the number of unserved locations in the Eligible Entity by the total number of unserved locations in the United States and multiplying the result by the Remaining Funds.</w:t>
      </w:r>
    </w:p>
    <w:p w14:paraId="763A4E2A" w14:textId="77777777" w:rsidR="008A4BC1" w:rsidRDefault="008A4BC1" w:rsidP="008A4BC1">
      <w:pPr>
        <w:pStyle w:val="TableParagraph"/>
        <w:rPr>
          <w:sz w:val="24"/>
          <w:szCs w:val="24"/>
        </w:rPr>
      </w:pPr>
    </w:p>
    <w:p w14:paraId="35D59A0B" w14:textId="77777777" w:rsidR="008A4BC1" w:rsidRDefault="008A4BC1" w:rsidP="00BA28F3">
      <w:pPr>
        <w:pStyle w:val="TableParagraph"/>
        <w:ind w:left="90"/>
        <w:rPr>
          <w:sz w:val="24"/>
          <w:szCs w:val="24"/>
        </w:rPr>
      </w:pPr>
      <w:r>
        <w:rPr>
          <w:sz w:val="24"/>
          <w:szCs w:val="24"/>
        </w:rPr>
        <w:t xml:space="preserve">The BEAD program establishes a multi-step, multi-year process as reflected </w:t>
      </w:r>
      <w:commentRangeStart w:id="0"/>
      <w:r>
        <w:rPr>
          <w:sz w:val="24"/>
          <w:szCs w:val="24"/>
        </w:rPr>
        <w:t>in the table below</w:t>
      </w:r>
      <w:commentRangeEnd w:id="0"/>
      <w:r w:rsidR="002F016B">
        <w:rPr>
          <w:rStyle w:val="CommentReference"/>
        </w:rPr>
        <w:commentReference w:id="0"/>
      </w:r>
      <w:r>
        <w:rPr>
          <w:sz w:val="24"/>
          <w:szCs w:val="24"/>
        </w:rPr>
        <w:t xml:space="preserve">.  </w:t>
      </w:r>
    </w:p>
    <w:p w14:paraId="5E836A57" w14:textId="77777777" w:rsidR="008A4BC1" w:rsidRDefault="008A4BC1" w:rsidP="00BA28F3">
      <w:pPr>
        <w:pStyle w:val="TableParagraph"/>
        <w:ind w:left="90"/>
        <w:rPr>
          <w:sz w:val="24"/>
          <w:szCs w:val="24"/>
        </w:rPr>
      </w:pPr>
    </w:p>
    <w:tbl>
      <w:tblPr>
        <w:tblStyle w:val="TableGrid"/>
        <w:tblW w:w="0" w:type="auto"/>
        <w:tblInd w:w="175" w:type="dxa"/>
        <w:tblLook w:val="04A0" w:firstRow="1" w:lastRow="0" w:firstColumn="1" w:lastColumn="0" w:noHBand="0" w:noVBand="1"/>
      </w:tblPr>
      <w:tblGrid>
        <w:gridCol w:w="3865"/>
        <w:gridCol w:w="5485"/>
      </w:tblGrid>
      <w:tr w:rsidR="008A4BC1" w:rsidRPr="00AE7FE8" w14:paraId="71405093" w14:textId="77777777" w:rsidTr="00BA28F3">
        <w:tc>
          <w:tcPr>
            <w:tcW w:w="3865" w:type="dxa"/>
            <w:shd w:val="clear" w:color="auto" w:fill="7F7F7F"/>
          </w:tcPr>
          <w:p w14:paraId="72937D58" w14:textId="77777777" w:rsidR="008A4BC1" w:rsidRPr="00AE7FE8" w:rsidRDefault="008A4BC1" w:rsidP="004E335F">
            <w:pPr>
              <w:spacing w:before="100" w:beforeAutospacing="1"/>
              <w:ind w:left="360"/>
              <w:jc w:val="center"/>
              <w:rPr>
                <w:b/>
                <w:bCs/>
                <w:kern w:val="2"/>
                <w:sz w:val="24"/>
                <w:szCs w:val="24"/>
              </w:rPr>
            </w:pPr>
            <w:r w:rsidRPr="00AE7FE8">
              <w:rPr>
                <w:b/>
                <w:bCs/>
                <w:kern w:val="2"/>
                <w:sz w:val="24"/>
                <w:szCs w:val="24"/>
              </w:rPr>
              <w:t>STAGE</w:t>
            </w:r>
          </w:p>
        </w:tc>
        <w:tc>
          <w:tcPr>
            <w:tcW w:w="5485" w:type="dxa"/>
            <w:shd w:val="clear" w:color="auto" w:fill="7F7F7F"/>
          </w:tcPr>
          <w:p w14:paraId="1F3C8ED5" w14:textId="77777777" w:rsidR="008A4BC1" w:rsidRPr="00AE7FE8" w:rsidRDefault="008A4BC1" w:rsidP="004E335F">
            <w:pPr>
              <w:spacing w:before="100" w:beforeAutospacing="1"/>
              <w:ind w:left="360"/>
              <w:jc w:val="center"/>
              <w:rPr>
                <w:b/>
                <w:bCs/>
                <w:kern w:val="2"/>
                <w:sz w:val="24"/>
                <w:szCs w:val="24"/>
              </w:rPr>
            </w:pPr>
            <w:r w:rsidRPr="00AE7FE8">
              <w:rPr>
                <w:b/>
                <w:bCs/>
                <w:kern w:val="2"/>
                <w:sz w:val="24"/>
                <w:szCs w:val="24"/>
              </w:rPr>
              <w:t>TIMELINE</w:t>
            </w:r>
          </w:p>
        </w:tc>
      </w:tr>
      <w:tr w:rsidR="008A4BC1" w:rsidRPr="00AE7FE8" w14:paraId="4E8646E7" w14:textId="77777777" w:rsidTr="00BA28F3">
        <w:tc>
          <w:tcPr>
            <w:tcW w:w="3865" w:type="dxa"/>
            <w:shd w:val="clear" w:color="auto" w:fill="F2F2F2"/>
          </w:tcPr>
          <w:p w14:paraId="4B601761" w14:textId="77777777" w:rsidR="008A4BC1" w:rsidRPr="00AE7FE8" w:rsidRDefault="008A4BC1" w:rsidP="004E335F">
            <w:pPr>
              <w:spacing w:before="100" w:beforeAutospacing="1"/>
              <w:rPr>
                <w:b/>
                <w:bCs/>
                <w:kern w:val="2"/>
                <w:sz w:val="24"/>
                <w:szCs w:val="24"/>
              </w:rPr>
            </w:pPr>
            <w:r w:rsidRPr="00AE7FE8">
              <w:rPr>
                <w:b/>
                <w:bCs/>
                <w:kern w:val="2"/>
                <w:sz w:val="24"/>
                <w:szCs w:val="24"/>
              </w:rPr>
              <w:t>Letter of Intent</w:t>
            </w:r>
          </w:p>
        </w:tc>
        <w:tc>
          <w:tcPr>
            <w:tcW w:w="5485" w:type="dxa"/>
            <w:shd w:val="clear" w:color="auto" w:fill="F2F2F2"/>
          </w:tcPr>
          <w:p w14:paraId="406DC75E" w14:textId="77777777" w:rsidR="008A4BC1" w:rsidRPr="00AE7FE8" w:rsidRDefault="008A4BC1" w:rsidP="004E335F">
            <w:pPr>
              <w:spacing w:before="100" w:beforeAutospacing="1"/>
              <w:rPr>
                <w:kern w:val="2"/>
                <w:sz w:val="24"/>
                <w:szCs w:val="24"/>
              </w:rPr>
            </w:pPr>
            <w:r w:rsidRPr="00AE7FE8">
              <w:rPr>
                <w:b/>
                <w:bCs/>
                <w:kern w:val="2"/>
                <w:sz w:val="24"/>
                <w:szCs w:val="24"/>
              </w:rPr>
              <w:t>Deadline:</w:t>
            </w:r>
            <w:r w:rsidRPr="00AE7FE8">
              <w:rPr>
                <w:kern w:val="2"/>
                <w:sz w:val="24"/>
                <w:szCs w:val="24"/>
              </w:rPr>
              <w:t xml:space="preserve"> July 18, 2022</w:t>
            </w:r>
          </w:p>
        </w:tc>
      </w:tr>
      <w:tr w:rsidR="008A4BC1" w:rsidRPr="00AE7FE8" w14:paraId="43CEDAC8" w14:textId="77777777" w:rsidTr="00BA28F3">
        <w:tc>
          <w:tcPr>
            <w:tcW w:w="3865" w:type="dxa"/>
            <w:shd w:val="clear" w:color="auto" w:fill="F2F2F2"/>
          </w:tcPr>
          <w:p w14:paraId="105AD906" w14:textId="77777777" w:rsidR="008A4BC1" w:rsidRPr="00AE7FE8" w:rsidRDefault="008A4BC1" w:rsidP="004E335F">
            <w:pPr>
              <w:spacing w:before="100" w:beforeAutospacing="1"/>
              <w:rPr>
                <w:b/>
                <w:bCs/>
                <w:kern w:val="2"/>
                <w:sz w:val="24"/>
                <w:szCs w:val="24"/>
              </w:rPr>
            </w:pPr>
            <w:r w:rsidRPr="00AE7FE8">
              <w:rPr>
                <w:b/>
                <w:bCs/>
                <w:kern w:val="2"/>
                <w:sz w:val="24"/>
                <w:szCs w:val="24"/>
              </w:rPr>
              <w:t>Request for Initial Planning Funds</w:t>
            </w:r>
          </w:p>
        </w:tc>
        <w:tc>
          <w:tcPr>
            <w:tcW w:w="5485" w:type="dxa"/>
            <w:shd w:val="clear" w:color="auto" w:fill="F2F2F2"/>
          </w:tcPr>
          <w:p w14:paraId="08446B23" w14:textId="77777777" w:rsidR="008A4BC1" w:rsidRPr="00AE7FE8" w:rsidRDefault="008A4BC1" w:rsidP="004E335F">
            <w:pPr>
              <w:spacing w:before="100" w:beforeAutospacing="1"/>
              <w:rPr>
                <w:kern w:val="2"/>
                <w:sz w:val="24"/>
                <w:szCs w:val="24"/>
              </w:rPr>
            </w:pPr>
            <w:r w:rsidRPr="00AE7FE8">
              <w:rPr>
                <w:b/>
                <w:bCs/>
                <w:kern w:val="2"/>
                <w:sz w:val="24"/>
                <w:szCs w:val="24"/>
              </w:rPr>
              <w:t>Deadline:</w:t>
            </w:r>
            <w:r w:rsidRPr="00AE7FE8">
              <w:rPr>
                <w:kern w:val="2"/>
                <w:sz w:val="24"/>
                <w:szCs w:val="24"/>
              </w:rPr>
              <w:t xml:space="preserve"> Upon submission of the Letter of Intent and by August 15, 2022</w:t>
            </w:r>
            <w:r>
              <w:rPr>
                <w:kern w:val="2"/>
                <w:sz w:val="24"/>
                <w:szCs w:val="24"/>
              </w:rPr>
              <w:t>.  NTIA awarded 56 planning awards to each State and Territory.</w:t>
            </w:r>
          </w:p>
        </w:tc>
      </w:tr>
      <w:tr w:rsidR="008A4BC1" w:rsidRPr="00AE7FE8" w14:paraId="1A30B397" w14:textId="77777777" w:rsidTr="00BA28F3">
        <w:tc>
          <w:tcPr>
            <w:tcW w:w="3865" w:type="dxa"/>
            <w:shd w:val="clear" w:color="auto" w:fill="F2F2F2"/>
          </w:tcPr>
          <w:p w14:paraId="71AC05EB" w14:textId="77777777" w:rsidR="008A4BC1" w:rsidRPr="00F46C84" w:rsidRDefault="008A4BC1" w:rsidP="004E335F">
            <w:pPr>
              <w:spacing w:before="100" w:beforeAutospacing="1"/>
              <w:rPr>
                <w:b/>
                <w:bCs/>
                <w:kern w:val="2"/>
                <w:sz w:val="24"/>
                <w:szCs w:val="24"/>
              </w:rPr>
            </w:pPr>
            <w:r w:rsidRPr="00F46C84">
              <w:rPr>
                <w:b/>
                <w:bCs/>
                <w:kern w:val="2"/>
                <w:sz w:val="24"/>
                <w:szCs w:val="24"/>
              </w:rPr>
              <w:t>Five-Year Action Plan</w:t>
            </w:r>
            <w:r>
              <w:rPr>
                <w:b/>
                <w:bCs/>
                <w:kern w:val="2"/>
                <w:sz w:val="24"/>
                <w:szCs w:val="24"/>
              </w:rPr>
              <w:t>:</w:t>
            </w:r>
            <w:r>
              <w:rPr>
                <w:kern w:val="2"/>
                <w:sz w:val="24"/>
                <w:szCs w:val="24"/>
              </w:rPr>
              <w:t xml:space="preserve"> establishes the Eligible Entities’ broadband goals and priorities and serves as a comprehensive needs assessment to inform the Initial Proposal</w:t>
            </w:r>
            <w:r>
              <w:rPr>
                <w:b/>
                <w:bCs/>
                <w:kern w:val="2"/>
                <w:sz w:val="24"/>
                <w:szCs w:val="24"/>
              </w:rPr>
              <w:t xml:space="preserve"> </w:t>
            </w:r>
          </w:p>
        </w:tc>
        <w:tc>
          <w:tcPr>
            <w:tcW w:w="5485" w:type="dxa"/>
            <w:shd w:val="clear" w:color="auto" w:fill="F2F2F2"/>
          </w:tcPr>
          <w:p w14:paraId="6F6BEB59" w14:textId="77777777" w:rsidR="008A4BC1" w:rsidRPr="003E2DCA" w:rsidRDefault="008A4BC1" w:rsidP="004E335F">
            <w:pPr>
              <w:spacing w:before="100" w:beforeAutospacing="1"/>
              <w:rPr>
                <w:kern w:val="2"/>
                <w:sz w:val="24"/>
                <w:szCs w:val="24"/>
              </w:rPr>
            </w:pPr>
            <w:r>
              <w:rPr>
                <w:b/>
                <w:bCs/>
                <w:kern w:val="2"/>
                <w:sz w:val="24"/>
                <w:szCs w:val="24"/>
              </w:rPr>
              <w:t xml:space="preserve">Deadline:  </w:t>
            </w:r>
            <w:r>
              <w:rPr>
                <w:kern w:val="2"/>
                <w:sz w:val="24"/>
                <w:szCs w:val="24"/>
              </w:rPr>
              <w:t>Due within 270 days of Eligible Entities’ receipt of Initial Planning Funds.  To date, NTIA has received 54 Action Plans and granted two extensions.</w:t>
            </w:r>
          </w:p>
        </w:tc>
      </w:tr>
      <w:tr w:rsidR="008A4BC1" w:rsidRPr="00AE7FE8" w14:paraId="0B6513E6" w14:textId="77777777" w:rsidTr="00BA28F3">
        <w:tc>
          <w:tcPr>
            <w:tcW w:w="3865" w:type="dxa"/>
            <w:shd w:val="clear" w:color="auto" w:fill="F2F2F2"/>
          </w:tcPr>
          <w:p w14:paraId="59665DE1" w14:textId="77777777" w:rsidR="008A4BC1" w:rsidRPr="00AE7FE8" w:rsidRDefault="008A4BC1" w:rsidP="004E335F">
            <w:pPr>
              <w:spacing w:before="100" w:beforeAutospacing="1"/>
              <w:rPr>
                <w:b/>
                <w:bCs/>
                <w:kern w:val="2"/>
                <w:sz w:val="24"/>
                <w:szCs w:val="24"/>
              </w:rPr>
            </w:pPr>
            <w:r>
              <w:rPr>
                <w:b/>
                <w:bCs/>
                <w:kern w:val="2"/>
                <w:sz w:val="24"/>
                <w:szCs w:val="24"/>
              </w:rPr>
              <w:t xml:space="preserve">Program Fund Allocation and </w:t>
            </w:r>
            <w:r w:rsidRPr="00AE7FE8">
              <w:rPr>
                <w:b/>
                <w:bCs/>
                <w:kern w:val="2"/>
                <w:sz w:val="24"/>
                <w:szCs w:val="24"/>
              </w:rPr>
              <w:t>Notice of Available Amounts</w:t>
            </w:r>
          </w:p>
        </w:tc>
        <w:tc>
          <w:tcPr>
            <w:tcW w:w="5485" w:type="dxa"/>
            <w:shd w:val="clear" w:color="auto" w:fill="F2F2F2"/>
          </w:tcPr>
          <w:p w14:paraId="472C5927" w14:textId="77777777" w:rsidR="008A4BC1" w:rsidRPr="00AE7FE8" w:rsidRDefault="008A4BC1" w:rsidP="004E335F">
            <w:pPr>
              <w:spacing w:before="100" w:beforeAutospacing="1"/>
              <w:rPr>
                <w:kern w:val="2"/>
                <w:sz w:val="24"/>
                <w:szCs w:val="24"/>
              </w:rPr>
            </w:pPr>
            <w:r w:rsidRPr="00AE7FE8">
              <w:rPr>
                <w:b/>
                <w:bCs/>
                <w:kern w:val="2"/>
                <w:sz w:val="24"/>
                <w:szCs w:val="24"/>
              </w:rPr>
              <w:t>Deadline:</w:t>
            </w:r>
            <w:r w:rsidRPr="00AE7FE8">
              <w:rPr>
                <w:kern w:val="2"/>
                <w:sz w:val="24"/>
                <w:szCs w:val="24"/>
              </w:rPr>
              <w:t xml:space="preserve"> </w:t>
            </w:r>
            <w:r>
              <w:rPr>
                <w:kern w:val="2"/>
                <w:sz w:val="24"/>
                <w:szCs w:val="24"/>
              </w:rPr>
              <w:t xml:space="preserve">NTIA announced how it allocated the BEAD funding on June 26, 2023.  Eligible Entities received formal notification of their allocation amounts on June 30, 2023 </w:t>
            </w:r>
          </w:p>
        </w:tc>
      </w:tr>
      <w:tr w:rsidR="008A4BC1" w:rsidRPr="00AE7FE8" w14:paraId="128BD185" w14:textId="77777777" w:rsidTr="00BA28F3">
        <w:tc>
          <w:tcPr>
            <w:tcW w:w="3865" w:type="dxa"/>
            <w:shd w:val="clear" w:color="auto" w:fill="F2F2F2"/>
          </w:tcPr>
          <w:p w14:paraId="3FB91328" w14:textId="77777777" w:rsidR="008A4BC1" w:rsidRPr="00AE7FE8" w:rsidRDefault="008A4BC1" w:rsidP="004E335F">
            <w:pPr>
              <w:spacing w:before="100" w:beforeAutospacing="1"/>
              <w:rPr>
                <w:b/>
                <w:bCs/>
                <w:kern w:val="2"/>
                <w:sz w:val="24"/>
                <w:szCs w:val="24"/>
              </w:rPr>
            </w:pPr>
            <w:r w:rsidRPr="00AE7FE8">
              <w:rPr>
                <w:b/>
                <w:bCs/>
                <w:kern w:val="2"/>
                <w:sz w:val="24"/>
                <w:szCs w:val="24"/>
              </w:rPr>
              <w:t>Initial Proposal</w:t>
            </w:r>
          </w:p>
        </w:tc>
        <w:tc>
          <w:tcPr>
            <w:tcW w:w="5485" w:type="dxa"/>
            <w:shd w:val="clear" w:color="auto" w:fill="F2F2F2"/>
          </w:tcPr>
          <w:p w14:paraId="3A20ACA4" w14:textId="77777777" w:rsidR="008A4BC1" w:rsidRPr="00AE7FE8" w:rsidRDefault="008A4BC1" w:rsidP="004E335F">
            <w:pPr>
              <w:spacing w:before="100" w:beforeAutospacing="1"/>
              <w:rPr>
                <w:kern w:val="2"/>
                <w:sz w:val="24"/>
                <w:szCs w:val="24"/>
              </w:rPr>
            </w:pPr>
            <w:r w:rsidRPr="00AE7FE8">
              <w:rPr>
                <w:b/>
                <w:bCs/>
                <w:kern w:val="2"/>
                <w:sz w:val="24"/>
                <w:szCs w:val="24"/>
              </w:rPr>
              <w:t>Deadline:</w:t>
            </w:r>
            <w:r w:rsidRPr="00AE7FE8">
              <w:rPr>
                <w:kern w:val="2"/>
                <w:sz w:val="24"/>
                <w:szCs w:val="24"/>
              </w:rPr>
              <w:t xml:space="preserve"> </w:t>
            </w:r>
            <w:r>
              <w:rPr>
                <w:kern w:val="2"/>
                <w:sz w:val="24"/>
                <w:szCs w:val="24"/>
              </w:rPr>
              <w:t>Due no later than December 27, 2023 (</w:t>
            </w:r>
            <w:r w:rsidRPr="00AE7FE8">
              <w:rPr>
                <w:kern w:val="2"/>
                <w:sz w:val="24"/>
                <w:szCs w:val="24"/>
              </w:rPr>
              <w:t>180 days from receipt of the Notice of Available Amounts</w:t>
            </w:r>
            <w:r>
              <w:rPr>
                <w:kern w:val="2"/>
                <w:sz w:val="24"/>
                <w:szCs w:val="24"/>
              </w:rPr>
              <w:t>)</w:t>
            </w:r>
          </w:p>
        </w:tc>
      </w:tr>
      <w:tr w:rsidR="008A4BC1" w:rsidRPr="00AE7FE8" w14:paraId="4C5D7202" w14:textId="77777777" w:rsidTr="00BA28F3">
        <w:tc>
          <w:tcPr>
            <w:tcW w:w="3865" w:type="dxa"/>
            <w:shd w:val="clear" w:color="auto" w:fill="F2F2F2"/>
          </w:tcPr>
          <w:p w14:paraId="18F188CD" w14:textId="77777777" w:rsidR="008A4BC1" w:rsidRPr="00AE7FE8" w:rsidRDefault="008A4BC1" w:rsidP="004E335F">
            <w:pPr>
              <w:spacing w:before="100" w:beforeAutospacing="1"/>
              <w:rPr>
                <w:b/>
                <w:bCs/>
                <w:kern w:val="2"/>
                <w:sz w:val="24"/>
                <w:szCs w:val="24"/>
              </w:rPr>
            </w:pPr>
            <w:r w:rsidRPr="00AE7FE8">
              <w:rPr>
                <w:b/>
                <w:bCs/>
                <w:kern w:val="2"/>
                <w:sz w:val="24"/>
                <w:szCs w:val="24"/>
              </w:rPr>
              <w:t>Challenge Process</w:t>
            </w:r>
          </w:p>
        </w:tc>
        <w:tc>
          <w:tcPr>
            <w:tcW w:w="5485" w:type="dxa"/>
            <w:shd w:val="clear" w:color="auto" w:fill="F2F2F2"/>
          </w:tcPr>
          <w:p w14:paraId="0519DDC5" w14:textId="77777777" w:rsidR="008A4BC1" w:rsidRPr="00AE7FE8" w:rsidRDefault="008A4BC1" w:rsidP="004E335F">
            <w:pPr>
              <w:spacing w:before="100" w:beforeAutospacing="1"/>
              <w:rPr>
                <w:kern w:val="2"/>
                <w:sz w:val="24"/>
                <w:szCs w:val="24"/>
              </w:rPr>
            </w:pPr>
            <w:r w:rsidRPr="00AE7FE8">
              <w:rPr>
                <w:b/>
                <w:bCs/>
                <w:kern w:val="2"/>
                <w:sz w:val="24"/>
                <w:szCs w:val="24"/>
              </w:rPr>
              <w:t xml:space="preserve">Deadline: </w:t>
            </w:r>
            <w:r w:rsidRPr="00AE7FE8">
              <w:rPr>
                <w:kern w:val="2"/>
                <w:sz w:val="24"/>
                <w:szCs w:val="24"/>
              </w:rPr>
              <w:t>After submission of its Initial Proposal and before allocating BEAD funds received for the deployment of broadband networks</w:t>
            </w:r>
          </w:p>
        </w:tc>
      </w:tr>
      <w:tr w:rsidR="008A4BC1" w:rsidRPr="00AE7FE8" w14:paraId="52DF526C" w14:textId="77777777" w:rsidTr="00BA28F3">
        <w:tc>
          <w:tcPr>
            <w:tcW w:w="3865" w:type="dxa"/>
            <w:shd w:val="clear" w:color="auto" w:fill="F2F2F2"/>
          </w:tcPr>
          <w:p w14:paraId="37EB8D58" w14:textId="77777777" w:rsidR="008A4BC1" w:rsidRPr="00AE7FE8" w:rsidRDefault="008A4BC1" w:rsidP="004E335F">
            <w:pPr>
              <w:spacing w:before="100" w:beforeAutospacing="1"/>
              <w:rPr>
                <w:b/>
                <w:bCs/>
                <w:kern w:val="2"/>
                <w:sz w:val="24"/>
                <w:szCs w:val="24"/>
              </w:rPr>
            </w:pPr>
            <w:r w:rsidRPr="00AE7FE8">
              <w:rPr>
                <w:b/>
                <w:bCs/>
                <w:kern w:val="2"/>
                <w:sz w:val="24"/>
                <w:szCs w:val="24"/>
              </w:rPr>
              <w:t>Subgrantee Selection</w:t>
            </w:r>
            <w:r>
              <w:rPr>
                <w:b/>
                <w:bCs/>
                <w:kern w:val="2"/>
                <w:sz w:val="24"/>
                <w:szCs w:val="24"/>
              </w:rPr>
              <w:t xml:space="preserve"> Process</w:t>
            </w:r>
          </w:p>
        </w:tc>
        <w:tc>
          <w:tcPr>
            <w:tcW w:w="5485" w:type="dxa"/>
            <w:shd w:val="clear" w:color="auto" w:fill="F2F2F2"/>
          </w:tcPr>
          <w:p w14:paraId="629A41E8" w14:textId="77777777" w:rsidR="008A4BC1" w:rsidRPr="00AE7FE8" w:rsidRDefault="008A4BC1" w:rsidP="004E335F">
            <w:pPr>
              <w:spacing w:before="100" w:beforeAutospacing="1"/>
              <w:rPr>
                <w:kern w:val="2"/>
                <w:sz w:val="24"/>
                <w:szCs w:val="24"/>
              </w:rPr>
            </w:pPr>
            <w:r w:rsidRPr="00AE7FE8">
              <w:rPr>
                <w:b/>
                <w:bCs/>
                <w:kern w:val="2"/>
                <w:sz w:val="24"/>
                <w:szCs w:val="24"/>
              </w:rPr>
              <w:t xml:space="preserve">Deadline: </w:t>
            </w:r>
            <w:r w:rsidRPr="00AE7FE8">
              <w:rPr>
                <w:kern w:val="2"/>
                <w:sz w:val="24"/>
                <w:szCs w:val="24"/>
              </w:rPr>
              <w:t>Upon approval of the Initial Proposal and up to one year</w:t>
            </w:r>
          </w:p>
        </w:tc>
      </w:tr>
      <w:tr w:rsidR="008A4BC1" w:rsidRPr="00AE7FE8" w14:paraId="0AFC0A45" w14:textId="77777777" w:rsidTr="00BA28F3">
        <w:tc>
          <w:tcPr>
            <w:tcW w:w="3865" w:type="dxa"/>
            <w:shd w:val="clear" w:color="auto" w:fill="F2F2F2"/>
          </w:tcPr>
          <w:p w14:paraId="5C69DDB6" w14:textId="77777777" w:rsidR="008A4BC1" w:rsidRPr="00AE7FE8" w:rsidRDefault="008A4BC1" w:rsidP="004E335F">
            <w:pPr>
              <w:spacing w:before="100" w:beforeAutospacing="1"/>
              <w:rPr>
                <w:b/>
                <w:bCs/>
                <w:kern w:val="2"/>
                <w:sz w:val="24"/>
                <w:szCs w:val="24"/>
              </w:rPr>
            </w:pPr>
            <w:r>
              <w:rPr>
                <w:b/>
                <w:bCs/>
                <w:kern w:val="2"/>
                <w:sz w:val="24"/>
                <w:szCs w:val="24"/>
              </w:rPr>
              <w:t xml:space="preserve">20% </w:t>
            </w:r>
            <w:r w:rsidRPr="00AE7FE8">
              <w:rPr>
                <w:b/>
                <w:bCs/>
                <w:kern w:val="2"/>
                <w:sz w:val="24"/>
                <w:szCs w:val="24"/>
              </w:rPr>
              <w:t xml:space="preserve">Funding </w:t>
            </w:r>
            <w:r>
              <w:rPr>
                <w:b/>
                <w:bCs/>
                <w:kern w:val="2"/>
                <w:sz w:val="24"/>
                <w:szCs w:val="24"/>
              </w:rPr>
              <w:t>Release</w:t>
            </w:r>
          </w:p>
        </w:tc>
        <w:tc>
          <w:tcPr>
            <w:tcW w:w="5485" w:type="dxa"/>
            <w:shd w:val="clear" w:color="auto" w:fill="F2F2F2"/>
          </w:tcPr>
          <w:p w14:paraId="646B7F35" w14:textId="77777777" w:rsidR="008A4BC1" w:rsidRPr="00AE7FE8" w:rsidRDefault="008A4BC1" w:rsidP="004E335F">
            <w:pPr>
              <w:spacing w:before="100" w:beforeAutospacing="1"/>
              <w:rPr>
                <w:b/>
                <w:bCs/>
                <w:kern w:val="2"/>
                <w:sz w:val="24"/>
                <w:szCs w:val="24"/>
              </w:rPr>
            </w:pPr>
            <w:r w:rsidRPr="00AE7FE8">
              <w:rPr>
                <w:b/>
                <w:bCs/>
                <w:kern w:val="2"/>
                <w:sz w:val="24"/>
                <w:szCs w:val="24"/>
              </w:rPr>
              <w:t xml:space="preserve">Deadline: </w:t>
            </w:r>
            <w:r>
              <w:rPr>
                <w:kern w:val="2"/>
                <w:sz w:val="24"/>
                <w:szCs w:val="24"/>
              </w:rPr>
              <w:t xml:space="preserve"> Once NTIA’s Assistant Secretary approves the Eligible Entity’s Initial Proposal, NTIA will make available not less than 20% of the total grant funds allocated to the Eligible Entity</w:t>
            </w:r>
          </w:p>
        </w:tc>
      </w:tr>
      <w:tr w:rsidR="008A4BC1" w:rsidRPr="00AE7FE8" w14:paraId="14F96E50" w14:textId="77777777" w:rsidTr="00BA28F3">
        <w:tc>
          <w:tcPr>
            <w:tcW w:w="3865" w:type="dxa"/>
            <w:shd w:val="clear" w:color="auto" w:fill="F2F2F2"/>
          </w:tcPr>
          <w:p w14:paraId="0222AFC5" w14:textId="77777777" w:rsidR="008A4BC1" w:rsidRPr="00AE7FE8" w:rsidRDefault="008A4BC1" w:rsidP="004E335F">
            <w:pPr>
              <w:spacing w:before="100" w:beforeAutospacing="1"/>
              <w:rPr>
                <w:b/>
                <w:bCs/>
                <w:kern w:val="2"/>
                <w:sz w:val="24"/>
                <w:szCs w:val="24"/>
              </w:rPr>
            </w:pPr>
            <w:r w:rsidRPr="00AE7FE8">
              <w:rPr>
                <w:b/>
                <w:bCs/>
                <w:kern w:val="2"/>
                <w:sz w:val="24"/>
                <w:szCs w:val="24"/>
              </w:rPr>
              <w:t>Final Proposal</w:t>
            </w:r>
          </w:p>
        </w:tc>
        <w:tc>
          <w:tcPr>
            <w:tcW w:w="5485" w:type="dxa"/>
            <w:shd w:val="clear" w:color="auto" w:fill="F2F2F2"/>
          </w:tcPr>
          <w:p w14:paraId="07BDBC9C" w14:textId="77777777" w:rsidR="008A4BC1" w:rsidRPr="00AE7FE8" w:rsidRDefault="008A4BC1" w:rsidP="004E335F">
            <w:pPr>
              <w:spacing w:before="100" w:beforeAutospacing="1"/>
              <w:rPr>
                <w:kern w:val="2"/>
                <w:sz w:val="24"/>
                <w:szCs w:val="24"/>
              </w:rPr>
            </w:pPr>
            <w:r w:rsidRPr="00AE7FE8">
              <w:rPr>
                <w:b/>
                <w:bCs/>
                <w:kern w:val="2"/>
                <w:sz w:val="24"/>
                <w:szCs w:val="24"/>
              </w:rPr>
              <w:t>Deadline:</w:t>
            </w:r>
            <w:r w:rsidRPr="00AE7FE8">
              <w:rPr>
                <w:kern w:val="2"/>
                <w:sz w:val="24"/>
                <w:szCs w:val="24"/>
              </w:rPr>
              <w:t xml:space="preserve"> 365 days after the approval of the Initial Proposal  </w:t>
            </w:r>
          </w:p>
        </w:tc>
      </w:tr>
    </w:tbl>
    <w:p w14:paraId="4009C207" w14:textId="77777777" w:rsidR="008A4BC1" w:rsidRDefault="008A4BC1" w:rsidP="008A4BC1">
      <w:pPr>
        <w:pStyle w:val="TableParagraph"/>
        <w:rPr>
          <w:rStyle w:val="Strong"/>
          <w:szCs w:val="24"/>
        </w:rPr>
      </w:pPr>
    </w:p>
    <w:p w14:paraId="5165625E" w14:textId="77777777" w:rsidR="008A4BC1" w:rsidRPr="00F77EEB" w:rsidRDefault="008A4BC1" w:rsidP="00BA28F3">
      <w:pPr>
        <w:pStyle w:val="TableParagraph"/>
        <w:ind w:left="90"/>
        <w:rPr>
          <w:rStyle w:val="Strong"/>
          <w:szCs w:val="24"/>
        </w:rPr>
      </w:pPr>
      <w:r w:rsidRPr="00F77EEB">
        <w:rPr>
          <w:rStyle w:val="Strong"/>
          <w:szCs w:val="24"/>
        </w:rPr>
        <w:t>Source of Governing Requirements</w:t>
      </w:r>
    </w:p>
    <w:p w14:paraId="3CDDAD65" w14:textId="77777777" w:rsidR="005F4813" w:rsidRDefault="005F4813" w:rsidP="008A4BC1">
      <w:pPr>
        <w:widowControl/>
        <w:adjustRightInd w:val="0"/>
        <w:rPr>
          <w:sz w:val="24"/>
          <w:szCs w:val="24"/>
        </w:rPr>
      </w:pPr>
    </w:p>
    <w:p w14:paraId="397B8DCF" w14:textId="4073FDD5" w:rsidR="008A4BC1" w:rsidRPr="00F77EEB" w:rsidRDefault="008A4BC1" w:rsidP="005F4813">
      <w:pPr>
        <w:widowControl/>
        <w:adjustRightInd w:val="0"/>
        <w:ind w:left="90"/>
        <w:rPr>
          <w:sz w:val="24"/>
          <w:szCs w:val="24"/>
        </w:rPr>
      </w:pPr>
      <w:r w:rsidRPr="00C309DB">
        <w:rPr>
          <w:sz w:val="24"/>
          <w:szCs w:val="24"/>
        </w:rPr>
        <w:t>BEAD Program, authorized by the Infrastructure Investment and Jobs Act of 2021, Division F, Title I, Section 60102, Public Law 117-58, 135 Stat. 429 (November 15, 2021) (Infrastructure Act or Act) also known as the Bipartisan Infrastructure Law.</w:t>
      </w:r>
    </w:p>
    <w:p w14:paraId="53FC19FC" w14:textId="77777777" w:rsidR="008A4BC1" w:rsidRPr="00C309DB" w:rsidRDefault="008A4BC1" w:rsidP="008A4BC1">
      <w:pPr>
        <w:widowControl/>
        <w:adjustRightInd w:val="0"/>
        <w:rPr>
          <w:sz w:val="24"/>
          <w:szCs w:val="24"/>
        </w:rPr>
      </w:pPr>
    </w:p>
    <w:p w14:paraId="097DC5F2" w14:textId="77777777" w:rsidR="008A4BC1" w:rsidRPr="00F77EEB" w:rsidRDefault="008A4BC1" w:rsidP="005F4813">
      <w:pPr>
        <w:pStyle w:val="Heading1"/>
        <w:ind w:left="90"/>
        <w:rPr>
          <w:rStyle w:val="Strong"/>
          <w:b/>
          <w:bCs/>
        </w:rPr>
      </w:pPr>
      <w:r w:rsidRPr="00F77EEB">
        <w:rPr>
          <w:rStyle w:val="Strong"/>
          <w:b/>
          <w:bCs/>
        </w:rPr>
        <w:t>Availability of Other Program Information</w:t>
      </w:r>
    </w:p>
    <w:p w14:paraId="05663F2D" w14:textId="77777777" w:rsidR="005F4813" w:rsidRDefault="005F4813" w:rsidP="005F4813">
      <w:pPr>
        <w:pStyle w:val="ListParagraph"/>
        <w:numPr>
          <w:ilvl w:val="0"/>
          <w:numId w:val="0"/>
        </w:numPr>
        <w:ind w:left="90"/>
      </w:pPr>
    </w:p>
    <w:p w14:paraId="43FFDC6F" w14:textId="6FAAC576" w:rsidR="008A4BC1" w:rsidRDefault="008A4BC1" w:rsidP="005F4813">
      <w:pPr>
        <w:pStyle w:val="ListParagraph"/>
        <w:numPr>
          <w:ilvl w:val="0"/>
          <w:numId w:val="0"/>
        </w:numPr>
        <w:ind w:left="90"/>
      </w:pPr>
      <w:r w:rsidRPr="00F77EEB">
        <w:t>Other</w:t>
      </w:r>
      <w:r w:rsidRPr="00F77EEB">
        <w:rPr>
          <w:spacing w:val="-5"/>
        </w:rPr>
        <w:t xml:space="preserve"> </w:t>
      </w:r>
      <w:r w:rsidRPr="00F77EEB">
        <w:t>program</w:t>
      </w:r>
      <w:r w:rsidRPr="00F77EEB">
        <w:rPr>
          <w:spacing w:val="-2"/>
        </w:rPr>
        <w:t xml:space="preserve"> </w:t>
      </w:r>
      <w:r w:rsidRPr="00F77EEB">
        <w:t>information</w:t>
      </w:r>
      <w:r w:rsidRPr="00F77EEB">
        <w:rPr>
          <w:spacing w:val="-1"/>
        </w:rPr>
        <w:t xml:space="preserve"> </w:t>
      </w:r>
      <w:r w:rsidRPr="00F77EEB">
        <w:t>is</w:t>
      </w:r>
      <w:r w:rsidRPr="00F77EEB">
        <w:rPr>
          <w:spacing w:val="-2"/>
        </w:rPr>
        <w:t xml:space="preserve"> </w:t>
      </w:r>
      <w:r w:rsidRPr="00F77EEB">
        <w:t>available on</w:t>
      </w:r>
      <w:r w:rsidRPr="00F77EEB">
        <w:rPr>
          <w:spacing w:val="-2"/>
        </w:rPr>
        <w:t xml:space="preserve"> </w:t>
      </w:r>
      <w:r w:rsidRPr="00F77EEB">
        <w:t xml:space="preserve">NTIA’s </w:t>
      </w:r>
      <w:proofErr w:type="spellStart"/>
      <w:r w:rsidRPr="00F77EEB">
        <w:t>BroadbandUSA</w:t>
      </w:r>
      <w:proofErr w:type="spellEnd"/>
      <w:r w:rsidRPr="00F77EEB">
        <w:rPr>
          <w:spacing w:val="1"/>
        </w:rPr>
        <w:t xml:space="preserve"> </w:t>
      </w:r>
      <w:r w:rsidRPr="00F77EEB">
        <w:t>webpage</w:t>
      </w:r>
      <w:r w:rsidRPr="00F77EEB">
        <w:rPr>
          <w:spacing w:val="-4"/>
        </w:rPr>
        <w:t xml:space="preserve">, </w:t>
      </w:r>
      <w:hyperlink r:id="rId15" w:history="1">
        <w:r w:rsidRPr="00F77EEB">
          <w:rPr>
            <w:rStyle w:val="Hyperlink"/>
          </w:rPr>
          <w:t xml:space="preserve">Broadband Equity Access and Deployment Program | </w:t>
        </w:r>
        <w:proofErr w:type="spellStart"/>
        <w:r w:rsidRPr="00F77EEB">
          <w:rPr>
            <w:rStyle w:val="Hyperlink"/>
          </w:rPr>
          <w:t>BroadbandUSA</w:t>
        </w:r>
        <w:proofErr w:type="spellEnd"/>
        <w:r w:rsidRPr="00F77EEB">
          <w:rPr>
            <w:rStyle w:val="Hyperlink"/>
          </w:rPr>
          <w:t xml:space="preserve"> (doc.gov)</w:t>
        </w:r>
      </w:hyperlink>
    </w:p>
    <w:p w14:paraId="2200E4C6" w14:textId="5583FFF9" w:rsidR="00E65DF6" w:rsidRDefault="00E65DF6" w:rsidP="002C0B89">
      <w:pPr>
        <w:pStyle w:val="ListParagraph"/>
        <w:numPr>
          <w:ilvl w:val="0"/>
          <w:numId w:val="0"/>
        </w:numPr>
        <w:ind w:left="840"/>
      </w:pPr>
      <w:r>
        <w:t xml:space="preserve"> </w:t>
      </w:r>
    </w:p>
    <w:p w14:paraId="534A0F66" w14:textId="27478777" w:rsidR="006563B0" w:rsidRPr="005F4813" w:rsidRDefault="006563B0" w:rsidP="00541D45">
      <w:pPr>
        <w:pStyle w:val="ListParagraph"/>
        <w:numPr>
          <w:ilvl w:val="0"/>
          <w:numId w:val="4"/>
        </w:numPr>
        <w:ind w:hanging="750"/>
        <w:rPr>
          <w:b/>
          <w:bCs/>
        </w:rPr>
      </w:pPr>
      <w:r w:rsidRPr="005F4813">
        <w:rPr>
          <w:b/>
          <w:bCs/>
        </w:rPr>
        <w:t>COMPLIANCE REQUIREMENTS</w:t>
      </w:r>
    </w:p>
    <w:p w14:paraId="5B3D9704" w14:textId="77777777" w:rsidR="006563B0" w:rsidRDefault="006563B0" w:rsidP="006563B0">
      <w:pPr>
        <w:pStyle w:val="BodyText"/>
        <w:spacing w:before="10"/>
        <w:rPr>
          <w:b/>
          <w:sz w:val="20"/>
        </w:rPr>
      </w:pPr>
    </w:p>
    <w:p w14:paraId="64D761EC" w14:textId="77777777" w:rsidR="006563B0" w:rsidRDefault="006563B0" w:rsidP="006563B0">
      <w:pPr>
        <w:pStyle w:val="BodyText"/>
        <w:ind w:left="100" w:right="122"/>
      </w:pPr>
      <w:r>
        <w:t xml:space="preserve">In developing the audit procedures to test compliance with the requirements for this federal program, the auditor must determine, from the following summary (also included in Part 2, “Matrix of Compliance Requirements”), which of the 12 types of compliance requirements have been identified as subject to the audit (noted with a “Y” in the summary matrix below), and then determine which of the compliance requirements that are subject to the audit are likely to have a direct and material effect on the federal program at the auditee. For each such compliance </w:t>
      </w:r>
      <w:r>
        <w:lastRenderedPageBreak/>
        <w:t>requirement</w:t>
      </w:r>
      <w:r>
        <w:rPr>
          <w:spacing w:val="-3"/>
        </w:rPr>
        <w:t xml:space="preserve"> </w:t>
      </w:r>
      <w:r>
        <w:t>subject</w:t>
      </w:r>
      <w:r>
        <w:rPr>
          <w:spacing w:val="-3"/>
        </w:rPr>
        <w:t xml:space="preserve"> </w:t>
      </w:r>
      <w:r>
        <w:t>to</w:t>
      </w:r>
      <w:r>
        <w:rPr>
          <w:spacing w:val="-3"/>
        </w:rPr>
        <w:t xml:space="preserve"> </w:t>
      </w:r>
      <w:r>
        <w:t>the</w:t>
      </w:r>
      <w:r>
        <w:rPr>
          <w:spacing w:val="-3"/>
        </w:rPr>
        <w:t xml:space="preserve"> </w:t>
      </w:r>
      <w:r>
        <w:t>audit,</w:t>
      </w:r>
      <w:r>
        <w:rPr>
          <w:spacing w:val="-3"/>
        </w:rPr>
        <w:t xml:space="preserve"> </w:t>
      </w:r>
      <w:r>
        <w:t>the</w:t>
      </w:r>
      <w:r>
        <w:rPr>
          <w:spacing w:val="-3"/>
        </w:rPr>
        <w:t xml:space="preserve"> </w:t>
      </w:r>
      <w:r>
        <w:t>auditor</w:t>
      </w:r>
      <w:r>
        <w:rPr>
          <w:spacing w:val="-3"/>
        </w:rPr>
        <w:t xml:space="preserve"> </w:t>
      </w:r>
      <w:r>
        <w:t>must</w:t>
      </w:r>
      <w:r>
        <w:rPr>
          <w:spacing w:val="-3"/>
        </w:rPr>
        <w:t xml:space="preserve"> </w:t>
      </w:r>
      <w:r>
        <w:t>use</w:t>
      </w:r>
      <w:r>
        <w:rPr>
          <w:spacing w:val="-4"/>
        </w:rPr>
        <w:t xml:space="preserve"> </w:t>
      </w:r>
      <w:r>
        <w:t>Part</w:t>
      </w:r>
      <w:r>
        <w:rPr>
          <w:spacing w:val="-3"/>
        </w:rPr>
        <w:t xml:space="preserve"> </w:t>
      </w:r>
      <w:r>
        <w:t>3</w:t>
      </w:r>
      <w:r>
        <w:rPr>
          <w:spacing w:val="-3"/>
        </w:rPr>
        <w:t xml:space="preserve"> </w:t>
      </w:r>
      <w:r>
        <w:t>(which</w:t>
      </w:r>
      <w:r>
        <w:rPr>
          <w:spacing w:val="-3"/>
        </w:rPr>
        <w:t xml:space="preserve"> </w:t>
      </w:r>
      <w:r>
        <w:t>includes</w:t>
      </w:r>
      <w:r>
        <w:rPr>
          <w:spacing w:val="-4"/>
        </w:rPr>
        <w:t xml:space="preserve"> </w:t>
      </w:r>
      <w:r>
        <w:t>generic</w:t>
      </w:r>
      <w:r>
        <w:rPr>
          <w:spacing w:val="-5"/>
        </w:rPr>
        <w:t xml:space="preserve"> </w:t>
      </w:r>
      <w:r>
        <w:t>details</w:t>
      </w:r>
      <w:r>
        <w:rPr>
          <w:spacing w:val="-4"/>
        </w:rPr>
        <w:t xml:space="preserve"> </w:t>
      </w:r>
      <w:r>
        <w:t xml:space="preserve">about each compliance requirement other than Special Tests and Provisions) and this program supplement (which includes any program-specific requirements) to perform the audit. When a compliance requirement is shown in the summary below as “N,” it has been identified as not being subject to the audit. Auditors are not expected to test requirements that have been noted with an “N.” See the Safe Harbor Status </w:t>
      </w:r>
      <w:proofErr w:type="gramStart"/>
      <w:r>
        <w:t>discussion</w:t>
      </w:r>
      <w:proofErr w:type="gramEnd"/>
      <w:r>
        <w:t xml:space="preserve"> in Part 1 for additional information.</w:t>
      </w:r>
    </w:p>
    <w:p w14:paraId="02A71A37" w14:textId="77777777" w:rsidR="00E71919" w:rsidRDefault="00E71919" w:rsidP="006563B0">
      <w:pPr>
        <w:pStyle w:val="BodyText"/>
        <w:ind w:left="100" w:right="122"/>
      </w:pPr>
    </w:p>
    <w:p w14:paraId="35D48309" w14:textId="77777777" w:rsidR="006563B0" w:rsidRDefault="006563B0" w:rsidP="006563B0">
      <w:pPr>
        <w:pStyle w:val="BodyText"/>
        <w:ind w:left="100" w:right="122"/>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6"/>
        <w:gridCol w:w="768"/>
        <w:gridCol w:w="768"/>
        <w:gridCol w:w="766"/>
        <w:gridCol w:w="768"/>
        <w:gridCol w:w="768"/>
        <w:gridCol w:w="768"/>
        <w:gridCol w:w="768"/>
        <w:gridCol w:w="768"/>
        <w:gridCol w:w="769"/>
        <w:gridCol w:w="768"/>
        <w:gridCol w:w="768"/>
      </w:tblGrid>
      <w:tr w:rsidR="006563B0" w14:paraId="19DE9413" w14:textId="77777777" w:rsidTr="006563B0">
        <w:trPr>
          <w:trHeight w:val="945"/>
        </w:trPr>
        <w:tc>
          <w:tcPr>
            <w:tcW w:w="766" w:type="dxa"/>
            <w:tcBorders>
              <w:top w:val="single" w:sz="4" w:space="0" w:color="000000"/>
              <w:left w:val="single" w:sz="4" w:space="0" w:color="000000"/>
              <w:bottom w:val="single" w:sz="4" w:space="0" w:color="000000"/>
              <w:right w:val="single" w:sz="4" w:space="0" w:color="000000"/>
            </w:tcBorders>
          </w:tcPr>
          <w:p w14:paraId="43C93360" w14:textId="77777777" w:rsidR="006563B0" w:rsidRDefault="006563B0">
            <w:pPr>
              <w:pStyle w:val="TableParagraph"/>
              <w:rPr>
                <w:sz w:val="18"/>
              </w:rPr>
            </w:pPr>
          </w:p>
          <w:p w14:paraId="18C4B2DC" w14:textId="77777777" w:rsidR="006563B0" w:rsidRDefault="006563B0">
            <w:pPr>
              <w:pStyle w:val="TableParagraph"/>
              <w:spacing w:before="3"/>
              <w:rPr>
                <w:sz w:val="15"/>
              </w:rPr>
            </w:pPr>
          </w:p>
          <w:p w14:paraId="4D0E5240" w14:textId="77777777" w:rsidR="006563B0" w:rsidRDefault="006563B0">
            <w:pPr>
              <w:pStyle w:val="TableParagraph"/>
              <w:ind w:left="7"/>
              <w:jc w:val="center"/>
              <w:rPr>
                <w:sz w:val="16"/>
              </w:rPr>
            </w:pPr>
            <w:r>
              <w:rPr>
                <w:sz w:val="16"/>
              </w:rPr>
              <w:t>A</w:t>
            </w:r>
          </w:p>
        </w:tc>
        <w:tc>
          <w:tcPr>
            <w:tcW w:w="768" w:type="dxa"/>
            <w:tcBorders>
              <w:top w:val="single" w:sz="4" w:space="0" w:color="000000"/>
              <w:left w:val="single" w:sz="4" w:space="0" w:color="000000"/>
              <w:bottom w:val="single" w:sz="4" w:space="0" w:color="000000"/>
              <w:right w:val="single" w:sz="4" w:space="0" w:color="000000"/>
            </w:tcBorders>
          </w:tcPr>
          <w:p w14:paraId="39764129" w14:textId="77777777" w:rsidR="006563B0" w:rsidRDefault="006563B0">
            <w:pPr>
              <w:pStyle w:val="TableParagraph"/>
              <w:rPr>
                <w:sz w:val="18"/>
              </w:rPr>
            </w:pPr>
          </w:p>
          <w:p w14:paraId="08AE888E" w14:textId="77777777" w:rsidR="006563B0" w:rsidRDefault="006563B0">
            <w:pPr>
              <w:pStyle w:val="TableParagraph"/>
              <w:spacing w:before="3"/>
              <w:rPr>
                <w:sz w:val="15"/>
              </w:rPr>
            </w:pPr>
          </w:p>
          <w:p w14:paraId="2AB96E14" w14:textId="77777777" w:rsidR="006563B0" w:rsidRDefault="006563B0">
            <w:pPr>
              <w:pStyle w:val="TableParagraph"/>
              <w:ind w:left="10"/>
              <w:jc w:val="center"/>
              <w:rPr>
                <w:sz w:val="16"/>
              </w:rPr>
            </w:pPr>
            <w:r>
              <w:rPr>
                <w:sz w:val="16"/>
              </w:rPr>
              <w:t>B</w:t>
            </w:r>
          </w:p>
        </w:tc>
        <w:tc>
          <w:tcPr>
            <w:tcW w:w="768" w:type="dxa"/>
            <w:tcBorders>
              <w:top w:val="single" w:sz="4" w:space="0" w:color="000000"/>
              <w:left w:val="single" w:sz="4" w:space="0" w:color="000000"/>
              <w:bottom w:val="single" w:sz="4" w:space="0" w:color="000000"/>
              <w:right w:val="single" w:sz="4" w:space="0" w:color="000000"/>
            </w:tcBorders>
          </w:tcPr>
          <w:p w14:paraId="26C0BB7A" w14:textId="77777777" w:rsidR="006563B0" w:rsidRDefault="006563B0">
            <w:pPr>
              <w:pStyle w:val="TableParagraph"/>
              <w:rPr>
                <w:sz w:val="18"/>
              </w:rPr>
            </w:pPr>
          </w:p>
          <w:p w14:paraId="4AE4F25D" w14:textId="77777777" w:rsidR="006563B0" w:rsidRDefault="006563B0">
            <w:pPr>
              <w:pStyle w:val="TableParagraph"/>
              <w:spacing w:before="3"/>
              <w:rPr>
                <w:sz w:val="15"/>
              </w:rPr>
            </w:pPr>
          </w:p>
          <w:p w14:paraId="4C32B8B8" w14:textId="77777777" w:rsidR="006563B0" w:rsidRDefault="006563B0">
            <w:pPr>
              <w:pStyle w:val="TableParagraph"/>
              <w:ind w:left="330"/>
              <w:rPr>
                <w:sz w:val="16"/>
              </w:rPr>
            </w:pPr>
            <w:r>
              <w:rPr>
                <w:sz w:val="16"/>
              </w:rPr>
              <w:t>C</w:t>
            </w:r>
          </w:p>
        </w:tc>
        <w:tc>
          <w:tcPr>
            <w:tcW w:w="766" w:type="dxa"/>
            <w:tcBorders>
              <w:top w:val="single" w:sz="4" w:space="0" w:color="000000"/>
              <w:left w:val="single" w:sz="4" w:space="0" w:color="000000"/>
              <w:bottom w:val="single" w:sz="4" w:space="0" w:color="000000"/>
              <w:right w:val="single" w:sz="4" w:space="0" w:color="000000"/>
            </w:tcBorders>
          </w:tcPr>
          <w:p w14:paraId="50E54A01" w14:textId="77777777" w:rsidR="006563B0" w:rsidRDefault="006563B0">
            <w:pPr>
              <w:pStyle w:val="TableParagraph"/>
              <w:rPr>
                <w:sz w:val="18"/>
              </w:rPr>
            </w:pPr>
          </w:p>
          <w:p w14:paraId="0754D611" w14:textId="77777777" w:rsidR="006563B0" w:rsidRDefault="006563B0">
            <w:pPr>
              <w:pStyle w:val="TableParagraph"/>
              <w:spacing w:before="3"/>
              <w:rPr>
                <w:sz w:val="15"/>
              </w:rPr>
            </w:pPr>
          </w:p>
          <w:p w14:paraId="5CA50B83" w14:textId="77777777" w:rsidR="006563B0" w:rsidRDefault="006563B0">
            <w:pPr>
              <w:pStyle w:val="TableParagraph"/>
              <w:ind w:left="9"/>
              <w:jc w:val="center"/>
              <w:rPr>
                <w:sz w:val="16"/>
              </w:rPr>
            </w:pPr>
            <w:r>
              <w:rPr>
                <w:sz w:val="16"/>
              </w:rPr>
              <w:t>E</w:t>
            </w:r>
          </w:p>
        </w:tc>
        <w:tc>
          <w:tcPr>
            <w:tcW w:w="768" w:type="dxa"/>
            <w:tcBorders>
              <w:top w:val="single" w:sz="4" w:space="0" w:color="000000"/>
              <w:left w:val="single" w:sz="4" w:space="0" w:color="000000"/>
              <w:bottom w:val="single" w:sz="4" w:space="0" w:color="000000"/>
              <w:right w:val="single" w:sz="4" w:space="0" w:color="000000"/>
            </w:tcBorders>
          </w:tcPr>
          <w:p w14:paraId="42B7896A" w14:textId="77777777" w:rsidR="006563B0" w:rsidRDefault="006563B0">
            <w:pPr>
              <w:pStyle w:val="TableParagraph"/>
              <w:rPr>
                <w:sz w:val="18"/>
              </w:rPr>
            </w:pPr>
          </w:p>
          <w:p w14:paraId="161F85C5" w14:textId="77777777" w:rsidR="006563B0" w:rsidRDefault="006563B0">
            <w:pPr>
              <w:pStyle w:val="TableParagraph"/>
              <w:spacing w:before="3"/>
              <w:rPr>
                <w:sz w:val="15"/>
              </w:rPr>
            </w:pPr>
          </w:p>
          <w:p w14:paraId="525B9D5F" w14:textId="77777777" w:rsidR="006563B0" w:rsidRDefault="006563B0">
            <w:pPr>
              <w:pStyle w:val="TableParagraph"/>
              <w:ind w:left="337"/>
              <w:rPr>
                <w:sz w:val="16"/>
              </w:rPr>
            </w:pPr>
            <w:r>
              <w:rPr>
                <w:sz w:val="16"/>
              </w:rPr>
              <w:t>F</w:t>
            </w:r>
          </w:p>
        </w:tc>
        <w:tc>
          <w:tcPr>
            <w:tcW w:w="768" w:type="dxa"/>
            <w:tcBorders>
              <w:top w:val="single" w:sz="4" w:space="0" w:color="000000"/>
              <w:left w:val="single" w:sz="4" w:space="0" w:color="000000"/>
              <w:bottom w:val="single" w:sz="4" w:space="0" w:color="000000"/>
              <w:right w:val="single" w:sz="4" w:space="0" w:color="000000"/>
            </w:tcBorders>
          </w:tcPr>
          <w:p w14:paraId="1FB1384E" w14:textId="77777777" w:rsidR="006563B0" w:rsidRDefault="006563B0">
            <w:pPr>
              <w:pStyle w:val="TableParagraph"/>
              <w:rPr>
                <w:sz w:val="18"/>
              </w:rPr>
            </w:pPr>
          </w:p>
          <w:p w14:paraId="6CC9C64D" w14:textId="77777777" w:rsidR="006563B0" w:rsidRDefault="006563B0">
            <w:pPr>
              <w:pStyle w:val="TableParagraph"/>
              <w:spacing w:before="3"/>
              <w:rPr>
                <w:sz w:val="15"/>
              </w:rPr>
            </w:pPr>
          </w:p>
          <w:p w14:paraId="13C95A22" w14:textId="77777777" w:rsidR="006563B0" w:rsidRDefault="006563B0">
            <w:pPr>
              <w:pStyle w:val="TableParagraph"/>
              <w:ind w:left="9"/>
              <w:jc w:val="center"/>
              <w:rPr>
                <w:sz w:val="16"/>
              </w:rPr>
            </w:pPr>
            <w:r>
              <w:rPr>
                <w:sz w:val="16"/>
              </w:rPr>
              <w:t>G</w:t>
            </w:r>
          </w:p>
        </w:tc>
        <w:tc>
          <w:tcPr>
            <w:tcW w:w="768" w:type="dxa"/>
            <w:tcBorders>
              <w:top w:val="single" w:sz="4" w:space="0" w:color="000000"/>
              <w:left w:val="single" w:sz="4" w:space="0" w:color="000000"/>
              <w:bottom w:val="single" w:sz="4" w:space="0" w:color="000000"/>
              <w:right w:val="single" w:sz="4" w:space="0" w:color="000000"/>
            </w:tcBorders>
          </w:tcPr>
          <w:p w14:paraId="2E937C08" w14:textId="77777777" w:rsidR="006563B0" w:rsidRDefault="006563B0">
            <w:pPr>
              <w:pStyle w:val="TableParagraph"/>
              <w:rPr>
                <w:sz w:val="18"/>
              </w:rPr>
            </w:pPr>
          </w:p>
          <w:p w14:paraId="6B0A02CA" w14:textId="77777777" w:rsidR="006563B0" w:rsidRDefault="006563B0">
            <w:pPr>
              <w:pStyle w:val="TableParagraph"/>
              <w:spacing w:before="3"/>
              <w:rPr>
                <w:sz w:val="15"/>
              </w:rPr>
            </w:pPr>
          </w:p>
          <w:p w14:paraId="7A19EEF3" w14:textId="77777777" w:rsidR="006563B0" w:rsidRDefault="006563B0">
            <w:pPr>
              <w:pStyle w:val="TableParagraph"/>
              <w:ind w:left="9"/>
              <w:jc w:val="center"/>
              <w:rPr>
                <w:sz w:val="16"/>
              </w:rPr>
            </w:pPr>
            <w:r>
              <w:rPr>
                <w:sz w:val="16"/>
              </w:rPr>
              <w:t>H</w:t>
            </w:r>
          </w:p>
        </w:tc>
        <w:tc>
          <w:tcPr>
            <w:tcW w:w="768" w:type="dxa"/>
            <w:tcBorders>
              <w:top w:val="single" w:sz="4" w:space="0" w:color="000000"/>
              <w:left w:val="single" w:sz="4" w:space="0" w:color="000000"/>
              <w:bottom w:val="single" w:sz="4" w:space="0" w:color="000000"/>
              <w:right w:val="single" w:sz="4" w:space="0" w:color="000000"/>
            </w:tcBorders>
          </w:tcPr>
          <w:p w14:paraId="4FF0CBF3" w14:textId="77777777" w:rsidR="006563B0" w:rsidRDefault="006563B0">
            <w:pPr>
              <w:pStyle w:val="TableParagraph"/>
              <w:rPr>
                <w:sz w:val="18"/>
              </w:rPr>
            </w:pPr>
          </w:p>
          <w:p w14:paraId="63CD03DD" w14:textId="77777777" w:rsidR="006563B0" w:rsidRDefault="006563B0">
            <w:pPr>
              <w:pStyle w:val="TableParagraph"/>
              <w:spacing w:before="3"/>
              <w:rPr>
                <w:sz w:val="15"/>
              </w:rPr>
            </w:pPr>
          </w:p>
          <w:p w14:paraId="4B1A2647" w14:textId="77777777" w:rsidR="006563B0" w:rsidRDefault="006563B0">
            <w:pPr>
              <w:pStyle w:val="TableParagraph"/>
              <w:ind w:left="357"/>
              <w:rPr>
                <w:sz w:val="16"/>
              </w:rPr>
            </w:pPr>
            <w:r>
              <w:rPr>
                <w:sz w:val="16"/>
              </w:rPr>
              <w:t>I</w:t>
            </w:r>
          </w:p>
        </w:tc>
        <w:tc>
          <w:tcPr>
            <w:tcW w:w="768" w:type="dxa"/>
            <w:tcBorders>
              <w:top w:val="single" w:sz="4" w:space="0" w:color="000000"/>
              <w:left w:val="single" w:sz="4" w:space="0" w:color="000000"/>
              <w:bottom w:val="single" w:sz="4" w:space="0" w:color="000000"/>
              <w:right w:val="single" w:sz="4" w:space="0" w:color="000000"/>
            </w:tcBorders>
          </w:tcPr>
          <w:p w14:paraId="453B4856" w14:textId="77777777" w:rsidR="006563B0" w:rsidRDefault="006563B0">
            <w:pPr>
              <w:pStyle w:val="TableParagraph"/>
              <w:rPr>
                <w:sz w:val="18"/>
              </w:rPr>
            </w:pPr>
          </w:p>
          <w:p w14:paraId="0E52DD38" w14:textId="77777777" w:rsidR="006563B0" w:rsidRDefault="006563B0">
            <w:pPr>
              <w:pStyle w:val="TableParagraph"/>
              <w:spacing w:before="3"/>
              <w:rPr>
                <w:sz w:val="15"/>
              </w:rPr>
            </w:pPr>
          </w:p>
          <w:p w14:paraId="1BFD55E2" w14:textId="77777777" w:rsidR="006563B0" w:rsidRDefault="006563B0">
            <w:pPr>
              <w:pStyle w:val="TableParagraph"/>
              <w:ind w:left="10"/>
              <w:jc w:val="center"/>
              <w:rPr>
                <w:sz w:val="16"/>
              </w:rPr>
            </w:pPr>
            <w:r>
              <w:rPr>
                <w:sz w:val="16"/>
              </w:rPr>
              <w:t>J</w:t>
            </w:r>
          </w:p>
        </w:tc>
        <w:tc>
          <w:tcPr>
            <w:tcW w:w="769" w:type="dxa"/>
            <w:tcBorders>
              <w:top w:val="single" w:sz="4" w:space="0" w:color="000000"/>
              <w:left w:val="single" w:sz="4" w:space="0" w:color="000000"/>
              <w:bottom w:val="single" w:sz="4" w:space="0" w:color="000000"/>
              <w:right w:val="single" w:sz="4" w:space="0" w:color="000000"/>
            </w:tcBorders>
          </w:tcPr>
          <w:p w14:paraId="60D47CD7" w14:textId="77777777" w:rsidR="006563B0" w:rsidRDefault="006563B0">
            <w:pPr>
              <w:pStyle w:val="TableParagraph"/>
              <w:rPr>
                <w:sz w:val="18"/>
              </w:rPr>
            </w:pPr>
          </w:p>
          <w:p w14:paraId="52C637B8" w14:textId="77777777" w:rsidR="006563B0" w:rsidRDefault="006563B0">
            <w:pPr>
              <w:pStyle w:val="TableParagraph"/>
              <w:spacing w:before="3"/>
              <w:rPr>
                <w:sz w:val="15"/>
              </w:rPr>
            </w:pPr>
          </w:p>
          <w:p w14:paraId="1954721A" w14:textId="77777777" w:rsidR="006563B0" w:rsidRDefault="006563B0">
            <w:pPr>
              <w:pStyle w:val="TableParagraph"/>
              <w:ind w:left="6"/>
              <w:jc w:val="center"/>
              <w:rPr>
                <w:sz w:val="16"/>
              </w:rPr>
            </w:pPr>
            <w:r>
              <w:rPr>
                <w:sz w:val="16"/>
              </w:rPr>
              <w:t>L</w:t>
            </w:r>
          </w:p>
        </w:tc>
        <w:tc>
          <w:tcPr>
            <w:tcW w:w="768" w:type="dxa"/>
            <w:tcBorders>
              <w:top w:val="single" w:sz="4" w:space="0" w:color="000000"/>
              <w:left w:val="single" w:sz="4" w:space="0" w:color="000000"/>
              <w:bottom w:val="single" w:sz="4" w:space="0" w:color="000000"/>
              <w:right w:val="single" w:sz="4" w:space="0" w:color="000000"/>
            </w:tcBorders>
          </w:tcPr>
          <w:p w14:paraId="57AA0445" w14:textId="77777777" w:rsidR="006563B0" w:rsidRDefault="006563B0">
            <w:pPr>
              <w:pStyle w:val="TableParagraph"/>
              <w:rPr>
                <w:sz w:val="18"/>
              </w:rPr>
            </w:pPr>
          </w:p>
          <w:p w14:paraId="3072A714" w14:textId="77777777" w:rsidR="006563B0" w:rsidRDefault="006563B0">
            <w:pPr>
              <w:pStyle w:val="TableParagraph"/>
              <w:spacing w:before="3"/>
              <w:rPr>
                <w:sz w:val="15"/>
              </w:rPr>
            </w:pPr>
          </w:p>
          <w:p w14:paraId="39808634" w14:textId="77777777" w:rsidR="006563B0" w:rsidRDefault="006563B0">
            <w:pPr>
              <w:pStyle w:val="TableParagraph"/>
              <w:ind w:left="8"/>
              <w:jc w:val="center"/>
              <w:rPr>
                <w:sz w:val="16"/>
              </w:rPr>
            </w:pPr>
            <w:r>
              <w:rPr>
                <w:sz w:val="16"/>
              </w:rPr>
              <w:t>M</w:t>
            </w:r>
          </w:p>
        </w:tc>
        <w:tc>
          <w:tcPr>
            <w:tcW w:w="768" w:type="dxa"/>
            <w:tcBorders>
              <w:top w:val="single" w:sz="4" w:space="0" w:color="000000"/>
              <w:left w:val="single" w:sz="4" w:space="0" w:color="000000"/>
              <w:bottom w:val="single" w:sz="4" w:space="0" w:color="000000"/>
              <w:right w:val="single" w:sz="4" w:space="0" w:color="000000"/>
            </w:tcBorders>
          </w:tcPr>
          <w:p w14:paraId="12A94DDD" w14:textId="77777777" w:rsidR="006563B0" w:rsidRDefault="006563B0">
            <w:pPr>
              <w:pStyle w:val="TableParagraph"/>
              <w:rPr>
                <w:sz w:val="18"/>
              </w:rPr>
            </w:pPr>
          </w:p>
          <w:p w14:paraId="041CCA04" w14:textId="77777777" w:rsidR="006563B0" w:rsidRDefault="006563B0">
            <w:pPr>
              <w:pStyle w:val="TableParagraph"/>
              <w:spacing w:before="3"/>
              <w:rPr>
                <w:sz w:val="15"/>
              </w:rPr>
            </w:pPr>
          </w:p>
          <w:p w14:paraId="5F7EADCE" w14:textId="77777777" w:rsidR="006563B0" w:rsidRDefault="006563B0">
            <w:pPr>
              <w:pStyle w:val="TableParagraph"/>
              <w:ind w:left="9"/>
              <w:jc w:val="center"/>
              <w:rPr>
                <w:sz w:val="16"/>
              </w:rPr>
            </w:pPr>
            <w:r>
              <w:rPr>
                <w:sz w:val="16"/>
              </w:rPr>
              <w:t>N</w:t>
            </w:r>
          </w:p>
        </w:tc>
      </w:tr>
      <w:tr w:rsidR="006563B0" w14:paraId="6281E10F" w14:textId="77777777" w:rsidTr="006563B0">
        <w:trPr>
          <w:trHeight w:val="1401"/>
        </w:trPr>
        <w:tc>
          <w:tcPr>
            <w:tcW w:w="766" w:type="dxa"/>
            <w:tcBorders>
              <w:top w:val="single" w:sz="4" w:space="0" w:color="000000"/>
              <w:left w:val="single" w:sz="4" w:space="0" w:color="000000"/>
              <w:bottom w:val="single" w:sz="4" w:space="0" w:color="000000"/>
              <w:right w:val="single" w:sz="4" w:space="0" w:color="000000"/>
            </w:tcBorders>
            <w:textDirection w:val="btLr"/>
            <w:hideMark/>
          </w:tcPr>
          <w:p w14:paraId="0AE36762" w14:textId="77777777" w:rsidR="006563B0" w:rsidRDefault="006563B0">
            <w:pPr>
              <w:pStyle w:val="TableParagraph"/>
              <w:spacing w:before="112" w:line="242" w:lineRule="auto"/>
              <w:ind w:left="112" w:right="554"/>
              <w:rPr>
                <w:sz w:val="16"/>
              </w:rPr>
            </w:pPr>
            <w:r>
              <w:rPr>
                <w:spacing w:val="-2"/>
                <w:sz w:val="16"/>
              </w:rPr>
              <w:t>Activities</w:t>
            </w:r>
            <w:r>
              <w:rPr>
                <w:spacing w:val="40"/>
                <w:sz w:val="16"/>
              </w:rPr>
              <w:t xml:space="preserve"> </w:t>
            </w:r>
            <w:r>
              <w:rPr>
                <w:sz w:val="16"/>
              </w:rPr>
              <w:t>Allowed</w:t>
            </w:r>
            <w:r>
              <w:rPr>
                <w:spacing w:val="-10"/>
                <w:sz w:val="16"/>
              </w:rPr>
              <w:t xml:space="preserve"> </w:t>
            </w:r>
            <w:r>
              <w:rPr>
                <w:sz w:val="16"/>
              </w:rPr>
              <w:t>or</w:t>
            </w:r>
            <w:r>
              <w:rPr>
                <w:spacing w:val="40"/>
                <w:sz w:val="16"/>
              </w:rPr>
              <w:t xml:space="preserve"> </w:t>
            </w:r>
            <w:r>
              <w:rPr>
                <w:spacing w:val="-2"/>
                <w:sz w:val="16"/>
              </w:rPr>
              <w:t>Unallowed</w:t>
            </w:r>
          </w:p>
        </w:tc>
        <w:tc>
          <w:tcPr>
            <w:tcW w:w="768" w:type="dxa"/>
            <w:tcBorders>
              <w:top w:val="single" w:sz="4" w:space="0" w:color="000000"/>
              <w:left w:val="single" w:sz="4" w:space="0" w:color="000000"/>
              <w:bottom w:val="single" w:sz="4" w:space="0" w:color="000000"/>
              <w:right w:val="single" w:sz="4" w:space="0" w:color="000000"/>
            </w:tcBorders>
            <w:textDirection w:val="btLr"/>
            <w:hideMark/>
          </w:tcPr>
          <w:p w14:paraId="5101E335" w14:textId="77777777" w:rsidR="006563B0" w:rsidRDefault="006563B0">
            <w:pPr>
              <w:pStyle w:val="TableParagraph"/>
              <w:spacing w:before="111" w:line="244" w:lineRule="auto"/>
              <w:ind w:left="112" w:right="592"/>
              <w:jc w:val="both"/>
              <w:rPr>
                <w:sz w:val="16"/>
              </w:rPr>
            </w:pPr>
            <w:r>
              <w:rPr>
                <w:spacing w:val="-2"/>
                <w:sz w:val="16"/>
              </w:rPr>
              <w:t>Allowable</w:t>
            </w:r>
            <w:r>
              <w:rPr>
                <w:spacing w:val="40"/>
                <w:sz w:val="16"/>
              </w:rPr>
              <w:t xml:space="preserve"> </w:t>
            </w:r>
            <w:r>
              <w:rPr>
                <w:spacing w:val="-2"/>
                <w:sz w:val="16"/>
              </w:rPr>
              <w:t>Costs/Cost</w:t>
            </w:r>
            <w:r>
              <w:rPr>
                <w:spacing w:val="40"/>
                <w:sz w:val="16"/>
              </w:rPr>
              <w:t xml:space="preserve"> </w:t>
            </w:r>
            <w:r>
              <w:rPr>
                <w:spacing w:val="-2"/>
                <w:sz w:val="16"/>
              </w:rPr>
              <w:t>Principles</w:t>
            </w:r>
          </w:p>
        </w:tc>
        <w:tc>
          <w:tcPr>
            <w:tcW w:w="768" w:type="dxa"/>
            <w:tcBorders>
              <w:top w:val="single" w:sz="4" w:space="0" w:color="000000"/>
              <w:left w:val="single" w:sz="4" w:space="0" w:color="000000"/>
              <w:bottom w:val="single" w:sz="4" w:space="0" w:color="000000"/>
              <w:right w:val="single" w:sz="4" w:space="0" w:color="000000"/>
            </w:tcBorders>
            <w:textDirection w:val="btLr"/>
          </w:tcPr>
          <w:p w14:paraId="50764278" w14:textId="77777777" w:rsidR="006563B0" w:rsidRDefault="006563B0">
            <w:pPr>
              <w:pStyle w:val="TableParagraph"/>
              <w:spacing w:before="2"/>
              <w:rPr>
                <w:sz w:val="17"/>
              </w:rPr>
            </w:pPr>
          </w:p>
          <w:p w14:paraId="63E0C3BE" w14:textId="77777777" w:rsidR="006563B0" w:rsidRDefault="006563B0">
            <w:pPr>
              <w:pStyle w:val="TableParagraph"/>
              <w:spacing w:line="242" w:lineRule="auto"/>
              <w:ind w:left="112" w:right="305"/>
              <w:rPr>
                <w:sz w:val="16"/>
              </w:rPr>
            </w:pPr>
            <w:r>
              <w:rPr>
                <w:spacing w:val="-4"/>
                <w:sz w:val="16"/>
              </w:rPr>
              <w:t>Cash</w:t>
            </w:r>
            <w:r>
              <w:rPr>
                <w:spacing w:val="40"/>
                <w:sz w:val="16"/>
              </w:rPr>
              <w:t xml:space="preserve"> </w:t>
            </w:r>
            <w:r>
              <w:rPr>
                <w:spacing w:val="-2"/>
                <w:sz w:val="16"/>
              </w:rPr>
              <w:t>Management</w:t>
            </w:r>
          </w:p>
        </w:tc>
        <w:tc>
          <w:tcPr>
            <w:tcW w:w="766" w:type="dxa"/>
            <w:tcBorders>
              <w:top w:val="single" w:sz="4" w:space="0" w:color="000000"/>
              <w:left w:val="single" w:sz="4" w:space="0" w:color="000000"/>
              <w:bottom w:val="single" w:sz="4" w:space="0" w:color="000000"/>
              <w:right w:val="single" w:sz="4" w:space="0" w:color="000000"/>
            </w:tcBorders>
            <w:textDirection w:val="btLr"/>
          </w:tcPr>
          <w:p w14:paraId="40C23B2C" w14:textId="77777777" w:rsidR="006563B0" w:rsidRDefault="006563B0">
            <w:pPr>
              <w:pStyle w:val="TableParagraph"/>
              <w:spacing w:before="4"/>
              <w:rPr>
                <w:sz w:val="25"/>
              </w:rPr>
            </w:pPr>
          </w:p>
          <w:p w14:paraId="7664D714" w14:textId="77777777" w:rsidR="006563B0" w:rsidRDefault="006563B0">
            <w:pPr>
              <w:pStyle w:val="TableParagraph"/>
              <w:ind w:left="112"/>
              <w:rPr>
                <w:sz w:val="16"/>
              </w:rPr>
            </w:pPr>
            <w:r>
              <w:rPr>
                <w:spacing w:val="-2"/>
                <w:sz w:val="16"/>
              </w:rPr>
              <w:t>Eligibility</w:t>
            </w:r>
          </w:p>
        </w:tc>
        <w:tc>
          <w:tcPr>
            <w:tcW w:w="768" w:type="dxa"/>
            <w:tcBorders>
              <w:top w:val="single" w:sz="4" w:space="0" w:color="000000"/>
              <w:left w:val="single" w:sz="4" w:space="0" w:color="000000"/>
              <w:bottom w:val="single" w:sz="4" w:space="0" w:color="000000"/>
              <w:right w:val="single" w:sz="4" w:space="0" w:color="000000"/>
            </w:tcBorders>
            <w:textDirection w:val="btLr"/>
            <w:hideMark/>
          </w:tcPr>
          <w:p w14:paraId="159C2124" w14:textId="77777777" w:rsidR="006563B0" w:rsidRDefault="006563B0">
            <w:pPr>
              <w:pStyle w:val="TableParagraph"/>
              <w:spacing w:before="111" w:line="242" w:lineRule="auto"/>
              <w:ind w:left="112" w:right="305"/>
              <w:rPr>
                <w:sz w:val="16"/>
              </w:rPr>
            </w:pPr>
            <w:r>
              <w:rPr>
                <w:sz w:val="16"/>
              </w:rPr>
              <w:t>Equipment</w:t>
            </w:r>
            <w:r>
              <w:rPr>
                <w:spacing w:val="-10"/>
                <w:sz w:val="16"/>
              </w:rPr>
              <w:t xml:space="preserve"> </w:t>
            </w:r>
            <w:r>
              <w:rPr>
                <w:sz w:val="16"/>
              </w:rPr>
              <w:t>and</w:t>
            </w:r>
            <w:r>
              <w:rPr>
                <w:spacing w:val="40"/>
                <w:sz w:val="16"/>
              </w:rPr>
              <w:t xml:space="preserve"> </w:t>
            </w:r>
            <w:r>
              <w:rPr>
                <w:sz w:val="16"/>
              </w:rPr>
              <w:t>Real Property</w:t>
            </w:r>
            <w:r>
              <w:rPr>
                <w:spacing w:val="40"/>
                <w:sz w:val="16"/>
              </w:rPr>
              <w:t xml:space="preserve"> </w:t>
            </w:r>
            <w:r>
              <w:rPr>
                <w:spacing w:val="-2"/>
                <w:sz w:val="16"/>
              </w:rPr>
              <w:t>Management</w:t>
            </w:r>
          </w:p>
        </w:tc>
        <w:tc>
          <w:tcPr>
            <w:tcW w:w="768" w:type="dxa"/>
            <w:tcBorders>
              <w:top w:val="single" w:sz="4" w:space="0" w:color="000000"/>
              <w:left w:val="single" w:sz="4" w:space="0" w:color="000000"/>
              <w:bottom w:val="single" w:sz="4" w:space="0" w:color="000000"/>
              <w:right w:val="single" w:sz="4" w:space="0" w:color="000000"/>
            </w:tcBorders>
            <w:textDirection w:val="btLr"/>
            <w:hideMark/>
          </w:tcPr>
          <w:p w14:paraId="21B013C2" w14:textId="77777777" w:rsidR="006563B0" w:rsidRDefault="006563B0">
            <w:pPr>
              <w:pStyle w:val="TableParagraph"/>
              <w:spacing w:before="111" w:line="242" w:lineRule="auto"/>
              <w:ind w:left="112" w:right="285"/>
              <w:rPr>
                <w:sz w:val="16"/>
              </w:rPr>
            </w:pPr>
            <w:r>
              <w:rPr>
                <w:spacing w:val="-2"/>
                <w:sz w:val="16"/>
              </w:rPr>
              <w:t>Matching,</w:t>
            </w:r>
            <w:r>
              <w:rPr>
                <w:spacing w:val="40"/>
                <w:sz w:val="16"/>
              </w:rPr>
              <w:t xml:space="preserve"> </w:t>
            </w:r>
            <w:r>
              <w:rPr>
                <w:sz w:val="16"/>
              </w:rPr>
              <w:t>Level</w:t>
            </w:r>
            <w:r>
              <w:rPr>
                <w:spacing w:val="-10"/>
                <w:sz w:val="16"/>
              </w:rPr>
              <w:t xml:space="preserve"> </w:t>
            </w:r>
            <w:r>
              <w:rPr>
                <w:sz w:val="16"/>
              </w:rPr>
              <w:t>of</w:t>
            </w:r>
            <w:r>
              <w:rPr>
                <w:spacing w:val="-10"/>
                <w:sz w:val="16"/>
              </w:rPr>
              <w:t xml:space="preserve"> </w:t>
            </w:r>
            <w:r>
              <w:rPr>
                <w:sz w:val="16"/>
              </w:rPr>
              <w:t>Effort,</w:t>
            </w:r>
            <w:r>
              <w:rPr>
                <w:spacing w:val="40"/>
                <w:sz w:val="16"/>
              </w:rPr>
              <w:t xml:space="preserve"> </w:t>
            </w:r>
            <w:r>
              <w:rPr>
                <w:spacing w:val="-2"/>
                <w:sz w:val="16"/>
              </w:rPr>
              <w:t>Earmarking</w:t>
            </w:r>
          </w:p>
        </w:tc>
        <w:tc>
          <w:tcPr>
            <w:tcW w:w="768" w:type="dxa"/>
            <w:tcBorders>
              <w:top w:val="single" w:sz="4" w:space="0" w:color="000000"/>
              <w:left w:val="single" w:sz="4" w:space="0" w:color="000000"/>
              <w:bottom w:val="single" w:sz="4" w:space="0" w:color="000000"/>
              <w:right w:val="single" w:sz="4" w:space="0" w:color="000000"/>
            </w:tcBorders>
            <w:textDirection w:val="btLr"/>
            <w:hideMark/>
          </w:tcPr>
          <w:p w14:paraId="7AF2BD5C" w14:textId="77777777" w:rsidR="006563B0" w:rsidRDefault="006563B0">
            <w:pPr>
              <w:pStyle w:val="TableParagraph"/>
              <w:spacing w:before="111" w:line="244" w:lineRule="auto"/>
              <w:ind w:left="112" w:right="863"/>
              <w:rPr>
                <w:sz w:val="16"/>
              </w:rPr>
            </w:pPr>
            <w:r>
              <w:rPr>
                <w:spacing w:val="-2"/>
                <w:sz w:val="16"/>
              </w:rPr>
              <w:t>Period</w:t>
            </w:r>
            <w:r>
              <w:rPr>
                <w:spacing w:val="40"/>
                <w:sz w:val="16"/>
              </w:rPr>
              <w:t xml:space="preserve"> </w:t>
            </w:r>
            <w:r>
              <w:rPr>
                <w:spacing w:val="-6"/>
                <w:sz w:val="16"/>
              </w:rPr>
              <w:t>Of</w:t>
            </w:r>
          </w:p>
          <w:p w14:paraId="4D5761FD" w14:textId="77777777" w:rsidR="006563B0" w:rsidRDefault="006563B0">
            <w:pPr>
              <w:pStyle w:val="TableParagraph"/>
              <w:spacing w:line="182" w:lineRule="exact"/>
              <w:ind w:left="112"/>
              <w:rPr>
                <w:sz w:val="16"/>
              </w:rPr>
            </w:pPr>
            <w:r>
              <w:rPr>
                <w:spacing w:val="-2"/>
                <w:sz w:val="16"/>
              </w:rPr>
              <w:t>Performance</w:t>
            </w:r>
          </w:p>
        </w:tc>
        <w:tc>
          <w:tcPr>
            <w:tcW w:w="768" w:type="dxa"/>
            <w:tcBorders>
              <w:top w:val="single" w:sz="4" w:space="0" w:color="000000"/>
              <w:left w:val="single" w:sz="4" w:space="0" w:color="000000"/>
              <w:bottom w:val="single" w:sz="4" w:space="0" w:color="000000"/>
              <w:right w:val="single" w:sz="4" w:space="0" w:color="000000"/>
            </w:tcBorders>
            <w:textDirection w:val="btLr"/>
            <w:hideMark/>
          </w:tcPr>
          <w:p w14:paraId="2C571295" w14:textId="77777777" w:rsidR="006563B0" w:rsidRDefault="006563B0">
            <w:pPr>
              <w:pStyle w:val="TableParagraph"/>
              <w:spacing w:before="109" w:line="244" w:lineRule="auto"/>
              <w:ind w:left="112" w:right="190"/>
              <w:rPr>
                <w:sz w:val="16"/>
              </w:rPr>
            </w:pPr>
            <w:r>
              <w:rPr>
                <w:sz w:val="16"/>
              </w:rPr>
              <w:t>Procurement</w:t>
            </w:r>
            <w:r>
              <w:rPr>
                <w:spacing w:val="-10"/>
                <w:sz w:val="16"/>
              </w:rPr>
              <w:t xml:space="preserve"> </w:t>
            </w:r>
            <w:r>
              <w:rPr>
                <w:sz w:val="16"/>
              </w:rPr>
              <w:t>and</w:t>
            </w:r>
            <w:r>
              <w:rPr>
                <w:spacing w:val="40"/>
                <w:sz w:val="16"/>
              </w:rPr>
              <w:t xml:space="preserve"> </w:t>
            </w:r>
            <w:r>
              <w:rPr>
                <w:sz w:val="16"/>
              </w:rPr>
              <w:t>Suspension</w:t>
            </w:r>
            <w:r>
              <w:rPr>
                <w:spacing w:val="-1"/>
                <w:sz w:val="16"/>
              </w:rPr>
              <w:t xml:space="preserve"> </w:t>
            </w:r>
            <w:r>
              <w:rPr>
                <w:sz w:val="16"/>
              </w:rPr>
              <w:t>and</w:t>
            </w:r>
            <w:r>
              <w:rPr>
                <w:spacing w:val="40"/>
                <w:sz w:val="16"/>
              </w:rPr>
              <w:t xml:space="preserve"> </w:t>
            </w:r>
            <w:r>
              <w:rPr>
                <w:spacing w:val="-2"/>
                <w:sz w:val="16"/>
              </w:rPr>
              <w:t>Debarment</w:t>
            </w:r>
          </w:p>
        </w:tc>
        <w:tc>
          <w:tcPr>
            <w:tcW w:w="768" w:type="dxa"/>
            <w:tcBorders>
              <w:top w:val="single" w:sz="4" w:space="0" w:color="000000"/>
              <w:left w:val="single" w:sz="4" w:space="0" w:color="000000"/>
              <w:bottom w:val="single" w:sz="4" w:space="0" w:color="000000"/>
              <w:right w:val="single" w:sz="4" w:space="0" w:color="000000"/>
            </w:tcBorders>
            <w:textDirection w:val="btLr"/>
          </w:tcPr>
          <w:p w14:paraId="2370B8A5" w14:textId="77777777" w:rsidR="006563B0" w:rsidRDefault="006563B0">
            <w:pPr>
              <w:pStyle w:val="TableParagraph"/>
              <w:spacing w:before="3"/>
              <w:rPr>
                <w:sz w:val="17"/>
              </w:rPr>
            </w:pPr>
          </w:p>
          <w:p w14:paraId="3668559A" w14:textId="77777777" w:rsidR="006563B0" w:rsidRDefault="006563B0">
            <w:pPr>
              <w:pStyle w:val="TableParagraph"/>
              <w:spacing w:line="242" w:lineRule="auto"/>
              <w:ind w:left="112" w:right="731"/>
              <w:rPr>
                <w:sz w:val="16"/>
              </w:rPr>
            </w:pPr>
            <w:r>
              <w:rPr>
                <w:spacing w:val="-2"/>
                <w:sz w:val="16"/>
              </w:rPr>
              <w:t>Program</w:t>
            </w:r>
            <w:r>
              <w:rPr>
                <w:spacing w:val="40"/>
                <w:sz w:val="16"/>
              </w:rPr>
              <w:t xml:space="preserve"> </w:t>
            </w:r>
            <w:r>
              <w:rPr>
                <w:spacing w:val="-2"/>
                <w:sz w:val="16"/>
              </w:rPr>
              <w:t>Income</w:t>
            </w:r>
          </w:p>
        </w:tc>
        <w:tc>
          <w:tcPr>
            <w:tcW w:w="769" w:type="dxa"/>
            <w:tcBorders>
              <w:top w:val="single" w:sz="4" w:space="0" w:color="000000"/>
              <w:left w:val="single" w:sz="4" w:space="0" w:color="000000"/>
              <w:bottom w:val="single" w:sz="4" w:space="0" w:color="000000"/>
              <w:right w:val="single" w:sz="4" w:space="0" w:color="000000"/>
            </w:tcBorders>
            <w:textDirection w:val="btLr"/>
          </w:tcPr>
          <w:p w14:paraId="5BA8CF9B" w14:textId="77777777" w:rsidR="006563B0" w:rsidRDefault="006563B0">
            <w:pPr>
              <w:pStyle w:val="TableParagraph"/>
              <w:spacing w:before="4"/>
              <w:rPr>
                <w:sz w:val="25"/>
              </w:rPr>
            </w:pPr>
          </w:p>
          <w:p w14:paraId="76316544" w14:textId="77777777" w:rsidR="006563B0" w:rsidRDefault="006563B0">
            <w:pPr>
              <w:pStyle w:val="TableParagraph"/>
              <w:ind w:left="112"/>
              <w:rPr>
                <w:sz w:val="16"/>
              </w:rPr>
            </w:pPr>
            <w:r>
              <w:rPr>
                <w:spacing w:val="-2"/>
                <w:sz w:val="16"/>
              </w:rPr>
              <w:t>Reporting</w:t>
            </w:r>
          </w:p>
        </w:tc>
        <w:tc>
          <w:tcPr>
            <w:tcW w:w="768" w:type="dxa"/>
            <w:tcBorders>
              <w:top w:val="single" w:sz="4" w:space="0" w:color="000000"/>
              <w:left w:val="single" w:sz="4" w:space="0" w:color="000000"/>
              <w:bottom w:val="single" w:sz="4" w:space="0" w:color="000000"/>
              <w:right w:val="single" w:sz="4" w:space="0" w:color="000000"/>
            </w:tcBorders>
            <w:textDirection w:val="btLr"/>
          </w:tcPr>
          <w:p w14:paraId="6006DA7C" w14:textId="77777777" w:rsidR="006563B0" w:rsidRDefault="006563B0">
            <w:pPr>
              <w:pStyle w:val="TableParagraph"/>
              <w:spacing w:before="2"/>
              <w:rPr>
                <w:sz w:val="17"/>
              </w:rPr>
            </w:pPr>
          </w:p>
          <w:p w14:paraId="01F8BFC3" w14:textId="77777777" w:rsidR="006563B0" w:rsidRDefault="006563B0">
            <w:pPr>
              <w:pStyle w:val="TableParagraph"/>
              <w:spacing w:line="242" w:lineRule="auto"/>
              <w:ind w:left="112" w:right="305"/>
              <w:rPr>
                <w:sz w:val="16"/>
              </w:rPr>
            </w:pPr>
            <w:r>
              <w:rPr>
                <w:spacing w:val="-2"/>
                <w:sz w:val="16"/>
              </w:rPr>
              <w:t>Subrecipient</w:t>
            </w:r>
            <w:r>
              <w:rPr>
                <w:spacing w:val="40"/>
                <w:sz w:val="16"/>
              </w:rPr>
              <w:t xml:space="preserve"> </w:t>
            </w:r>
            <w:r>
              <w:rPr>
                <w:spacing w:val="-2"/>
                <w:sz w:val="16"/>
              </w:rPr>
              <w:t>Monitoring</w:t>
            </w:r>
          </w:p>
        </w:tc>
        <w:tc>
          <w:tcPr>
            <w:tcW w:w="768" w:type="dxa"/>
            <w:tcBorders>
              <w:top w:val="single" w:sz="4" w:space="0" w:color="000000"/>
              <w:left w:val="single" w:sz="4" w:space="0" w:color="000000"/>
              <w:bottom w:val="single" w:sz="4" w:space="0" w:color="000000"/>
              <w:right w:val="single" w:sz="4" w:space="0" w:color="000000"/>
            </w:tcBorders>
            <w:textDirection w:val="btLr"/>
            <w:hideMark/>
          </w:tcPr>
          <w:p w14:paraId="3EE140DB" w14:textId="77777777" w:rsidR="006563B0" w:rsidRDefault="006563B0">
            <w:pPr>
              <w:pStyle w:val="TableParagraph"/>
              <w:spacing w:before="109" w:line="244" w:lineRule="auto"/>
              <w:ind w:left="112" w:right="554"/>
              <w:rPr>
                <w:sz w:val="16"/>
              </w:rPr>
            </w:pPr>
            <w:r>
              <w:rPr>
                <w:spacing w:val="-2"/>
                <w:sz w:val="16"/>
              </w:rPr>
              <w:t>Special</w:t>
            </w:r>
            <w:r>
              <w:rPr>
                <w:spacing w:val="40"/>
                <w:sz w:val="16"/>
              </w:rPr>
              <w:t xml:space="preserve"> </w:t>
            </w:r>
            <w:r>
              <w:rPr>
                <w:sz w:val="16"/>
              </w:rPr>
              <w:t>Tests</w:t>
            </w:r>
            <w:r>
              <w:rPr>
                <w:spacing w:val="-5"/>
                <w:sz w:val="16"/>
              </w:rPr>
              <w:t xml:space="preserve"> </w:t>
            </w:r>
            <w:r>
              <w:rPr>
                <w:sz w:val="16"/>
              </w:rPr>
              <w:t>and</w:t>
            </w:r>
            <w:r>
              <w:rPr>
                <w:spacing w:val="40"/>
                <w:sz w:val="16"/>
              </w:rPr>
              <w:t xml:space="preserve"> </w:t>
            </w:r>
            <w:r>
              <w:rPr>
                <w:spacing w:val="-2"/>
                <w:sz w:val="16"/>
              </w:rPr>
              <w:t>Provisions</w:t>
            </w:r>
          </w:p>
        </w:tc>
      </w:tr>
      <w:tr w:rsidR="006563B0" w14:paraId="01EBF68E" w14:textId="77777777" w:rsidTr="006563B0">
        <w:trPr>
          <w:trHeight w:val="952"/>
        </w:trPr>
        <w:tc>
          <w:tcPr>
            <w:tcW w:w="766" w:type="dxa"/>
            <w:tcBorders>
              <w:top w:val="single" w:sz="4" w:space="0" w:color="000000"/>
              <w:left w:val="single" w:sz="4" w:space="0" w:color="000000"/>
              <w:bottom w:val="single" w:sz="4" w:space="0" w:color="000000"/>
              <w:right w:val="single" w:sz="4" w:space="0" w:color="000000"/>
            </w:tcBorders>
          </w:tcPr>
          <w:p w14:paraId="2BA3E294" w14:textId="77777777" w:rsidR="006563B0" w:rsidRDefault="006563B0">
            <w:pPr>
              <w:pStyle w:val="TableParagraph"/>
              <w:rPr>
                <w:sz w:val="18"/>
              </w:rPr>
            </w:pPr>
          </w:p>
          <w:p w14:paraId="49381158" w14:textId="77777777" w:rsidR="006563B0" w:rsidRDefault="006563B0">
            <w:pPr>
              <w:pStyle w:val="TableParagraph"/>
              <w:spacing w:before="6"/>
              <w:rPr>
                <w:sz w:val="15"/>
              </w:rPr>
            </w:pPr>
          </w:p>
          <w:p w14:paraId="06FE450C" w14:textId="77777777" w:rsidR="006563B0" w:rsidRDefault="006563B0">
            <w:pPr>
              <w:pStyle w:val="TableParagraph"/>
              <w:ind w:left="7"/>
              <w:jc w:val="center"/>
              <w:rPr>
                <w:sz w:val="16"/>
              </w:rPr>
            </w:pPr>
            <w:r>
              <w:rPr>
                <w:sz w:val="16"/>
              </w:rPr>
              <w:t>Y</w:t>
            </w:r>
          </w:p>
        </w:tc>
        <w:tc>
          <w:tcPr>
            <w:tcW w:w="768" w:type="dxa"/>
            <w:tcBorders>
              <w:top w:val="single" w:sz="4" w:space="0" w:color="000000"/>
              <w:left w:val="single" w:sz="4" w:space="0" w:color="000000"/>
              <w:bottom w:val="single" w:sz="4" w:space="0" w:color="000000"/>
              <w:right w:val="single" w:sz="4" w:space="0" w:color="000000"/>
            </w:tcBorders>
          </w:tcPr>
          <w:p w14:paraId="63AB9C4C" w14:textId="77777777" w:rsidR="006563B0" w:rsidRDefault="006563B0">
            <w:pPr>
              <w:pStyle w:val="TableParagraph"/>
              <w:rPr>
                <w:sz w:val="18"/>
              </w:rPr>
            </w:pPr>
          </w:p>
          <w:p w14:paraId="4997FFA0" w14:textId="77777777" w:rsidR="006563B0" w:rsidRDefault="006563B0">
            <w:pPr>
              <w:pStyle w:val="TableParagraph"/>
              <w:spacing w:before="6"/>
              <w:rPr>
                <w:sz w:val="15"/>
              </w:rPr>
            </w:pPr>
          </w:p>
          <w:p w14:paraId="67368C2B" w14:textId="77777777" w:rsidR="006563B0" w:rsidRDefault="006563B0">
            <w:pPr>
              <w:pStyle w:val="TableParagraph"/>
              <w:ind w:left="9"/>
              <w:jc w:val="center"/>
              <w:rPr>
                <w:sz w:val="16"/>
              </w:rPr>
            </w:pPr>
            <w:r>
              <w:rPr>
                <w:sz w:val="16"/>
              </w:rPr>
              <w:t>Y</w:t>
            </w:r>
          </w:p>
        </w:tc>
        <w:tc>
          <w:tcPr>
            <w:tcW w:w="768" w:type="dxa"/>
            <w:tcBorders>
              <w:top w:val="single" w:sz="4" w:space="0" w:color="000000"/>
              <w:left w:val="single" w:sz="4" w:space="0" w:color="000000"/>
              <w:bottom w:val="single" w:sz="4" w:space="0" w:color="000000"/>
              <w:right w:val="single" w:sz="4" w:space="0" w:color="000000"/>
            </w:tcBorders>
          </w:tcPr>
          <w:p w14:paraId="32AC2ECE" w14:textId="77777777" w:rsidR="006563B0" w:rsidRDefault="006563B0">
            <w:pPr>
              <w:pStyle w:val="TableParagraph"/>
              <w:rPr>
                <w:sz w:val="18"/>
              </w:rPr>
            </w:pPr>
          </w:p>
          <w:p w14:paraId="128C5EDE" w14:textId="77777777" w:rsidR="006563B0" w:rsidRDefault="006563B0">
            <w:pPr>
              <w:pStyle w:val="TableParagraph"/>
              <w:spacing w:before="6"/>
              <w:rPr>
                <w:sz w:val="15"/>
              </w:rPr>
            </w:pPr>
          </w:p>
          <w:p w14:paraId="2E202FCF" w14:textId="77777777" w:rsidR="006563B0" w:rsidRDefault="006563B0">
            <w:pPr>
              <w:pStyle w:val="TableParagraph"/>
              <w:ind w:left="325"/>
              <w:rPr>
                <w:sz w:val="16"/>
              </w:rPr>
            </w:pPr>
            <w:r>
              <w:rPr>
                <w:sz w:val="16"/>
              </w:rPr>
              <w:t>N</w:t>
            </w:r>
          </w:p>
        </w:tc>
        <w:tc>
          <w:tcPr>
            <w:tcW w:w="766" w:type="dxa"/>
            <w:tcBorders>
              <w:top w:val="single" w:sz="4" w:space="0" w:color="000000"/>
              <w:left w:val="single" w:sz="4" w:space="0" w:color="000000"/>
              <w:bottom w:val="single" w:sz="4" w:space="0" w:color="000000"/>
              <w:right w:val="single" w:sz="4" w:space="0" w:color="000000"/>
            </w:tcBorders>
          </w:tcPr>
          <w:p w14:paraId="23D6E4C7" w14:textId="77777777" w:rsidR="006563B0" w:rsidRDefault="006563B0">
            <w:pPr>
              <w:pStyle w:val="TableParagraph"/>
              <w:rPr>
                <w:sz w:val="18"/>
              </w:rPr>
            </w:pPr>
          </w:p>
          <w:p w14:paraId="06137233" w14:textId="77777777" w:rsidR="006563B0" w:rsidRDefault="006563B0">
            <w:pPr>
              <w:pStyle w:val="TableParagraph"/>
              <w:spacing w:before="6"/>
              <w:rPr>
                <w:sz w:val="15"/>
              </w:rPr>
            </w:pPr>
          </w:p>
          <w:p w14:paraId="3310C214" w14:textId="66E442B6" w:rsidR="006563B0" w:rsidRDefault="00735F48">
            <w:pPr>
              <w:pStyle w:val="TableParagraph"/>
              <w:ind w:left="12"/>
              <w:jc w:val="center"/>
              <w:rPr>
                <w:sz w:val="16"/>
              </w:rPr>
            </w:pPr>
            <w:r>
              <w:rPr>
                <w:sz w:val="16"/>
              </w:rPr>
              <w:t>N</w:t>
            </w:r>
          </w:p>
        </w:tc>
        <w:tc>
          <w:tcPr>
            <w:tcW w:w="768" w:type="dxa"/>
            <w:tcBorders>
              <w:top w:val="single" w:sz="4" w:space="0" w:color="000000"/>
              <w:left w:val="single" w:sz="4" w:space="0" w:color="000000"/>
              <w:bottom w:val="single" w:sz="4" w:space="0" w:color="000000"/>
              <w:right w:val="single" w:sz="4" w:space="0" w:color="000000"/>
            </w:tcBorders>
          </w:tcPr>
          <w:p w14:paraId="24F251E8" w14:textId="77777777" w:rsidR="006563B0" w:rsidRDefault="006563B0">
            <w:pPr>
              <w:pStyle w:val="TableParagraph"/>
              <w:rPr>
                <w:sz w:val="18"/>
              </w:rPr>
            </w:pPr>
          </w:p>
          <w:p w14:paraId="7F3D068C" w14:textId="77777777" w:rsidR="006563B0" w:rsidRDefault="006563B0">
            <w:pPr>
              <w:pStyle w:val="TableParagraph"/>
              <w:spacing w:before="6"/>
              <w:rPr>
                <w:sz w:val="15"/>
              </w:rPr>
            </w:pPr>
          </w:p>
          <w:p w14:paraId="63311DD2" w14:textId="77777777" w:rsidR="006563B0" w:rsidRDefault="006563B0">
            <w:pPr>
              <w:pStyle w:val="TableParagraph"/>
              <w:ind w:left="325"/>
              <w:rPr>
                <w:sz w:val="16"/>
              </w:rPr>
            </w:pPr>
            <w:r>
              <w:rPr>
                <w:sz w:val="16"/>
              </w:rPr>
              <w:t>Y</w:t>
            </w:r>
          </w:p>
        </w:tc>
        <w:tc>
          <w:tcPr>
            <w:tcW w:w="768" w:type="dxa"/>
            <w:tcBorders>
              <w:top w:val="single" w:sz="4" w:space="0" w:color="000000"/>
              <w:left w:val="single" w:sz="4" w:space="0" w:color="000000"/>
              <w:bottom w:val="single" w:sz="4" w:space="0" w:color="000000"/>
              <w:right w:val="single" w:sz="4" w:space="0" w:color="000000"/>
            </w:tcBorders>
          </w:tcPr>
          <w:p w14:paraId="6E51EFF5" w14:textId="77777777" w:rsidR="006563B0" w:rsidRDefault="006563B0">
            <w:pPr>
              <w:pStyle w:val="TableParagraph"/>
              <w:rPr>
                <w:sz w:val="18"/>
              </w:rPr>
            </w:pPr>
          </w:p>
          <w:p w14:paraId="586F6EB5" w14:textId="77777777" w:rsidR="006563B0" w:rsidRDefault="006563B0">
            <w:pPr>
              <w:pStyle w:val="TableParagraph"/>
              <w:spacing w:before="6"/>
              <w:rPr>
                <w:sz w:val="15"/>
              </w:rPr>
            </w:pPr>
          </w:p>
          <w:p w14:paraId="45F6F463" w14:textId="77777777" w:rsidR="006563B0" w:rsidRDefault="006563B0">
            <w:pPr>
              <w:pStyle w:val="TableParagraph"/>
              <w:ind w:left="9"/>
              <w:jc w:val="center"/>
              <w:rPr>
                <w:sz w:val="16"/>
              </w:rPr>
            </w:pPr>
            <w:r>
              <w:rPr>
                <w:sz w:val="16"/>
              </w:rPr>
              <w:t>Y</w:t>
            </w:r>
          </w:p>
        </w:tc>
        <w:tc>
          <w:tcPr>
            <w:tcW w:w="768" w:type="dxa"/>
            <w:tcBorders>
              <w:top w:val="single" w:sz="4" w:space="0" w:color="000000"/>
              <w:left w:val="single" w:sz="4" w:space="0" w:color="000000"/>
              <w:bottom w:val="single" w:sz="4" w:space="0" w:color="000000"/>
              <w:right w:val="single" w:sz="4" w:space="0" w:color="000000"/>
            </w:tcBorders>
          </w:tcPr>
          <w:p w14:paraId="2E0A639D" w14:textId="77777777" w:rsidR="006563B0" w:rsidRDefault="006563B0">
            <w:pPr>
              <w:pStyle w:val="TableParagraph"/>
              <w:rPr>
                <w:sz w:val="18"/>
              </w:rPr>
            </w:pPr>
          </w:p>
          <w:p w14:paraId="5F9C5C38" w14:textId="77777777" w:rsidR="006563B0" w:rsidRDefault="006563B0">
            <w:pPr>
              <w:pStyle w:val="TableParagraph"/>
              <w:spacing w:before="6"/>
              <w:rPr>
                <w:sz w:val="15"/>
              </w:rPr>
            </w:pPr>
          </w:p>
          <w:p w14:paraId="0C8AB68D" w14:textId="77777777" w:rsidR="006563B0" w:rsidRDefault="006563B0">
            <w:pPr>
              <w:pStyle w:val="TableParagraph"/>
              <w:ind w:left="9"/>
              <w:jc w:val="center"/>
              <w:rPr>
                <w:sz w:val="16"/>
              </w:rPr>
            </w:pPr>
            <w:r>
              <w:rPr>
                <w:sz w:val="16"/>
              </w:rPr>
              <w:t>Y</w:t>
            </w:r>
          </w:p>
        </w:tc>
        <w:tc>
          <w:tcPr>
            <w:tcW w:w="768" w:type="dxa"/>
            <w:tcBorders>
              <w:top w:val="single" w:sz="4" w:space="0" w:color="000000"/>
              <w:left w:val="single" w:sz="4" w:space="0" w:color="000000"/>
              <w:bottom w:val="single" w:sz="4" w:space="0" w:color="000000"/>
              <w:right w:val="single" w:sz="4" w:space="0" w:color="000000"/>
            </w:tcBorders>
          </w:tcPr>
          <w:p w14:paraId="4089E968" w14:textId="77777777" w:rsidR="006563B0" w:rsidRDefault="006563B0">
            <w:pPr>
              <w:pStyle w:val="TableParagraph"/>
              <w:rPr>
                <w:sz w:val="18"/>
              </w:rPr>
            </w:pPr>
          </w:p>
          <w:p w14:paraId="05CC1EBD" w14:textId="77777777" w:rsidR="006563B0" w:rsidRDefault="006563B0">
            <w:pPr>
              <w:pStyle w:val="TableParagraph"/>
              <w:spacing w:before="6"/>
              <w:rPr>
                <w:sz w:val="15"/>
              </w:rPr>
            </w:pPr>
          </w:p>
          <w:p w14:paraId="02C3F7FB" w14:textId="3663E58C" w:rsidR="006563B0" w:rsidRDefault="007D01F3">
            <w:pPr>
              <w:pStyle w:val="TableParagraph"/>
              <w:ind w:left="326"/>
              <w:rPr>
                <w:sz w:val="16"/>
              </w:rPr>
            </w:pPr>
            <w:r>
              <w:rPr>
                <w:sz w:val="16"/>
              </w:rPr>
              <w:t>Y</w:t>
            </w:r>
          </w:p>
        </w:tc>
        <w:tc>
          <w:tcPr>
            <w:tcW w:w="768" w:type="dxa"/>
            <w:tcBorders>
              <w:top w:val="single" w:sz="4" w:space="0" w:color="000000"/>
              <w:left w:val="single" w:sz="4" w:space="0" w:color="000000"/>
              <w:bottom w:val="single" w:sz="4" w:space="0" w:color="000000"/>
              <w:right w:val="single" w:sz="4" w:space="0" w:color="000000"/>
            </w:tcBorders>
          </w:tcPr>
          <w:p w14:paraId="330CF7F4" w14:textId="77777777" w:rsidR="006563B0" w:rsidRDefault="006563B0">
            <w:pPr>
              <w:pStyle w:val="TableParagraph"/>
              <w:rPr>
                <w:sz w:val="18"/>
              </w:rPr>
            </w:pPr>
          </w:p>
          <w:p w14:paraId="13912616" w14:textId="77777777" w:rsidR="006563B0" w:rsidRDefault="006563B0">
            <w:pPr>
              <w:pStyle w:val="TableParagraph"/>
              <w:spacing w:before="6"/>
              <w:rPr>
                <w:sz w:val="15"/>
              </w:rPr>
            </w:pPr>
          </w:p>
          <w:p w14:paraId="426EC753" w14:textId="77777777" w:rsidR="006563B0" w:rsidRDefault="006563B0">
            <w:pPr>
              <w:pStyle w:val="TableParagraph"/>
              <w:ind w:left="10"/>
              <w:jc w:val="center"/>
              <w:rPr>
                <w:sz w:val="16"/>
              </w:rPr>
            </w:pPr>
            <w:r>
              <w:rPr>
                <w:sz w:val="16"/>
              </w:rPr>
              <w:t>N</w:t>
            </w:r>
          </w:p>
        </w:tc>
        <w:tc>
          <w:tcPr>
            <w:tcW w:w="769" w:type="dxa"/>
            <w:tcBorders>
              <w:top w:val="single" w:sz="4" w:space="0" w:color="000000"/>
              <w:left w:val="single" w:sz="4" w:space="0" w:color="000000"/>
              <w:bottom w:val="single" w:sz="4" w:space="0" w:color="000000"/>
              <w:right w:val="single" w:sz="4" w:space="0" w:color="000000"/>
            </w:tcBorders>
          </w:tcPr>
          <w:p w14:paraId="2EE190DF" w14:textId="77777777" w:rsidR="006563B0" w:rsidRDefault="006563B0">
            <w:pPr>
              <w:pStyle w:val="TableParagraph"/>
              <w:rPr>
                <w:sz w:val="18"/>
              </w:rPr>
            </w:pPr>
          </w:p>
          <w:p w14:paraId="1E7F8D10" w14:textId="77777777" w:rsidR="006563B0" w:rsidRDefault="006563B0">
            <w:pPr>
              <w:pStyle w:val="TableParagraph"/>
              <w:spacing w:before="6"/>
              <w:rPr>
                <w:sz w:val="15"/>
              </w:rPr>
            </w:pPr>
          </w:p>
          <w:p w14:paraId="1E534E52" w14:textId="77777777" w:rsidR="006563B0" w:rsidRDefault="006563B0">
            <w:pPr>
              <w:pStyle w:val="TableParagraph"/>
              <w:ind w:left="9"/>
              <w:jc w:val="center"/>
              <w:rPr>
                <w:sz w:val="16"/>
              </w:rPr>
            </w:pPr>
            <w:r>
              <w:rPr>
                <w:sz w:val="16"/>
              </w:rPr>
              <w:t>Y</w:t>
            </w:r>
          </w:p>
        </w:tc>
        <w:tc>
          <w:tcPr>
            <w:tcW w:w="768" w:type="dxa"/>
            <w:tcBorders>
              <w:top w:val="single" w:sz="4" w:space="0" w:color="000000"/>
              <w:left w:val="single" w:sz="4" w:space="0" w:color="000000"/>
              <w:bottom w:val="single" w:sz="4" w:space="0" w:color="000000"/>
              <w:right w:val="single" w:sz="4" w:space="0" w:color="000000"/>
            </w:tcBorders>
          </w:tcPr>
          <w:p w14:paraId="7CF05968" w14:textId="77777777" w:rsidR="006563B0" w:rsidRDefault="006563B0">
            <w:pPr>
              <w:pStyle w:val="TableParagraph"/>
              <w:rPr>
                <w:sz w:val="18"/>
              </w:rPr>
            </w:pPr>
          </w:p>
          <w:p w14:paraId="2BA2DEC6" w14:textId="77777777" w:rsidR="006563B0" w:rsidRDefault="006563B0">
            <w:pPr>
              <w:pStyle w:val="TableParagraph"/>
              <w:spacing w:before="6"/>
              <w:rPr>
                <w:sz w:val="15"/>
              </w:rPr>
            </w:pPr>
          </w:p>
          <w:p w14:paraId="22490C4D" w14:textId="3169F0A5" w:rsidR="006563B0" w:rsidRDefault="008C77A6">
            <w:pPr>
              <w:pStyle w:val="TableParagraph"/>
              <w:ind w:left="9"/>
              <w:jc w:val="center"/>
              <w:rPr>
                <w:sz w:val="16"/>
              </w:rPr>
            </w:pPr>
            <w:r>
              <w:rPr>
                <w:sz w:val="16"/>
              </w:rPr>
              <w:t>N</w:t>
            </w:r>
          </w:p>
        </w:tc>
        <w:tc>
          <w:tcPr>
            <w:tcW w:w="768" w:type="dxa"/>
            <w:tcBorders>
              <w:top w:val="single" w:sz="4" w:space="0" w:color="000000"/>
              <w:left w:val="single" w:sz="4" w:space="0" w:color="000000"/>
              <w:bottom w:val="single" w:sz="4" w:space="0" w:color="000000"/>
              <w:right w:val="single" w:sz="4" w:space="0" w:color="000000"/>
            </w:tcBorders>
          </w:tcPr>
          <w:p w14:paraId="6769AC8E" w14:textId="77777777" w:rsidR="006563B0" w:rsidRDefault="006563B0">
            <w:pPr>
              <w:pStyle w:val="TableParagraph"/>
              <w:rPr>
                <w:sz w:val="18"/>
              </w:rPr>
            </w:pPr>
          </w:p>
          <w:p w14:paraId="5C0DA178" w14:textId="77777777" w:rsidR="006563B0" w:rsidRDefault="006563B0">
            <w:pPr>
              <w:pStyle w:val="TableParagraph"/>
              <w:spacing w:before="6"/>
              <w:rPr>
                <w:sz w:val="15"/>
              </w:rPr>
            </w:pPr>
          </w:p>
          <w:p w14:paraId="11F8694A" w14:textId="77777777" w:rsidR="006563B0" w:rsidRDefault="006563B0">
            <w:pPr>
              <w:pStyle w:val="TableParagraph"/>
              <w:ind w:left="9"/>
              <w:jc w:val="center"/>
              <w:rPr>
                <w:sz w:val="16"/>
              </w:rPr>
            </w:pPr>
            <w:r>
              <w:rPr>
                <w:sz w:val="16"/>
              </w:rPr>
              <w:t>N</w:t>
            </w:r>
          </w:p>
        </w:tc>
      </w:tr>
    </w:tbl>
    <w:p w14:paraId="1A694907" w14:textId="53A4A434" w:rsidR="004A33FD" w:rsidRDefault="004A33FD">
      <w:pPr>
        <w:rPr>
          <w:b/>
          <w:bCs/>
          <w:sz w:val="24"/>
          <w:szCs w:val="24"/>
        </w:rPr>
      </w:pPr>
    </w:p>
    <w:p w14:paraId="43D61D9D" w14:textId="668F16C4" w:rsidR="006563B0" w:rsidRDefault="006563B0" w:rsidP="00793F8C">
      <w:pPr>
        <w:pStyle w:val="Heading1"/>
        <w:numPr>
          <w:ilvl w:val="0"/>
          <w:numId w:val="14"/>
        </w:numPr>
        <w:tabs>
          <w:tab w:val="left" w:pos="820"/>
        </w:tabs>
        <w:spacing w:before="80"/>
      </w:pPr>
      <w:r>
        <w:t>Activities</w:t>
      </w:r>
      <w:r>
        <w:rPr>
          <w:spacing w:val="-2"/>
        </w:rPr>
        <w:t xml:space="preserve"> </w:t>
      </w:r>
      <w:r>
        <w:t>Allowed</w:t>
      </w:r>
      <w:r>
        <w:rPr>
          <w:spacing w:val="-1"/>
        </w:rPr>
        <w:t xml:space="preserve"> </w:t>
      </w:r>
      <w:r>
        <w:t>or</w:t>
      </w:r>
      <w:r>
        <w:rPr>
          <w:spacing w:val="1"/>
        </w:rPr>
        <w:t xml:space="preserve"> </w:t>
      </w:r>
      <w:r>
        <w:rPr>
          <w:spacing w:val="-2"/>
        </w:rPr>
        <w:t>Unallowed</w:t>
      </w:r>
    </w:p>
    <w:p w14:paraId="083AF2DF" w14:textId="77777777" w:rsidR="006563B0" w:rsidRDefault="006563B0" w:rsidP="006563B0">
      <w:pPr>
        <w:pStyle w:val="BodyText"/>
        <w:spacing w:before="9"/>
        <w:rPr>
          <w:b/>
          <w:sz w:val="20"/>
          <w:highlight w:val="yellow"/>
        </w:rPr>
      </w:pPr>
    </w:p>
    <w:p w14:paraId="620E12E5" w14:textId="78C2EAE7" w:rsidR="00425C84" w:rsidRPr="00E844F5" w:rsidRDefault="006563B0" w:rsidP="005F217C">
      <w:pPr>
        <w:pStyle w:val="ListParagraph"/>
        <w:numPr>
          <w:ilvl w:val="0"/>
          <w:numId w:val="15"/>
        </w:numPr>
        <w:ind w:left="1530" w:hanging="810"/>
        <w:rPr>
          <w:b/>
          <w:bCs/>
          <w:i/>
          <w:iCs/>
          <w:spacing w:val="-2"/>
        </w:rPr>
      </w:pPr>
      <w:r w:rsidRPr="00E844F5">
        <w:rPr>
          <w:b/>
          <w:bCs/>
          <w:i/>
          <w:iCs/>
        </w:rPr>
        <w:t>Activities</w:t>
      </w:r>
      <w:r w:rsidRPr="00E844F5">
        <w:rPr>
          <w:b/>
          <w:bCs/>
          <w:i/>
          <w:iCs/>
          <w:spacing w:val="-6"/>
        </w:rPr>
        <w:t xml:space="preserve"> </w:t>
      </w:r>
      <w:r w:rsidRPr="00E844F5">
        <w:rPr>
          <w:b/>
          <w:bCs/>
          <w:i/>
          <w:iCs/>
          <w:spacing w:val="-2"/>
        </w:rPr>
        <w:t>Allowe</w:t>
      </w:r>
      <w:r w:rsidR="00221418" w:rsidRPr="00E844F5">
        <w:rPr>
          <w:b/>
          <w:bCs/>
          <w:i/>
          <w:iCs/>
          <w:spacing w:val="-2"/>
        </w:rPr>
        <w:t>d</w:t>
      </w:r>
      <w:r w:rsidR="006F377D" w:rsidRPr="00E844F5">
        <w:rPr>
          <w:b/>
          <w:bCs/>
          <w:i/>
          <w:iCs/>
          <w:spacing w:val="-2"/>
        </w:rPr>
        <w:t xml:space="preserve"> - Initial Planning Funds</w:t>
      </w:r>
    </w:p>
    <w:p w14:paraId="6C51E96F" w14:textId="77777777" w:rsidR="00195843" w:rsidRPr="00195843" w:rsidRDefault="00195843" w:rsidP="00195843">
      <w:pPr>
        <w:spacing w:before="1"/>
        <w:rPr>
          <w:i/>
          <w:spacing w:val="-2"/>
          <w:sz w:val="24"/>
        </w:rPr>
      </w:pPr>
    </w:p>
    <w:p w14:paraId="62926BE7" w14:textId="23924000" w:rsidR="00196CF5" w:rsidRPr="00196CF5" w:rsidRDefault="00544CEB" w:rsidP="00B23481">
      <w:pPr>
        <w:pStyle w:val="ListParagraph"/>
        <w:numPr>
          <w:ilvl w:val="1"/>
          <w:numId w:val="15"/>
        </w:numPr>
        <w:ind w:left="2430" w:hanging="900"/>
        <w:rPr>
          <w:i/>
          <w:spacing w:val="-2"/>
        </w:rPr>
      </w:pPr>
      <w:r>
        <w:t>Eligib</w:t>
      </w:r>
      <w:r w:rsidR="006F377D">
        <w:t xml:space="preserve">le </w:t>
      </w:r>
      <w:r w:rsidR="00896FB1">
        <w:t>Entities that receive Initial Planning Funds may use those funds for the following planning and pre-deployment activities.</w:t>
      </w:r>
    </w:p>
    <w:p w14:paraId="4250E01B" w14:textId="77777777" w:rsidR="00196CF5" w:rsidRPr="003A4557" w:rsidRDefault="00196CF5" w:rsidP="003A4557">
      <w:pPr>
        <w:spacing w:before="1"/>
        <w:ind w:left="1620"/>
        <w:rPr>
          <w:i/>
          <w:spacing w:val="-2"/>
          <w:sz w:val="24"/>
        </w:rPr>
      </w:pPr>
    </w:p>
    <w:p w14:paraId="5EF468E6" w14:textId="62BC4622" w:rsidR="004B5A31" w:rsidRDefault="002B28C4" w:rsidP="003B2726">
      <w:pPr>
        <w:pStyle w:val="ListParagraph"/>
        <w:numPr>
          <w:ilvl w:val="3"/>
          <w:numId w:val="17"/>
        </w:numPr>
      </w:pPr>
      <w:r>
        <w:t>Research and data collection, including initial identification of unserved locations and underserved locations consistent with the rules, regulations, and processes</w:t>
      </w:r>
      <w:r w:rsidR="005D42F8">
        <w:t xml:space="preserve"> the Federal Communications Commission (FCC) has established for making these determinations in the Broadband DATA Maps</w:t>
      </w:r>
      <w:r w:rsidR="00D93B05">
        <w:t xml:space="preserve"> (NOFO: Section IV.B.2.1)</w:t>
      </w:r>
      <w:r w:rsidR="00A96019">
        <w:t>;</w:t>
      </w:r>
    </w:p>
    <w:p w14:paraId="3BCD83CE" w14:textId="77777777" w:rsidR="003B2726" w:rsidRDefault="003B2726" w:rsidP="0015031E">
      <w:pPr>
        <w:ind w:left="2160"/>
      </w:pPr>
    </w:p>
    <w:p w14:paraId="3429F8A7" w14:textId="71ED24FC" w:rsidR="004B5A31" w:rsidRDefault="00A96019" w:rsidP="004B5A31">
      <w:pPr>
        <w:pStyle w:val="ListParagraph"/>
        <w:numPr>
          <w:ilvl w:val="3"/>
          <w:numId w:val="17"/>
        </w:numPr>
      </w:pPr>
      <w:r>
        <w:t>The development of a preliminary budget for pre-planning activities</w:t>
      </w:r>
      <w:r w:rsidR="004B7DD3">
        <w:t xml:space="preserve"> (NOFO: Section IV.B.2.2)</w:t>
      </w:r>
      <w:r>
        <w:t>;</w:t>
      </w:r>
    </w:p>
    <w:p w14:paraId="5F99F1FB" w14:textId="77777777" w:rsidR="003B2726" w:rsidRDefault="003B2726" w:rsidP="0015031E">
      <w:pPr>
        <w:ind w:left="2160"/>
      </w:pPr>
    </w:p>
    <w:p w14:paraId="74555FDD" w14:textId="4841BA0A" w:rsidR="00CC5706" w:rsidRPr="00CC5706" w:rsidRDefault="0098038F" w:rsidP="004B5A31">
      <w:pPr>
        <w:pStyle w:val="ListParagraph"/>
        <w:numPr>
          <w:ilvl w:val="3"/>
          <w:numId w:val="17"/>
        </w:numPr>
      </w:pPr>
      <w:r>
        <w:t>Publication, outreach, and communications support related to broadband planning, deployment, mapping, equity and adoption</w:t>
      </w:r>
      <w:r w:rsidR="001C3BE0" w:rsidRPr="001C3BE0">
        <w:t xml:space="preserve"> </w:t>
      </w:r>
      <w:r w:rsidR="001C3BE0">
        <w:t>(NOFO: Section IV.B.2.3)</w:t>
      </w:r>
      <w:r w:rsidR="00EC28DB">
        <w:t>;</w:t>
      </w:r>
    </w:p>
    <w:p w14:paraId="7F904F15" w14:textId="77777777" w:rsidR="003B2726" w:rsidRDefault="003B2726" w:rsidP="0015031E">
      <w:pPr>
        <w:ind w:left="2160"/>
      </w:pPr>
    </w:p>
    <w:p w14:paraId="5AB6DD23" w14:textId="2B36FB22" w:rsidR="006C5A25" w:rsidRDefault="00477020" w:rsidP="004B5A31">
      <w:pPr>
        <w:pStyle w:val="ListParagraph"/>
        <w:numPr>
          <w:ilvl w:val="3"/>
          <w:numId w:val="17"/>
        </w:numPr>
      </w:pPr>
      <w:r>
        <w:t>Providing technical assistance to potential subgrantees, including through workshops and events</w:t>
      </w:r>
      <w:r w:rsidR="0064791F">
        <w:t xml:space="preserve"> (NOFO: Section IV.B.2.4)</w:t>
      </w:r>
      <w:r w:rsidR="009C5531">
        <w:t>;</w:t>
      </w:r>
    </w:p>
    <w:p w14:paraId="37D35B85" w14:textId="27DBE0ED" w:rsidR="00525C7A" w:rsidRDefault="00525C7A" w:rsidP="00BA7DD8">
      <w:pPr>
        <w:pStyle w:val="ListParagraph"/>
        <w:numPr>
          <w:ilvl w:val="0"/>
          <w:numId w:val="0"/>
        </w:numPr>
        <w:ind w:left="2880"/>
      </w:pPr>
    </w:p>
    <w:p w14:paraId="7ADE2A38" w14:textId="56B7D369" w:rsidR="009C5531" w:rsidRDefault="0028110E" w:rsidP="004B5A31">
      <w:pPr>
        <w:pStyle w:val="ListParagraph"/>
        <w:numPr>
          <w:ilvl w:val="3"/>
          <w:numId w:val="17"/>
        </w:numPr>
      </w:pPr>
      <w:r>
        <w:t>Training for employees of the broadband program or office of the Eligible Entity or employees of political subdivisions of the Eligible Entity</w:t>
      </w:r>
      <w:r w:rsidR="00182699">
        <w:t>, and related staffing capacity or consulting or contracted support to effectuate the goals of the BEAD program</w:t>
      </w:r>
      <w:r w:rsidR="00D734D2">
        <w:t xml:space="preserve"> (NOFO: Section IV.B.2.5)</w:t>
      </w:r>
      <w:r w:rsidR="000B3111">
        <w:t>;</w:t>
      </w:r>
    </w:p>
    <w:p w14:paraId="4CB2C5F0" w14:textId="77777777" w:rsidR="00BA7DD8" w:rsidRDefault="00BA7DD8" w:rsidP="00BA7DD8">
      <w:pPr>
        <w:pStyle w:val="ListParagraph"/>
        <w:numPr>
          <w:ilvl w:val="0"/>
          <w:numId w:val="0"/>
        </w:numPr>
        <w:ind w:left="2880"/>
      </w:pPr>
    </w:p>
    <w:p w14:paraId="10518BB2" w14:textId="2B0F5D1C" w:rsidR="000B3111" w:rsidRDefault="000B3111" w:rsidP="004B5A31">
      <w:pPr>
        <w:pStyle w:val="ListParagraph"/>
        <w:numPr>
          <w:ilvl w:val="3"/>
          <w:numId w:val="17"/>
        </w:numPr>
      </w:pPr>
      <w:r>
        <w:t>Establishing, operating, or increasing capacity of a broadband office that oversees</w:t>
      </w:r>
      <w:r w:rsidR="00923CF3">
        <w:t xml:space="preserve"> broadband programs and broadband deployment in an Eligible Entity</w:t>
      </w:r>
      <w:r w:rsidR="00C0779F">
        <w:t xml:space="preserve"> (NOFO: Section IV.B.2.6)</w:t>
      </w:r>
      <w:r w:rsidR="006C6610">
        <w:t>;</w:t>
      </w:r>
    </w:p>
    <w:p w14:paraId="6A556FF0" w14:textId="77777777" w:rsidR="00BA7DD8" w:rsidRDefault="00BA7DD8" w:rsidP="00C448AA">
      <w:pPr>
        <w:pStyle w:val="ListParagraph"/>
        <w:numPr>
          <w:ilvl w:val="0"/>
          <w:numId w:val="0"/>
        </w:numPr>
        <w:ind w:left="2880"/>
      </w:pPr>
    </w:p>
    <w:p w14:paraId="1E38063A" w14:textId="5815E3F3" w:rsidR="00C448AA" w:rsidRDefault="006C6610" w:rsidP="00C448AA">
      <w:pPr>
        <w:pStyle w:val="ListParagraph"/>
        <w:numPr>
          <w:ilvl w:val="3"/>
          <w:numId w:val="17"/>
        </w:numPr>
      </w:pPr>
      <w:r>
        <w:t>Asset mapping across the Eligible Entity to catalogue broadband adoption, affordability, equity, access, and deployment</w:t>
      </w:r>
      <w:r w:rsidR="00653F61">
        <w:t xml:space="preserve"> activities occurring within the Eligible Entity</w:t>
      </w:r>
      <w:r w:rsidR="000D2848">
        <w:t xml:space="preserve"> (NOFO: Section IV.B.2.7)</w:t>
      </w:r>
      <w:r w:rsidR="00653F61">
        <w:t>;</w:t>
      </w:r>
    </w:p>
    <w:p w14:paraId="0E884E7F" w14:textId="77777777" w:rsidR="00C448AA" w:rsidRDefault="00C448AA" w:rsidP="00C448AA">
      <w:pPr>
        <w:pStyle w:val="ListParagraph"/>
        <w:numPr>
          <w:ilvl w:val="0"/>
          <w:numId w:val="0"/>
        </w:numPr>
        <w:ind w:left="2880"/>
      </w:pPr>
    </w:p>
    <w:p w14:paraId="748F0FF1" w14:textId="1C8AF225" w:rsidR="00653F61" w:rsidRDefault="00653F61" w:rsidP="004B5A31">
      <w:pPr>
        <w:pStyle w:val="ListParagraph"/>
        <w:numPr>
          <w:ilvl w:val="3"/>
          <w:numId w:val="17"/>
        </w:numPr>
      </w:pPr>
      <w:r>
        <w:t>Conducting surveys of unserved, underserved, and underrepresented communities to better understand barriers to adoption</w:t>
      </w:r>
      <w:r w:rsidR="00EA5308">
        <w:t xml:space="preserve"> (NOFO: Section IV.B.2.8)</w:t>
      </w:r>
      <w:r w:rsidR="003E6908">
        <w:t>;</w:t>
      </w:r>
    </w:p>
    <w:p w14:paraId="6479FF53" w14:textId="77777777" w:rsidR="0059756D" w:rsidRDefault="0059756D" w:rsidP="00F921C7">
      <w:pPr>
        <w:pStyle w:val="ListParagraph"/>
        <w:numPr>
          <w:ilvl w:val="0"/>
          <w:numId w:val="0"/>
        </w:numPr>
        <w:ind w:left="2700"/>
      </w:pPr>
    </w:p>
    <w:p w14:paraId="1E744CC1" w14:textId="66A9190B" w:rsidR="009B244E" w:rsidRDefault="009B244E" w:rsidP="004B5A31">
      <w:pPr>
        <w:pStyle w:val="ListParagraph"/>
        <w:numPr>
          <w:ilvl w:val="3"/>
          <w:numId w:val="17"/>
        </w:numPr>
      </w:pPr>
      <w:r>
        <w:t xml:space="preserve">Costs associated with meeting local coordination requirements </w:t>
      </w:r>
      <w:r w:rsidR="0043552E">
        <w:t>set forth in Section IV.C.1.c of the BEAD NOFO, including capacity building at the local and regional levels of contracted support</w:t>
      </w:r>
      <w:r w:rsidR="00242BC1">
        <w:t xml:space="preserve"> (NOFO: Section IV.B.2.9)</w:t>
      </w:r>
      <w:r w:rsidR="001C038E">
        <w:t>;</w:t>
      </w:r>
    </w:p>
    <w:p w14:paraId="4734BEA4" w14:textId="77777777" w:rsidR="00C448AA" w:rsidRDefault="00C448AA" w:rsidP="00C448AA">
      <w:pPr>
        <w:pStyle w:val="ListParagraph"/>
        <w:numPr>
          <w:ilvl w:val="0"/>
          <w:numId w:val="0"/>
        </w:numPr>
        <w:ind w:left="2880"/>
      </w:pPr>
    </w:p>
    <w:p w14:paraId="5C51108A" w14:textId="0134B752" w:rsidR="001C038E" w:rsidRDefault="001C038E" w:rsidP="004B5A31">
      <w:pPr>
        <w:pStyle w:val="ListParagraph"/>
        <w:numPr>
          <w:ilvl w:val="3"/>
          <w:numId w:val="17"/>
        </w:numPr>
      </w:pPr>
      <w:r>
        <w:t>Reasonable post-NOFO, pre-Initial Planning Funds expenses in an amount not to exceed $100,000 relating to the prep</w:t>
      </w:r>
      <w:r w:rsidR="00005EB2">
        <w:t>aration of program submissions to NTIA (such as the Letter of Intent) or adding additional capacity to State or Territorial broadband offices in preparation for the BEAD program</w:t>
      </w:r>
      <w:r w:rsidR="00441CAA">
        <w:t xml:space="preserve"> may be reimbursed if they are incurred after the publication date</w:t>
      </w:r>
      <w:r w:rsidR="00317497">
        <w:t xml:space="preserve"> of the BEAD NOFO and prior to the date of issuance of the grant award from NTIA</w:t>
      </w:r>
      <w:r w:rsidR="0020637B">
        <w:t xml:space="preserve"> (NOFO: Section IV.B.2.10)</w:t>
      </w:r>
      <w:r w:rsidR="00317497">
        <w:t>; and</w:t>
      </w:r>
    </w:p>
    <w:p w14:paraId="2033C5D0" w14:textId="77777777" w:rsidR="00C448AA" w:rsidRDefault="00C448AA" w:rsidP="00C448AA">
      <w:pPr>
        <w:pStyle w:val="ListParagraph"/>
        <w:numPr>
          <w:ilvl w:val="0"/>
          <w:numId w:val="0"/>
        </w:numPr>
        <w:ind w:left="2700"/>
      </w:pPr>
    </w:p>
    <w:p w14:paraId="74A6D7C3" w14:textId="67004663" w:rsidR="00317497" w:rsidRDefault="00317497" w:rsidP="004B5A31">
      <w:pPr>
        <w:pStyle w:val="ListParagraph"/>
        <w:numPr>
          <w:ilvl w:val="3"/>
          <w:numId w:val="17"/>
        </w:numPr>
      </w:pPr>
      <w:r>
        <w:t>Other uses approved in advance</w:t>
      </w:r>
      <w:r w:rsidR="00F96D5B">
        <w:t xml:space="preserve"> writing by the Assistant Secretary (including in response to an Eligible Entity’s request) that support the goals of the Program</w:t>
      </w:r>
      <w:r w:rsidR="006B4C3A">
        <w:t xml:space="preserve"> (NOFO: Section IV.B.2.11)</w:t>
      </w:r>
      <w:r w:rsidR="00F96D5B">
        <w:t>.</w:t>
      </w:r>
    </w:p>
    <w:p w14:paraId="6211E7F4" w14:textId="77777777" w:rsidR="00E844F5" w:rsidRDefault="00E844F5" w:rsidP="00E844F5">
      <w:pPr>
        <w:pStyle w:val="ListParagraph"/>
        <w:numPr>
          <w:ilvl w:val="0"/>
          <w:numId w:val="0"/>
        </w:numPr>
        <w:ind w:left="2880"/>
      </w:pPr>
    </w:p>
    <w:p w14:paraId="0CF32798" w14:textId="6AEED6AE" w:rsidR="0028690F" w:rsidRPr="001F3E34" w:rsidRDefault="00E675B2" w:rsidP="0028690F">
      <w:pPr>
        <w:pStyle w:val="ListParagraph"/>
        <w:numPr>
          <w:ilvl w:val="1"/>
          <w:numId w:val="17"/>
        </w:numPr>
        <w:rPr>
          <w:b/>
          <w:bCs/>
          <w:i/>
          <w:iCs/>
        </w:rPr>
      </w:pPr>
      <w:r w:rsidRPr="001F3E34">
        <w:rPr>
          <w:b/>
          <w:bCs/>
          <w:i/>
          <w:iCs/>
        </w:rPr>
        <w:t xml:space="preserve">Activities Allowed </w:t>
      </w:r>
      <w:r w:rsidR="001A0CDA" w:rsidRPr="001F3E34">
        <w:rPr>
          <w:b/>
          <w:bCs/>
          <w:i/>
          <w:iCs/>
        </w:rPr>
        <w:t>–</w:t>
      </w:r>
      <w:r w:rsidRPr="001F3E34">
        <w:rPr>
          <w:b/>
          <w:bCs/>
          <w:i/>
          <w:iCs/>
        </w:rPr>
        <w:t xml:space="preserve"> </w:t>
      </w:r>
      <w:r w:rsidR="001A0CDA" w:rsidRPr="001F3E34">
        <w:rPr>
          <w:b/>
          <w:bCs/>
          <w:i/>
          <w:iCs/>
        </w:rPr>
        <w:t>Initial Proposal Preparation</w:t>
      </w:r>
    </w:p>
    <w:p w14:paraId="636F258F" w14:textId="77777777" w:rsidR="00E844F5" w:rsidRPr="00E844F5" w:rsidRDefault="00E844F5" w:rsidP="00E844F5">
      <w:pPr>
        <w:pStyle w:val="ListParagraph"/>
        <w:numPr>
          <w:ilvl w:val="0"/>
          <w:numId w:val="0"/>
        </w:numPr>
        <w:ind w:left="1440"/>
        <w:rPr>
          <w:b/>
          <w:bCs/>
        </w:rPr>
      </w:pPr>
    </w:p>
    <w:p w14:paraId="034C654E" w14:textId="1978271F" w:rsidR="001A0CDA" w:rsidRDefault="00F02FF8" w:rsidP="004562B7">
      <w:pPr>
        <w:pStyle w:val="ListParagraph"/>
      </w:pPr>
      <w:r>
        <w:t>Deploying and/or upgrading broadband network facilities in connection with an Unserved Service Project or an Underserved Service Projec</w:t>
      </w:r>
      <w:r w:rsidR="00677650">
        <w:t xml:space="preserve">t </w:t>
      </w:r>
      <w:bookmarkStart w:id="1" w:name="_Hlk150177893"/>
      <w:r w:rsidR="00677650">
        <w:t>(NOFO: Section IV.B.5.b. Para. 4.1)</w:t>
      </w:r>
      <w:bookmarkEnd w:id="1"/>
      <w:r>
        <w:t>;</w:t>
      </w:r>
    </w:p>
    <w:p w14:paraId="414579D4" w14:textId="77777777" w:rsidR="001F3E34" w:rsidRDefault="001F3E34" w:rsidP="001F3E34">
      <w:pPr>
        <w:pStyle w:val="ListParagraph"/>
        <w:numPr>
          <w:ilvl w:val="0"/>
          <w:numId w:val="0"/>
        </w:numPr>
        <w:ind w:left="2700"/>
      </w:pPr>
    </w:p>
    <w:p w14:paraId="31115E59" w14:textId="2C144D4F" w:rsidR="007342B2" w:rsidRDefault="00F02FF8" w:rsidP="007342B2">
      <w:pPr>
        <w:pStyle w:val="ListParagraph"/>
      </w:pPr>
      <w:r>
        <w:t>De</w:t>
      </w:r>
      <w:r w:rsidR="009D2615">
        <w:t>ploying and/or upgrading broadband network facilities to provide or improve servi</w:t>
      </w:r>
      <w:r w:rsidR="008A0874">
        <w:t>ce to an eligible community anchor institution</w:t>
      </w:r>
      <w:r w:rsidR="005E7072">
        <w:t xml:space="preserve"> (NOFO: Section IV.B.5.b. Para. 4.2)</w:t>
      </w:r>
      <w:r w:rsidR="008A0874">
        <w:t>;</w:t>
      </w:r>
    </w:p>
    <w:p w14:paraId="1386AFC2" w14:textId="77777777" w:rsidR="007342B2" w:rsidRDefault="007342B2" w:rsidP="00A77044">
      <w:pPr>
        <w:pStyle w:val="ListParagraph"/>
        <w:numPr>
          <w:ilvl w:val="0"/>
          <w:numId w:val="0"/>
        </w:numPr>
        <w:ind w:left="2700"/>
      </w:pPr>
    </w:p>
    <w:p w14:paraId="2E42C500" w14:textId="740B00BA" w:rsidR="00A77044" w:rsidRDefault="008A0874" w:rsidP="00A77044">
      <w:pPr>
        <w:pStyle w:val="ListParagraph"/>
      </w:pPr>
      <w:r>
        <w:t>Data collection, broadband mapping, and planning to the extent necessary beyond the planning fund allocation</w:t>
      </w:r>
      <w:r w:rsidR="0005766E">
        <w:t xml:space="preserve"> to facilitate the goals and deliverables of the BEAD program</w:t>
      </w:r>
      <w:r w:rsidR="00850DD5">
        <w:t xml:space="preserve"> (NOFO: Section IV.B.5.b. Para. 4.3)</w:t>
      </w:r>
      <w:r w:rsidR="0005766E">
        <w:t>;</w:t>
      </w:r>
    </w:p>
    <w:p w14:paraId="15C128B1" w14:textId="77777777" w:rsidR="00A77044" w:rsidRDefault="00A77044" w:rsidP="00820BD0">
      <w:pPr>
        <w:pStyle w:val="ListParagraph"/>
        <w:numPr>
          <w:ilvl w:val="0"/>
          <w:numId w:val="0"/>
        </w:numPr>
        <w:ind w:left="2700"/>
      </w:pPr>
    </w:p>
    <w:p w14:paraId="0B97FD41" w14:textId="31819426" w:rsidR="00820BD0" w:rsidRDefault="0005766E" w:rsidP="00820BD0">
      <w:pPr>
        <w:pStyle w:val="ListParagraph"/>
      </w:pPr>
      <w:r>
        <w:t xml:space="preserve">Installing internet and Wi-Fi infrastructure or providing reduced-cost broadband within a multi-family residential building, with priority </w:t>
      </w:r>
      <w:r>
        <w:lastRenderedPageBreak/>
        <w:t>gi</w:t>
      </w:r>
      <w:r w:rsidR="00E82A98">
        <w:t>ven to a residential building that has substantial share of unserved households or in a location in which the percentage of individuals with a hou</w:t>
      </w:r>
      <w:r w:rsidR="00825934">
        <w:t>sehold income that is at or below 150 percent of the poverty line applicable to a famil</w:t>
      </w:r>
      <w:r w:rsidR="002B691C">
        <w:t xml:space="preserve">y of the size involved </w:t>
      </w:r>
      <w:r w:rsidR="003F5EFC">
        <w:t>is higher than the national percentage of such individuals</w:t>
      </w:r>
      <w:r w:rsidR="00A0036F">
        <w:t xml:space="preserve"> (NOFO: Section IV.B.5.b. Para. 4.4)</w:t>
      </w:r>
      <w:r w:rsidR="00AF7CE3">
        <w:t>;</w:t>
      </w:r>
    </w:p>
    <w:p w14:paraId="0697E0CE" w14:textId="77777777" w:rsidR="00820BD0" w:rsidRDefault="00820BD0" w:rsidP="00820BD0">
      <w:pPr>
        <w:pStyle w:val="ListParagraph"/>
        <w:numPr>
          <w:ilvl w:val="0"/>
          <w:numId w:val="0"/>
        </w:numPr>
        <w:ind w:left="2700"/>
      </w:pPr>
    </w:p>
    <w:p w14:paraId="004F2A6B" w14:textId="447FD0EB" w:rsidR="00820BD0" w:rsidRDefault="003F5EFC" w:rsidP="00820BD0">
      <w:pPr>
        <w:pStyle w:val="ListParagraph"/>
      </w:pPr>
      <w:r>
        <w:t>Broadband adoption, including programs to provide affordable internet-capable devices</w:t>
      </w:r>
      <w:r w:rsidR="00C76A26">
        <w:t xml:space="preserve"> (NOFO: Section IV.B.5.b. Para. 4.5)</w:t>
      </w:r>
      <w:r>
        <w:t>;</w:t>
      </w:r>
    </w:p>
    <w:p w14:paraId="41233FB0" w14:textId="77777777" w:rsidR="00820BD0" w:rsidRDefault="00820BD0" w:rsidP="00DB75CA">
      <w:pPr>
        <w:ind w:left="2700"/>
      </w:pPr>
    </w:p>
    <w:p w14:paraId="04A91BB0" w14:textId="3818B9CD" w:rsidR="00DB75CA" w:rsidRDefault="003F5EFC" w:rsidP="00DB75CA">
      <w:pPr>
        <w:pStyle w:val="ListParagraph"/>
      </w:pPr>
      <w:r>
        <w:t>Training and workforce development</w:t>
      </w:r>
      <w:r w:rsidR="0036690D">
        <w:t xml:space="preserve"> (NOFO: Section IV.B.5.b. Para. 4.6)</w:t>
      </w:r>
      <w:r>
        <w:t>;</w:t>
      </w:r>
      <w:r w:rsidR="00682295">
        <w:t xml:space="preserve"> and</w:t>
      </w:r>
    </w:p>
    <w:p w14:paraId="7743F208" w14:textId="77777777" w:rsidR="00DB75CA" w:rsidRDefault="00DB75CA" w:rsidP="00DB75CA">
      <w:pPr>
        <w:pStyle w:val="ListParagraph"/>
        <w:numPr>
          <w:ilvl w:val="0"/>
          <w:numId w:val="0"/>
        </w:numPr>
        <w:ind w:left="2700"/>
      </w:pPr>
    </w:p>
    <w:p w14:paraId="2397D0BB" w14:textId="29A30AF7" w:rsidR="00682295" w:rsidRDefault="00682295" w:rsidP="001A0CDA">
      <w:pPr>
        <w:pStyle w:val="ListParagraph"/>
      </w:pPr>
      <w:r>
        <w:t>Other uses, including other Digital Equity programs not already included above, proposed by the Eligible Entities and approved in advance in wri</w:t>
      </w:r>
      <w:r w:rsidR="004C7F50">
        <w:t>ting by the Assistant Secretary that supports the goals of the BEAD program</w:t>
      </w:r>
      <w:r w:rsidR="005D5AE0">
        <w:t xml:space="preserve"> (NOFO: Section IV.B.5.b. Para. 4.7)</w:t>
      </w:r>
      <w:r w:rsidR="004C7F50">
        <w:t>.</w:t>
      </w:r>
    </w:p>
    <w:p w14:paraId="0C1C8628" w14:textId="77777777" w:rsidR="00E12479" w:rsidRDefault="00E12479" w:rsidP="00E12479">
      <w:pPr>
        <w:pStyle w:val="ListParagraph"/>
        <w:numPr>
          <w:ilvl w:val="0"/>
          <w:numId w:val="0"/>
        </w:numPr>
        <w:ind w:left="2700"/>
      </w:pPr>
    </w:p>
    <w:p w14:paraId="3E3CA5A2" w14:textId="15D8E226" w:rsidR="00A24E9C" w:rsidRPr="001F3E34" w:rsidRDefault="000551DA" w:rsidP="00A24E9C">
      <w:pPr>
        <w:pStyle w:val="ListParagraph"/>
        <w:numPr>
          <w:ilvl w:val="1"/>
          <w:numId w:val="17"/>
        </w:numPr>
        <w:rPr>
          <w:b/>
          <w:bCs/>
          <w:i/>
          <w:iCs/>
        </w:rPr>
      </w:pPr>
      <w:r w:rsidRPr="001F3E34">
        <w:rPr>
          <w:b/>
          <w:bCs/>
          <w:i/>
          <w:iCs/>
        </w:rPr>
        <w:t xml:space="preserve">Activities Allowed </w:t>
      </w:r>
      <w:r w:rsidR="008F34AC" w:rsidRPr="001F3E34">
        <w:rPr>
          <w:b/>
          <w:bCs/>
          <w:i/>
          <w:iCs/>
        </w:rPr>
        <w:t>–</w:t>
      </w:r>
      <w:r w:rsidRPr="001F3E34">
        <w:rPr>
          <w:b/>
          <w:bCs/>
          <w:i/>
          <w:iCs/>
        </w:rPr>
        <w:t xml:space="preserve"> </w:t>
      </w:r>
      <w:r w:rsidR="008F34AC" w:rsidRPr="001F3E34">
        <w:rPr>
          <w:b/>
          <w:bCs/>
          <w:i/>
          <w:iCs/>
        </w:rPr>
        <w:t>Broadband De</w:t>
      </w:r>
      <w:r w:rsidR="007D09DF" w:rsidRPr="001F3E34">
        <w:rPr>
          <w:b/>
          <w:bCs/>
          <w:i/>
          <w:iCs/>
        </w:rPr>
        <w:t>ployment projects</w:t>
      </w:r>
    </w:p>
    <w:p w14:paraId="38D94737" w14:textId="77777777" w:rsidR="00F93EE7" w:rsidRPr="00E12479" w:rsidRDefault="00F93EE7" w:rsidP="00F93EE7">
      <w:pPr>
        <w:pStyle w:val="ListParagraph"/>
        <w:numPr>
          <w:ilvl w:val="0"/>
          <w:numId w:val="0"/>
        </w:numPr>
        <w:ind w:left="1440"/>
        <w:rPr>
          <w:b/>
          <w:bCs/>
        </w:rPr>
      </w:pPr>
    </w:p>
    <w:p w14:paraId="50339AB6" w14:textId="130AE8E3" w:rsidR="00275E52" w:rsidRDefault="00275E52" w:rsidP="00275E52">
      <w:pPr>
        <w:pStyle w:val="ListParagraph"/>
      </w:pPr>
      <w:r>
        <w:t>Constru</w:t>
      </w:r>
      <w:r w:rsidR="00CD2BC2">
        <w:t xml:space="preserve">ction, improvement, and/or acquisition of facilities and telecommunications equipment required to provide qualifying broadband </w:t>
      </w:r>
      <w:r w:rsidR="00162882">
        <w:t>service, including infrastructure for backhaul, middle- and last-mile networks</w:t>
      </w:r>
      <w:r w:rsidR="00B519C7">
        <w:t>, and multi-tenant buildings</w:t>
      </w:r>
      <w:r w:rsidR="00811537">
        <w:t xml:space="preserve"> (NOFO: Section IV.B.7.</w:t>
      </w:r>
      <w:proofErr w:type="gramStart"/>
      <w:r w:rsidR="00811537">
        <w:t>a.ii.</w:t>
      </w:r>
      <w:proofErr w:type="gramEnd"/>
      <w:r w:rsidR="00811537">
        <w:t xml:space="preserve"> </w:t>
      </w:r>
      <w:proofErr w:type="gramStart"/>
      <w:r w:rsidR="00811537">
        <w:t>Para..</w:t>
      </w:r>
      <w:proofErr w:type="gramEnd"/>
      <w:r w:rsidR="00811537">
        <w:t>2.1)</w:t>
      </w:r>
      <w:r w:rsidR="00B519C7">
        <w:t>;</w:t>
      </w:r>
    </w:p>
    <w:p w14:paraId="345D4D1A" w14:textId="77777777" w:rsidR="00DB75CA" w:rsidRDefault="00DB75CA" w:rsidP="00DB75CA">
      <w:pPr>
        <w:pStyle w:val="ListParagraph"/>
        <w:numPr>
          <w:ilvl w:val="0"/>
          <w:numId w:val="0"/>
        </w:numPr>
        <w:ind w:left="2700"/>
      </w:pPr>
    </w:p>
    <w:p w14:paraId="4F6151C5" w14:textId="521B00A3" w:rsidR="00B519C7" w:rsidRDefault="00B519C7" w:rsidP="00275E52">
      <w:pPr>
        <w:pStyle w:val="ListParagraph"/>
      </w:pPr>
      <w:r>
        <w:t xml:space="preserve">Long-term leases (for terms greater than one year) of facilities required to provide </w:t>
      </w:r>
      <w:r w:rsidR="0005055B">
        <w:t>qualifying broadband service, including indefeasible right-of use (IRU) agreements</w:t>
      </w:r>
      <w:r w:rsidR="00400229">
        <w:t xml:space="preserve"> (NOFO: Section IV.B.7.</w:t>
      </w:r>
      <w:proofErr w:type="gramStart"/>
      <w:r w:rsidR="00400229">
        <w:t>a.ii.</w:t>
      </w:r>
      <w:proofErr w:type="gramEnd"/>
      <w:r w:rsidR="00400229">
        <w:t xml:space="preserve"> </w:t>
      </w:r>
      <w:proofErr w:type="gramStart"/>
      <w:r w:rsidR="00400229">
        <w:t>Para..</w:t>
      </w:r>
      <w:proofErr w:type="gramEnd"/>
      <w:r w:rsidR="00400229">
        <w:t>2.2)</w:t>
      </w:r>
      <w:r w:rsidR="0005055B">
        <w:t>;</w:t>
      </w:r>
    </w:p>
    <w:p w14:paraId="5D2BEB01" w14:textId="77777777" w:rsidR="00DB75CA" w:rsidRDefault="00DB75CA" w:rsidP="00DB75CA">
      <w:pPr>
        <w:pStyle w:val="ListParagraph"/>
        <w:numPr>
          <w:ilvl w:val="0"/>
          <w:numId w:val="0"/>
        </w:numPr>
        <w:ind w:left="2700"/>
      </w:pPr>
    </w:p>
    <w:p w14:paraId="5C5BC082" w14:textId="7E406561" w:rsidR="0005055B" w:rsidRDefault="0005055B" w:rsidP="00275E52">
      <w:pPr>
        <w:pStyle w:val="ListParagraph"/>
      </w:pPr>
      <w:r>
        <w:t>Deployment of internet and Wi-Fi infrastructure within an eligible multi-family residential building</w:t>
      </w:r>
      <w:r w:rsidR="00940384">
        <w:t xml:space="preserve"> (NOFO: Section IV.B.7.</w:t>
      </w:r>
      <w:proofErr w:type="gramStart"/>
      <w:r w:rsidR="00940384">
        <w:t>a.ii.</w:t>
      </w:r>
      <w:proofErr w:type="gramEnd"/>
      <w:r w:rsidR="00940384">
        <w:t xml:space="preserve"> </w:t>
      </w:r>
      <w:proofErr w:type="gramStart"/>
      <w:r w:rsidR="00940384">
        <w:t>Para..</w:t>
      </w:r>
      <w:proofErr w:type="gramEnd"/>
      <w:r w:rsidR="00940384">
        <w:t>2.3)</w:t>
      </w:r>
      <w:r>
        <w:t>;</w:t>
      </w:r>
    </w:p>
    <w:p w14:paraId="458322AB" w14:textId="77777777" w:rsidR="00DB75CA" w:rsidRDefault="00DB75CA" w:rsidP="00DB75CA">
      <w:pPr>
        <w:pStyle w:val="ListParagraph"/>
        <w:numPr>
          <w:ilvl w:val="0"/>
          <w:numId w:val="0"/>
        </w:numPr>
        <w:ind w:left="2700"/>
      </w:pPr>
    </w:p>
    <w:p w14:paraId="7B387B58" w14:textId="58B656E4" w:rsidR="0005055B" w:rsidRDefault="0005055B" w:rsidP="00275E52">
      <w:pPr>
        <w:pStyle w:val="ListParagraph"/>
      </w:pPr>
      <w:r>
        <w:t>Engineering design, permitting, and work related to environmental, historical and cultural reviews</w:t>
      </w:r>
      <w:r w:rsidR="009E4CB8" w:rsidRPr="009B7421">
        <w:t xml:space="preserve"> </w:t>
      </w:r>
      <w:r w:rsidR="009E4CB8">
        <w:t>(NOFO: Section IV.B.7.</w:t>
      </w:r>
      <w:proofErr w:type="gramStart"/>
      <w:r w:rsidR="009E4CB8">
        <w:t>a.ii.</w:t>
      </w:r>
      <w:proofErr w:type="gramEnd"/>
      <w:r w:rsidR="009E4CB8">
        <w:t xml:space="preserve"> </w:t>
      </w:r>
      <w:proofErr w:type="gramStart"/>
      <w:r w:rsidR="009E4CB8">
        <w:t>Para..</w:t>
      </w:r>
      <w:proofErr w:type="gramEnd"/>
      <w:r w:rsidR="009E4CB8">
        <w:t>2.4)</w:t>
      </w:r>
      <w:r>
        <w:t>;</w:t>
      </w:r>
    </w:p>
    <w:p w14:paraId="6DB8F27D" w14:textId="77777777" w:rsidR="00DB75CA" w:rsidRDefault="00DB75CA" w:rsidP="00DB75CA">
      <w:pPr>
        <w:pStyle w:val="ListParagraph"/>
        <w:numPr>
          <w:ilvl w:val="0"/>
          <w:numId w:val="0"/>
        </w:numPr>
        <w:ind w:left="2700"/>
      </w:pPr>
    </w:p>
    <w:p w14:paraId="1B50D151" w14:textId="55375AFC" w:rsidR="0005055B" w:rsidRDefault="0005055B" w:rsidP="00275E52">
      <w:pPr>
        <w:pStyle w:val="ListParagraph"/>
      </w:pPr>
      <w:r>
        <w:t>Personnel costs, including salaries and fringe benefits for staff and con</w:t>
      </w:r>
      <w:r w:rsidR="00157685">
        <w:t>sultants providing services directly connected to the implementation of the BEAD program (such as project managers, program directors,</w:t>
      </w:r>
      <w:r w:rsidR="00A60B62">
        <w:t xml:space="preserve"> and subject matter experts)</w:t>
      </w:r>
      <w:r w:rsidR="00B937CF">
        <w:t xml:space="preserve"> (NOFO: Section IV.B.7.</w:t>
      </w:r>
      <w:proofErr w:type="gramStart"/>
      <w:r w:rsidR="00B937CF">
        <w:t>a.ii.</w:t>
      </w:r>
      <w:proofErr w:type="gramEnd"/>
      <w:r w:rsidR="00B937CF">
        <w:t xml:space="preserve"> </w:t>
      </w:r>
      <w:proofErr w:type="gramStart"/>
      <w:r w:rsidR="00B937CF">
        <w:t>Para..</w:t>
      </w:r>
      <w:proofErr w:type="gramEnd"/>
      <w:r w:rsidR="00B937CF">
        <w:t>2.5)</w:t>
      </w:r>
      <w:r w:rsidR="00A60B62">
        <w:t>;</w:t>
      </w:r>
    </w:p>
    <w:p w14:paraId="681FA2DE" w14:textId="77777777" w:rsidR="00DB75CA" w:rsidRDefault="00DB75CA" w:rsidP="00DB75CA">
      <w:pPr>
        <w:pStyle w:val="ListParagraph"/>
        <w:numPr>
          <w:ilvl w:val="0"/>
          <w:numId w:val="0"/>
        </w:numPr>
        <w:ind w:left="2700"/>
      </w:pPr>
    </w:p>
    <w:p w14:paraId="0546C979" w14:textId="6E4EDDA0" w:rsidR="00A60B62" w:rsidRDefault="00A60B62" w:rsidP="00275E52">
      <w:pPr>
        <w:pStyle w:val="ListParagraph"/>
      </w:pPr>
      <w:r>
        <w:t>Network software upgrades, including but not limited to cybersecurity solutions</w:t>
      </w:r>
      <w:r w:rsidR="00DB55CA" w:rsidRPr="00150B03">
        <w:t xml:space="preserve"> </w:t>
      </w:r>
      <w:r w:rsidR="00DB55CA">
        <w:t>(NOFO: Section IV.B.7.</w:t>
      </w:r>
      <w:proofErr w:type="gramStart"/>
      <w:r w:rsidR="00DB55CA">
        <w:t>a.ii.</w:t>
      </w:r>
      <w:proofErr w:type="gramEnd"/>
      <w:r w:rsidR="00DB55CA">
        <w:t xml:space="preserve"> </w:t>
      </w:r>
      <w:proofErr w:type="gramStart"/>
      <w:r w:rsidR="00DB55CA">
        <w:t>Para..</w:t>
      </w:r>
      <w:proofErr w:type="gramEnd"/>
      <w:r w:rsidR="00DB55CA">
        <w:t>2.6)</w:t>
      </w:r>
      <w:r>
        <w:t>;</w:t>
      </w:r>
    </w:p>
    <w:p w14:paraId="5295A217" w14:textId="77777777" w:rsidR="00DB75CA" w:rsidRDefault="00DB75CA" w:rsidP="00DB75CA">
      <w:pPr>
        <w:pStyle w:val="ListParagraph"/>
        <w:numPr>
          <w:ilvl w:val="0"/>
          <w:numId w:val="0"/>
        </w:numPr>
        <w:ind w:left="2700"/>
      </w:pPr>
    </w:p>
    <w:p w14:paraId="4E118F5D" w14:textId="47621572" w:rsidR="00A60B62" w:rsidRDefault="00A60B62" w:rsidP="00275E52">
      <w:pPr>
        <w:pStyle w:val="ListParagraph"/>
      </w:pPr>
      <w:r>
        <w:t>Training for cyberse</w:t>
      </w:r>
      <w:r w:rsidR="00132FB5">
        <w:t>curity professionals who will be working on BEAD-funded networks</w:t>
      </w:r>
      <w:r w:rsidR="00162922" w:rsidRPr="00150B03">
        <w:t xml:space="preserve"> </w:t>
      </w:r>
      <w:r w:rsidR="00162922">
        <w:t>(NOFO: Section IV.B.7.</w:t>
      </w:r>
      <w:proofErr w:type="gramStart"/>
      <w:r w:rsidR="00162922">
        <w:t>a.ii.</w:t>
      </w:r>
      <w:proofErr w:type="gramEnd"/>
      <w:r w:rsidR="00162922">
        <w:t xml:space="preserve"> </w:t>
      </w:r>
      <w:proofErr w:type="gramStart"/>
      <w:r w:rsidR="00162922">
        <w:t>Para..</w:t>
      </w:r>
      <w:proofErr w:type="gramEnd"/>
      <w:r w:rsidR="00162922">
        <w:t>2.7)</w:t>
      </w:r>
      <w:r w:rsidR="009E3377">
        <w:t>; and</w:t>
      </w:r>
    </w:p>
    <w:p w14:paraId="0B580714" w14:textId="77777777" w:rsidR="00DB75CA" w:rsidRDefault="00DB75CA" w:rsidP="00DB75CA">
      <w:pPr>
        <w:pStyle w:val="ListParagraph"/>
        <w:numPr>
          <w:ilvl w:val="0"/>
          <w:numId w:val="0"/>
        </w:numPr>
        <w:ind w:left="2700"/>
      </w:pPr>
    </w:p>
    <w:p w14:paraId="189DAC77" w14:textId="38104C2B" w:rsidR="00DB75CA" w:rsidRDefault="0027067C" w:rsidP="0068754C">
      <w:pPr>
        <w:pStyle w:val="ListParagraph"/>
      </w:pPr>
      <w:r>
        <w:t xml:space="preserve">Workforce development, including Registered Apprenticeships and </w:t>
      </w:r>
      <w:r>
        <w:lastRenderedPageBreak/>
        <w:t>pre-apprenticesh</w:t>
      </w:r>
      <w:r w:rsidR="000E26A3">
        <w:t>ips, and community college and/or vocational training for broadband-related occupations to support deployment, maintenance, and upgrades</w:t>
      </w:r>
      <w:r w:rsidR="002B40BB" w:rsidRPr="00F84C60">
        <w:t xml:space="preserve"> </w:t>
      </w:r>
      <w:r w:rsidR="002B40BB">
        <w:t>(NOFO: Section IV.B.7.</w:t>
      </w:r>
      <w:proofErr w:type="gramStart"/>
      <w:r w:rsidR="002B40BB">
        <w:t>a.ii.</w:t>
      </w:r>
      <w:proofErr w:type="gramEnd"/>
      <w:r w:rsidR="002B40BB">
        <w:t xml:space="preserve"> </w:t>
      </w:r>
      <w:proofErr w:type="gramStart"/>
      <w:r w:rsidR="002B40BB">
        <w:t>Para..</w:t>
      </w:r>
      <w:proofErr w:type="gramEnd"/>
      <w:r w:rsidR="002B40BB">
        <w:t>2.8)</w:t>
      </w:r>
      <w:r w:rsidR="000E26A3">
        <w:t>.</w:t>
      </w:r>
    </w:p>
    <w:p w14:paraId="630A2E43" w14:textId="77777777" w:rsidR="00DB75CA" w:rsidRDefault="00DB75CA" w:rsidP="0068754C">
      <w:pPr>
        <w:pStyle w:val="ListParagraph"/>
        <w:numPr>
          <w:ilvl w:val="0"/>
          <w:numId w:val="0"/>
        </w:numPr>
        <w:ind w:left="2700"/>
      </w:pPr>
    </w:p>
    <w:p w14:paraId="261BB490" w14:textId="07937A15" w:rsidR="00E840FC" w:rsidRPr="0068754C" w:rsidRDefault="00E840FC" w:rsidP="00E840FC">
      <w:pPr>
        <w:pStyle w:val="ListParagraph"/>
        <w:numPr>
          <w:ilvl w:val="1"/>
          <w:numId w:val="17"/>
        </w:numPr>
        <w:rPr>
          <w:b/>
          <w:bCs/>
          <w:i/>
          <w:iCs/>
        </w:rPr>
      </w:pPr>
      <w:r w:rsidRPr="0068754C">
        <w:rPr>
          <w:b/>
          <w:bCs/>
          <w:i/>
          <w:iCs/>
        </w:rPr>
        <w:t>Activities Allowed – Non-Deployment Uses</w:t>
      </w:r>
    </w:p>
    <w:p w14:paraId="6E6A6C8F" w14:textId="77777777" w:rsidR="0068754C" w:rsidRDefault="0068754C" w:rsidP="0068754C">
      <w:pPr>
        <w:pStyle w:val="ListParagraph"/>
        <w:numPr>
          <w:ilvl w:val="0"/>
          <w:numId w:val="0"/>
        </w:numPr>
        <w:ind w:left="2700"/>
      </w:pPr>
    </w:p>
    <w:p w14:paraId="4E71FC7B" w14:textId="58389E72" w:rsidR="00E840FC" w:rsidRDefault="00E840FC" w:rsidP="00E840FC">
      <w:pPr>
        <w:pStyle w:val="ListParagraph"/>
      </w:pPr>
      <w:r>
        <w:t>User training with respect to cybersecurity, privacy, and other digital safety matters</w:t>
      </w:r>
      <w:bookmarkStart w:id="2" w:name="_Hlk150234024"/>
      <w:r w:rsidR="001D300E">
        <w:t xml:space="preserve"> (NOFO: Section IV.B.7.a.iii.1)</w:t>
      </w:r>
      <w:bookmarkEnd w:id="2"/>
      <w:r>
        <w:t>;</w:t>
      </w:r>
    </w:p>
    <w:p w14:paraId="6950560E" w14:textId="77777777" w:rsidR="0068754C" w:rsidRDefault="0068754C" w:rsidP="0068754C">
      <w:pPr>
        <w:pStyle w:val="ListParagraph"/>
        <w:numPr>
          <w:ilvl w:val="0"/>
          <w:numId w:val="0"/>
        </w:numPr>
        <w:ind w:left="2700"/>
      </w:pPr>
    </w:p>
    <w:p w14:paraId="0F387981" w14:textId="4C6090DD" w:rsidR="0068754C" w:rsidRDefault="00E840FC" w:rsidP="0068754C">
      <w:pPr>
        <w:pStyle w:val="ListParagraph"/>
      </w:pPr>
      <w:r>
        <w:t>Remote learning or telehealth</w:t>
      </w:r>
      <w:r w:rsidR="00146A86">
        <w:t xml:space="preserve"> services/facilities</w:t>
      </w:r>
      <w:r w:rsidR="00357847">
        <w:t xml:space="preserve"> (NOFO: Section IV.B.7.a.iii.2)</w:t>
      </w:r>
      <w:r w:rsidR="00146A86">
        <w:t>;</w:t>
      </w:r>
    </w:p>
    <w:p w14:paraId="049A09DB" w14:textId="77777777" w:rsidR="0068754C" w:rsidRDefault="0068754C" w:rsidP="0068754C">
      <w:pPr>
        <w:pStyle w:val="ListParagraph"/>
        <w:numPr>
          <w:ilvl w:val="0"/>
          <w:numId w:val="0"/>
        </w:numPr>
        <w:ind w:left="2700"/>
      </w:pPr>
    </w:p>
    <w:p w14:paraId="07F3F5F5" w14:textId="4BC0FAAD" w:rsidR="00146A86" w:rsidRDefault="00146A86" w:rsidP="00E840FC">
      <w:pPr>
        <w:pStyle w:val="ListParagraph"/>
      </w:pPr>
      <w:r>
        <w:t>Digital literacy/upskilling (from beginner-level to advanced)</w:t>
      </w:r>
      <w:r w:rsidR="001F0A40">
        <w:t xml:space="preserve"> (NOFO: Section IV.B.7.a.iii.3)</w:t>
      </w:r>
      <w:r w:rsidR="00871350">
        <w:t>;</w:t>
      </w:r>
    </w:p>
    <w:p w14:paraId="5DD20661" w14:textId="77777777" w:rsidR="00E62794" w:rsidRDefault="00E62794" w:rsidP="00E62794">
      <w:pPr>
        <w:pStyle w:val="ListParagraph"/>
        <w:numPr>
          <w:ilvl w:val="0"/>
          <w:numId w:val="0"/>
        </w:numPr>
        <w:ind w:left="2700"/>
      </w:pPr>
    </w:p>
    <w:p w14:paraId="609648A4" w14:textId="1D9C2047" w:rsidR="00871350" w:rsidRDefault="00871350" w:rsidP="00E840FC">
      <w:pPr>
        <w:pStyle w:val="ListParagraph"/>
      </w:pPr>
      <w:r>
        <w:t>Computer science, coding and cybersecurity education programs</w:t>
      </w:r>
      <w:r w:rsidR="004F39D3">
        <w:t xml:space="preserve"> (NOFO: Section IV.B.7.a.iii.4)</w:t>
      </w:r>
      <w:r>
        <w:t>;</w:t>
      </w:r>
    </w:p>
    <w:p w14:paraId="11440DED" w14:textId="77777777" w:rsidR="00E62794" w:rsidRDefault="00E62794" w:rsidP="00E62794">
      <w:pPr>
        <w:pStyle w:val="ListParagraph"/>
        <w:numPr>
          <w:ilvl w:val="0"/>
          <w:numId w:val="0"/>
        </w:numPr>
        <w:ind w:left="2700"/>
      </w:pPr>
    </w:p>
    <w:p w14:paraId="0ECC5960" w14:textId="66D16C4C" w:rsidR="00871350" w:rsidRDefault="00871350" w:rsidP="00E840FC">
      <w:pPr>
        <w:pStyle w:val="ListParagraph"/>
      </w:pPr>
      <w:r>
        <w:t>Implementation</w:t>
      </w:r>
      <w:r w:rsidR="00674B0A">
        <w:t xml:space="preserve"> of Eligible Entity digital equity plans (to supplement, but not to duplicate or supplant, Planning Grant Funds received by the Eligible Entity in connection with the Digital Equity Act of 2021</w:t>
      </w:r>
      <w:r w:rsidR="00F11822">
        <w:t xml:space="preserve"> (NOFO: Section IV.B.7.a.iii.5)</w:t>
      </w:r>
      <w:r w:rsidR="00674B0A">
        <w:t>.</w:t>
      </w:r>
    </w:p>
    <w:p w14:paraId="23EBFCA9" w14:textId="77777777" w:rsidR="00E62794" w:rsidRDefault="00E62794" w:rsidP="00E62794">
      <w:pPr>
        <w:pStyle w:val="ListParagraph"/>
        <w:numPr>
          <w:ilvl w:val="0"/>
          <w:numId w:val="0"/>
        </w:numPr>
        <w:ind w:left="2700"/>
      </w:pPr>
    </w:p>
    <w:p w14:paraId="1CF6E929" w14:textId="3E58639D" w:rsidR="0031220F" w:rsidRDefault="0031220F" w:rsidP="00E840FC">
      <w:pPr>
        <w:pStyle w:val="ListParagraph"/>
      </w:pPr>
      <w:r>
        <w:t>Broadband sign-up assistance and programs that provide technology support</w:t>
      </w:r>
      <w:r w:rsidR="00AD3459">
        <w:t xml:space="preserve"> (NOFO: Section IV.B.7.a.iii.6)</w:t>
      </w:r>
      <w:r>
        <w:t>;</w:t>
      </w:r>
    </w:p>
    <w:p w14:paraId="4F56AC4F" w14:textId="77777777" w:rsidR="00AD3459" w:rsidRDefault="00AD3459" w:rsidP="00F921C7">
      <w:pPr>
        <w:pStyle w:val="ListParagraph"/>
        <w:numPr>
          <w:ilvl w:val="0"/>
          <w:numId w:val="0"/>
        </w:numPr>
        <w:ind w:left="2700"/>
      </w:pPr>
    </w:p>
    <w:p w14:paraId="4B5E0527" w14:textId="4175D02C" w:rsidR="0031220F" w:rsidRDefault="0031220F" w:rsidP="00E840FC">
      <w:pPr>
        <w:pStyle w:val="ListParagraph"/>
      </w:pPr>
      <w:r>
        <w:t>Multi-lingual outreach to support adoption and digital literacy</w:t>
      </w:r>
      <w:r w:rsidR="00641904">
        <w:t xml:space="preserve"> (NOFO: Section IV.B.7.a.iii.7)</w:t>
      </w:r>
      <w:r>
        <w:t>;</w:t>
      </w:r>
    </w:p>
    <w:p w14:paraId="6C30CAC2" w14:textId="77777777" w:rsidR="00EC3BC1" w:rsidRDefault="00EC3BC1" w:rsidP="00EC3BC1">
      <w:pPr>
        <w:pStyle w:val="ListParagraph"/>
        <w:numPr>
          <w:ilvl w:val="0"/>
          <w:numId w:val="0"/>
        </w:numPr>
        <w:ind w:left="2700"/>
      </w:pPr>
    </w:p>
    <w:p w14:paraId="097E7F96" w14:textId="3A2BE9DB" w:rsidR="0031220F" w:rsidRDefault="0031220F" w:rsidP="00E840FC">
      <w:pPr>
        <w:pStyle w:val="ListParagraph"/>
      </w:pPr>
      <w:r>
        <w:t>Prisoner education to promote pre-release digital literacy, job skills, online job-acquisition skills</w:t>
      </w:r>
      <w:r w:rsidR="00123962">
        <w:t>, etc</w:t>
      </w:r>
      <w:r w:rsidR="00B2439B">
        <w:t>. (NOFO: Section IV.B.7.a.iii.8)</w:t>
      </w:r>
      <w:r>
        <w:t>;</w:t>
      </w:r>
    </w:p>
    <w:p w14:paraId="65F9440B" w14:textId="77777777" w:rsidR="00EC3BC1" w:rsidRDefault="00EC3BC1" w:rsidP="00EC3BC1">
      <w:pPr>
        <w:pStyle w:val="ListParagraph"/>
        <w:numPr>
          <w:ilvl w:val="0"/>
          <w:numId w:val="0"/>
        </w:numPr>
        <w:ind w:left="2700"/>
      </w:pPr>
    </w:p>
    <w:p w14:paraId="785FA1C4" w14:textId="158075EF" w:rsidR="0031220F" w:rsidRDefault="0031220F" w:rsidP="00E840FC">
      <w:pPr>
        <w:pStyle w:val="ListParagraph"/>
      </w:pPr>
      <w:r>
        <w:t>Di</w:t>
      </w:r>
      <w:r w:rsidR="00123962">
        <w:t>gital navigators</w:t>
      </w:r>
      <w:r w:rsidR="00D0195E">
        <w:t xml:space="preserve"> (NOFO: Section IV.B.7.a.iii.9)</w:t>
      </w:r>
      <w:r w:rsidR="00123962">
        <w:t>;</w:t>
      </w:r>
    </w:p>
    <w:p w14:paraId="6AB6C498" w14:textId="77777777" w:rsidR="00EC3BC1" w:rsidRDefault="00EC3BC1" w:rsidP="00EC3BC1">
      <w:pPr>
        <w:pStyle w:val="ListParagraph"/>
        <w:numPr>
          <w:ilvl w:val="0"/>
          <w:numId w:val="0"/>
        </w:numPr>
        <w:ind w:left="2700"/>
      </w:pPr>
    </w:p>
    <w:p w14:paraId="3B9E3BFF" w14:textId="5853256A" w:rsidR="00123962" w:rsidRDefault="00123962" w:rsidP="00E840FC">
      <w:pPr>
        <w:pStyle w:val="ListParagraph"/>
      </w:pPr>
      <w:r>
        <w:t>Direct subsidies for use toward broadband subscription, where the Eligible Entity shows the subsidies will improve affordability for the end user population (and to supplement, but not</w:t>
      </w:r>
      <w:r w:rsidR="00415895">
        <w:t xml:space="preserve"> to duplicate or supplant, the subsidies provided by the Affordable Connectivity Program</w:t>
      </w:r>
      <w:r w:rsidR="00546637">
        <w:t xml:space="preserve"> (NOFO: Section IV.B.7.a.iii.10)</w:t>
      </w:r>
      <w:r w:rsidR="00415895">
        <w:t>;</w:t>
      </w:r>
    </w:p>
    <w:p w14:paraId="35FD87E8" w14:textId="77777777" w:rsidR="00EC3BC1" w:rsidRDefault="00EC3BC1" w:rsidP="00EC3BC1">
      <w:pPr>
        <w:pStyle w:val="ListParagraph"/>
        <w:numPr>
          <w:ilvl w:val="0"/>
          <w:numId w:val="0"/>
        </w:numPr>
        <w:ind w:left="2700"/>
      </w:pPr>
    </w:p>
    <w:p w14:paraId="3ADAC3B0" w14:textId="105FAE37" w:rsidR="00415895" w:rsidRDefault="00415895" w:rsidP="00E840FC">
      <w:pPr>
        <w:pStyle w:val="ListParagraph"/>
      </w:pPr>
      <w:r>
        <w:t>Costs associated with stakeholder engagement, including travel, capacity-building, or contract support</w:t>
      </w:r>
      <w:r w:rsidR="00331DE4">
        <w:t xml:space="preserve"> (NOFO: Section IV.B.7.a.iii.11)</w:t>
      </w:r>
      <w:r w:rsidR="00C50B93">
        <w:t>;</w:t>
      </w:r>
      <w:r w:rsidR="00457903">
        <w:t xml:space="preserve"> and</w:t>
      </w:r>
    </w:p>
    <w:p w14:paraId="53AEE860" w14:textId="77777777" w:rsidR="00EC3BC1" w:rsidRDefault="00EC3BC1" w:rsidP="00EC3BC1">
      <w:pPr>
        <w:pStyle w:val="ListParagraph"/>
        <w:numPr>
          <w:ilvl w:val="0"/>
          <w:numId w:val="0"/>
        </w:numPr>
        <w:ind w:left="2700"/>
      </w:pPr>
    </w:p>
    <w:p w14:paraId="43B95F3A" w14:textId="773C3E04" w:rsidR="00C50B93" w:rsidRPr="004B5A31" w:rsidRDefault="00C50B93" w:rsidP="00C309DB">
      <w:pPr>
        <w:pStyle w:val="ListParagraph"/>
      </w:pPr>
      <w:r>
        <w:t>Other allowable costs necessary to carrying out programmatic activities of an award, not to include ineligible costs described in Section V.K.2 of the BEAD NOFO</w:t>
      </w:r>
      <w:r w:rsidR="007B2314">
        <w:t xml:space="preserve"> (NOFO: Section IV.B.7.a.iii.12)</w:t>
      </w:r>
      <w:r>
        <w:t>.</w:t>
      </w:r>
    </w:p>
    <w:p w14:paraId="5ADC47CA" w14:textId="77777777" w:rsidR="006563B0" w:rsidRDefault="006563B0" w:rsidP="003B54A4">
      <w:pPr>
        <w:pStyle w:val="Heading1"/>
        <w:tabs>
          <w:tab w:val="left" w:pos="820"/>
        </w:tabs>
        <w:rPr>
          <w:b w:val="0"/>
          <w:bCs w:val="0"/>
          <w:i/>
          <w:iCs/>
        </w:rPr>
      </w:pPr>
    </w:p>
    <w:p w14:paraId="3021D66F" w14:textId="77777777" w:rsidR="00101347" w:rsidRPr="00EC3BC1" w:rsidRDefault="006563B0" w:rsidP="00101347">
      <w:pPr>
        <w:pStyle w:val="ListParagraph"/>
        <w:numPr>
          <w:ilvl w:val="0"/>
          <w:numId w:val="15"/>
        </w:numPr>
        <w:ind w:left="1530" w:hanging="810"/>
        <w:rPr>
          <w:b/>
          <w:bCs/>
          <w:i/>
          <w:iCs/>
        </w:rPr>
      </w:pPr>
      <w:r w:rsidRPr="00EC3BC1">
        <w:rPr>
          <w:b/>
          <w:bCs/>
          <w:i/>
          <w:iCs/>
        </w:rPr>
        <w:lastRenderedPageBreak/>
        <w:t xml:space="preserve">Activities Unallowed </w:t>
      </w:r>
    </w:p>
    <w:p w14:paraId="23D70324" w14:textId="77777777" w:rsidR="00101347" w:rsidRPr="00101347" w:rsidRDefault="00101347" w:rsidP="00101347">
      <w:pPr>
        <w:ind w:left="1440"/>
        <w:rPr>
          <w:i/>
          <w:iCs/>
        </w:rPr>
      </w:pPr>
    </w:p>
    <w:p w14:paraId="09655544" w14:textId="3222DA21" w:rsidR="00A23FB4" w:rsidRPr="00A23FB4" w:rsidRDefault="00101347" w:rsidP="00101347">
      <w:pPr>
        <w:pStyle w:val="ListParagraph"/>
        <w:numPr>
          <w:ilvl w:val="1"/>
          <w:numId w:val="15"/>
        </w:numPr>
        <w:rPr>
          <w:i/>
          <w:iCs/>
        </w:rPr>
      </w:pPr>
      <w:r w:rsidRPr="00101347">
        <w:t xml:space="preserve">Ineligible costs include those costs that are unallowable under the applicable federal cost principles. </w:t>
      </w:r>
      <w:r w:rsidR="000F42C5">
        <w:t>C</w:t>
      </w:r>
      <w:r w:rsidRPr="00101347">
        <w:t xml:space="preserve">osts ineligible for the BEAD Program may not be paid for with matching funds committed to an award. If an Eligible Entity is found to have used grant or matching funds on a prohibited cost, the Assistant Secretary may take remedial action, including but not limited to </w:t>
      </w:r>
      <w:proofErr w:type="spellStart"/>
      <w:r w:rsidRPr="00101347">
        <w:t>deobligation</w:t>
      </w:r>
      <w:proofErr w:type="spellEnd"/>
      <w:r w:rsidRPr="00101347">
        <w:t xml:space="preserve"> or </w:t>
      </w:r>
      <w:proofErr w:type="spellStart"/>
      <w:r w:rsidRPr="00101347">
        <w:t>clawback</w:t>
      </w:r>
      <w:proofErr w:type="spellEnd"/>
      <w:r w:rsidRPr="00101347">
        <w:t xml:space="preserve"> of funding</w:t>
      </w:r>
      <w:r w:rsidR="00A85DB8">
        <w:t xml:space="preserve"> (NOFO: Section </w:t>
      </w:r>
      <w:r w:rsidR="008863BE">
        <w:t>V.</w:t>
      </w:r>
      <w:r w:rsidR="00A85DB8">
        <w:t>H.2)</w:t>
      </w:r>
      <w:r w:rsidRPr="00101347">
        <w:t>.</w:t>
      </w:r>
    </w:p>
    <w:p w14:paraId="723736C5" w14:textId="77777777" w:rsidR="00A23FB4" w:rsidRPr="00A23FB4" w:rsidRDefault="00A23FB4" w:rsidP="00A23FB4">
      <w:pPr>
        <w:ind w:left="1440"/>
        <w:rPr>
          <w:i/>
          <w:iCs/>
        </w:rPr>
      </w:pPr>
    </w:p>
    <w:p w14:paraId="279057CC" w14:textId="785470E4" w:rsidR="00B96FC7" w:rsidRPr="00886208" w:rsidRDefault="00101347" w:rsidP="00101347">
      <w:pPr>
        <w:pStyle w:val="ListParagraph"/>
        <w:numPr>
          <w:ilvl w:val="1"/>
          <w:numId w:val="15"/>
        </w:numPr>
        <w:rPr>
          <w:i/>
          <w:iCs/>
        </w:rPr>
      </w:pPr>
      <w:r w:rsidRPr="00A23FB4">
        <w:t>In addition, grant funds awarded to an Eligible Entity under this program shall be used to supplement, and not supplant, the amounts that the Eligible Entity would otherwise make available for the purposes for which the grant funds may be used</w:t>
      </w:r>
      <w:r w:rsidR="00851CDA">
        <w:t xml:space="preserve"> (NOFO: Section </w:t>
      </w:r>
      <w:r w:rsidR="00652941">
        <w:t>V.</w:t>
      </w:r>
      <w:r w:rsidR="00851CDA">
        <w:t>H.2)</w:t>
      </w:r>
      <w:r w:rsidRPr="00A23FB4">
        <w:t>.</w:t>
      </w:r>
    </w:p>
    <w:p w14:paraId="65882201" w14:textId="77777777" w:rsidR="00886208" w:rsidRPr="00886208" w:rsidRDefault="00886208" w:rsidP="00886208">
      <w:pPr>
        <w:pStyle w:val="ListParagraph"/>
        <w:numPr>
          <w:ilvl w:val="0"/>
          <w:numId w:val="0"/>
        </w:numPr>
        <w:ind w:left="2700"/>
        <w:rPr>
          <w:i/>
          <w:iCs/>
        </w:rPr>
      </w:pPr>
    </w:p>
    <w:p w14:paraId="43C44A59" w14:textId="5E117BDE" w:rsidR="00886208" w:rsidRDefault="00886208" w:rsidP="00886208">
      <w:pPr>
        <w:pStyle w:val="Heading1"/>
        <w:numPr>
          <w:ilvl w:val="0"/>
          <w:numId w:val="14"/>
        </w:numPr>
        <w:tabs>
          <w:tab w:val="left" w:pos="820"/>
        </w:tabs>
        <w:spacing w:before="80"/>
      </w:pPr>
      <w:r>
        <w:t>Allow</w:t>
      </w:r>
      <w:r w:rsidR="001E315B">
        <w:t>able Costs/Cost Principles</w:t>
      </w:r>
    </w:p>
    <w:p w14:paraId="2DE1235D" w14:textId="77777777" w:rsidR="00886208" w:rsidRDefault="00886208" w:rsidP="00B96FC7">
      <w:pPr>
        <w:ind w:left="2340"/>
      </w:pPr>
    </w:p>
    <w:p w14:paraId="4454F2A8" w14:textId="218418F6" w:rsidR="00E76960" w:rsidRPr="003F0BD0" w:rsidRDefault="00101347" w:rsidP="00886208">
      <w:pPr>
        <w:pStyle w:val="ListParagraph"/>
        <w:numPr>
          <w:ilvl w:val="0"/>
          <w:numId w:val="34"/>
        </w:numPr>
        <w:rPr>
          <w:i/>
          <w:iCs/>
        </w:rPr>
      </w:pPr>
      <w:r w:rsidRPr="003F0BD0">
        <w:t>The following costs are specifically identified as prohibited under the BEAD Program:</w:t>
      </w:r>
    </w:p>
    <w:p w14:paraId="5AEEB11F" w14:textId="77777777" w:rsidR="00DA3362" w:rsidRPr="005374AF" w:rsidRDefault="00DA3362" w:rsidP="005A5BC1">
      <w:pPr>
        <w:pStyle w:val="ListParagraph"/>
        <w:numPr>
          <w:ilvl w:val="0"/>
          <w:numId w:val="0"/>
        </w:numPr>
        <w:ind w:left="1080"/>
        <w:rPr>
          <w:i/>
          <w:iCs/>
        </w:rPr>
      </w:pPr>
    </w:p>
    <w:p w14:paraId="628D1A77" w14:textId="77777777" w:rsidR="005374AF" w:rsidRPr="000B500E" w:rsidRDefault="00101347" w:rsidP="00886208">
      <w:pPr>
        <w:pStyle w:val="ListParagraph"/>
        <w:numPr>
          <w:ilvl w:val="1"/>
          <w:numId w:val="34"/>
        </w:numPr>
      </w:pPr>
      <w:r w:rsidRPr="000B500E">
        <w:t>Prohibition On Use of Grant Funds for Covered Communications Equipment or Services under the Secure and Trusted Communications Networks Act</w:t>
      </w:r>
    </w:p>
    <w:p w14:paraId="5E8E7BF4" w14:textId="249F4489" w:rsidR="00721AF9" w:rsidRPr="000B500E" w:rsidRDefault="00101347" w:rsidP="00886208">
      <w:pPr>
        <w:pStyle w:val="ListParagraph"/>
        <w:numPr>
          <w:ilvl w:val="2"/>
          <w:numId w:val="34"/>
        </w:numPr>
      </w:pPr>
      <w:r w:rsidRPr="000B500E">
        <w:t>An Eligible Entity or subgrantee (including contractors and subcontractors of subgrantees) may not use grant funds received under the BEAD Program to purchase or support any covered communications equipment or service (as defined in Section 9 of the Secure and Trusted Communications Networks Act of 2019 (47 USC</w:t>
      </w:r>
      <w:r w:rsidR="009A2A7C" w:rsidRPr="000B500E">
        <w:t xml:space="preserve"> </w:t>
      </w:r>
      <w:r w:rsidRPr="000B500E">
        <w:t>1608))</w:t>
      </w:r>
      <w:r w:rsidR="006D4076" w:rsidRPr="000B500E">
        <w:t xml:space="preserve"> (NOFO: Section </w:t>
      </w:r>
      <w:r w:rsidR="00652941" w:rsidRPr="000B500E">
        <w:t>V.</w:t>
      </w:r>
      <w:r w:rsidR="006D4076" w:rsidRPr="000B500E">
        <w:t>H.2.a)</w:t>
      </w:r>
      <w:r w:rsidRPr="000B500E">
        <w:t>.</w:t>
      </w:r>
    </w:p>
    <w:p w14:paraId="6D761FAB" w14:textId="77777777" w:rsidR="00325690" w:rsidRPr="000B500E" w:rsidRDefault="00325690" w:rsidP="00325690">
      <w:pPr>
        <w:pStyle w:val="ListParagraph"/>
        <w:numPr>
          <w:ilvl w:val="0"/>
          <w:numId w:val="0"/>
        </w:numPr>
        <w:ind w:left="2880"/>
      </w:pPr>
    </w:p>
    <w:p w14:paraId="3DB3CBBF" w14:textId="77777777" w:rsidR="0058712F" w:rsidRPr="000B500E" w:rsidRDefault="00101347" w:rsidP="00886208">
      <w:pPr>
        <w:pStyle w:val="ListParagraph"/>
        <w:numPr>
          <w:ilvl w:val="1"/>
          <w:numId w:val="34"/>
        </w:numPr>
      </w:pPr>
      <w:r w:rsidRPr="000B500E">
        <w:t>Prohibition on Profit and Fees</w:t>
      </w:r>
    </w:p>
    <w:p w14:paraId="06FD6D79" w14:textId="3C412E5E" w:rsidR="0058712F" w:rsidRPr="000B500E" w:rsidRDefault="00101347" w:rsidP="00886208">
      <w:pPr>
        <w:pStyle w:val="ListParagraph"/>
        <w:numPr>
          <w:ilvl w:val="2"/>
          <w:numId w:val="34"/>
        </w:numPr>
      </w:pPr>
      <w:r w:rsidRPr="000B500E">
        <w:t>A profit, fee, or other incremental charge above actual cost incurred by an Eligible Entity or subgrantee is not an allowable cost under this Program</w:t>
      </w:r>
      <w:r w:rsidR="00A8756A" w:rsidRPr="000B500E">
        <w:t xml:space="preserve"> (NOFO: Section </w:t>
      </w:r>
      <w:r w:rsidR="00652941" w:rsidRPr="000B500E">
        <w:t>V.</w:t>
      </w:r>
      <w:r w:rsidR="00A8756A" w:rsidRPr="000B500E">
        <w:t>H.2.b)</w:t>
      </w:r>
      <w:r w:rsidRPr="000B500E">
        <w:t>.</w:t>
      </w:r>
    </w:p>
    <w:p w14:paraId="3134C0CF" w14:textId="77777777" w:rsidR="003C1902" w:rsidRPr="000B500E" w:rsidRDefault="003C1902" w:rsidP="003C1902">
      <w:pPr>
        <w:ind w:left="1440"/>
      </w:pPr>
    </w:p>
    <w:p w14:paraId="07718E70" w14:textId="77777777" w:rsidR="003C1902" w:rsidRPr="000B500E" w:rsidRDefault="00101347" w:rsidP="00886208">
      <w:pPr>
        <w:pStyle w:val="ListParagraph"/>
        <w:numPr>
          <w:ilvl w:val="1"/>
          <w:numId w:val="34"/>
        </w:numPr>
      </w:pPr>
      <w:r w:rsidRPr="000B500E">
        <w:t>Prohibition on Use of Grant Funds to Support or Oppose Collective Bargaining</w:t>
      </w:r>
    </w:p>
    <w:p w14:paraId="1DC14D8C" w14:textId="035F6490" w:rsidR="001649CB" w:rsidRPr="000B500E" w:rsidRDefault="00101347" w:rsidP="00886208">
      <w:pPr>
        <w:pStyle w:val="ListParagraph"/>
        <w:numPr>
          <w:ilvl w:val="2"/>
          <w:numId w:val="34"/>
        </w:numPr>
      </w:pPr>
      <w:r w:rsidRPr="000B500E">
        <w:t>An Eligible Entity or a subgrantee may not use grant funds, whether directly or indirectly, to support or oppose collective bargaining</w:t>
      </w:r>
      <w:r w:rsidR="001C10F4" w:rsidRPr="000B500E">
        <w:t xml:space="preserve"> (NOFO: Section </w:t>
      </w:r>
      <w:r w:rsidR="00652941" w:rsidRPr="000B500E">
        <w:t>V.</w:t>
      </w:r>
      <w:r w:rsidR="001C10F4" w:rsidRPr="000B500E">
        <w:t>H.2.c)</w:t>
      </w:r>
      <w:r w:rsidRPr="000B500E">
        <w:t>.</w:t>
      </w:r>
    </w:p>
    <w:p w14:paraId="7C387ADE" w14:textId="77777777" w:rsidR="001649CB" w:rsidRPr="000B500E" w:rsidRDefault="001649CB" w:rsidP="001649CB">
      <w:pPr>
        <w:ind w:left="2700"/>
      </w:pPr>
    </w:p>
    <w:p w14:paraId="1EF9E21B" w14:textId="77777777" w:rsidR="001649CB" w:rsidRPr="000B500E" w:rsidRDefault="00101347" w:rsidP="00886208">
      <w:pPr>
        <w:pStyle w:val="ListParagraph"/>
        <w:numPr>
          <w:ilvl w:val="1"/>
          <w:numId w:val="34"/>
        </w:numPr>
      </w:pPr>
      <w:r w:rsidRPr="000B500E">
        <w:t>Administrative Expenses</w:t>
      </w:r>
    </w:p>
    <w:p w14:paraId="1921753A" w14:textId="59B406C4" w:rsidR="00101347" w:rsidRPr="001649CB" w:rsidRDefault="00101347" w:rsidP="00886208">
      <w:pPr>
        <w:pStyle w:val="ListParagraph"/>
        <w:numPr>
          <w:ilvl w:val="2"/>
          <w:numId w:val="34"/>
        </w:numPr>
        <w:rPr>
          <w:b/>
          <w:bCs/>
          <w:i/>
          <w:iCs/>
        </w:rPr>
      </w:pPr>
      <w:r w:rsidRPr="000B500E">
        <w:t>An Eligible Entity may not use more than two percent of the grant amounts received under the BEAD Program for expenses relating (directly</w:t>
      </w:r>
      <w:r w:rsidRPr="001649CB">
        <w:t xml:space="preserve"> or indirectly) to administration of the grant under Section 60102(d)(2)(B) of the Infrastructure Act. NTIA will release further guidance on what expenses qualify as “expenses relating (directly or indirectly) to administration of the grant” subject to the statutory two percent limitation on these expenses</w:t>
      </w:r>
      <w:r w:rsidR="002C7A61">
        <w:t xml:space="preserve"> (NOFO: Section </w:t>
      </w:r>
      <w:r w:rsidR="00652941">
        <w:t>V.</w:t>
      </w:r>
      <w:r w:rsidR="002C7A61">
        <w:t>H.3)</w:t>
      </w:r>
      <w:r w:rsidRPr="001649CB">
        <w:t>.</w:t>
      </w:r>
    </w:p>
    <w:p w14:paraId="522D6289" w14:textId="77777777" w:rsidR="00B03920" w:rsidRDefault="00B03920" w:rsidP="00EC1ADA">
      <w:pPr>
        <w:pStyle w:val="BodyText"/>
        <w:spacing w:before="1"/>
        <w:rPr>
          <w:spacing w:val="-2"/>
        </w:rPr>
      </w:pPr>
    </w:p>
    <w:p w14:paraId="39A99A2D" w14:textId="5FC9E610" w:rsidR="006563B0" w:rsidRDefault="001E315B" w:rsidP="001E315B">
      <w:pPr>
        <w:pStyle w:val="Heading1"/>
        <w:numPr>
          <w:ilvl w:val="0"/>
          <w:numId w:val="35"/>
        </w:numPr>
        <w:tabs>
          <w:tab w:val="left" w:pos="360"/>
        </w:tabs>
      </w:pPr>
      <w:r>
        <w:t xml:space="preserve"> </w:t>
      </w:r>
      <w:r w:rsidR="006563B0">
        <w:t>Equipment and Real Property Management</w:t>
      </w:r>
    </w:p>
    <w:p w14:paraId="2C21046A" w14:textId="77777777" w:rsidR="00796B86" w:rsidRPr="00343D2E" w:rsidRDefault="00796B86" w:rsidP="00796B86">
      <w:pPr>
        <w:pStyle w:val="Heading1"/>
        <w:tabs>
          <w:tab w:val="left" w:pos="360"/>
        </w:tabs>
        <w:ind w:left="360"/>
      </w:pPr>
    </w:p>
    <w:p w14:paraId="504D8256" w14:textId="5D19B854" w:rsidR="000B487D" w:rsidRDefault="001B064E" w:rsidP="000B487D">
      <w:pPr>
        <w:pStyle w:val="Heading1"/>
        <w:tabs>
          <w:tab w:val="left" w:pos="360"/>
        </w:tabs>
        <w:ind w:left="360"/>
        <w:rPr>
          <w:b w:val="0"/>
          <w:bCs w:val="0"/>
        </w:rPr>
      </w:pPr>
      <w:r w:rsidRPr="001B064E">
        <w:rPr>
          <w:b w:val="0"/>
          <w:bCs w:val="0"/>
        </w:rPr>
        <w:t>In accordance with</w:t>
      </w:r>
      <w:r w:rsidR="000323D3">
        <w:rPr>
          <w:b w:val="0"/>
          <w:bCs w:val="0"/>
        </w:rPr>
        <w:t xml:space="preserve"> 31 USC 503</w:t>
      </w:r>
      <w:r w:rsidR="00FD0036">
        <w:rPr>
          <w:b w:val="0"/>
          <w:bCs w:val="0"/>
        </w:rPr>
        <w:t>; 2 CFR section 200.316</w:t>
      </w:r>
      <w:r w:rsidRPr="001B064E">
        <w:rPr>
          <w:b w:val="0"/>
          <w:bCs w:val="0"/>
        </w:rPr>
        <w:t xml:space="preserve">, any real property, equipment, or </w:t>
      </w:r>
      <w:r w:rsidRPr="001B064E">
        <w:rPr>
          <w:b w:val="0"/>
          <w:bCs w:val="0"/>
        </w:rPr>
        <w:lastRenderedPageBreak/>
        <w:t>intangible property acquired or improved with a federal award must be held in trust by the Eligible Entity or subgrantee as trustee for the beneficiaries of the project, other eligible activity, or program under which the property was acquired or improved. This trust relationship exists throughout the duration of the property’s estimated useful life, as determined by the Grants Officer in consultation with the Program Office, during which time the federal government retains an undivided, equitable reversionary interest in the property (Federal Interest). In this connection, NTIA may require the non-federal entity to record liens or other appropriate notices of record to indicate that personal or real property has been acquired or improved with a federal award and that use and disposition conditions apply to the property. Awards issued pursuant to this NOFO may contain specific award conditions pertaining to the use and disposition of grant-acquired property and to a requirement that the recipient or subgrantee file certain public notices (e.g., UCC-1, Covenant of Purpose, Use and Ownership, etc.) with respect to grant-acquired property. NTIA will provide information regarding the useful life schedules associated with assets acquired with grant funds.</w:t>
      </w:r>
      <w:r w:rsidR="001B5602">
        <w:rPr>
          <w:b w:val="0"/>
          <w:bCs w:val="0"/>
        </w:rPr>
        <w:t xml:space="preserve"> (NOFO: Section VII.D.5)</w:t>
      </w:r>
    </w:p>
    <w:p w14:paraId="699C1178" w14:textId="77777777" w:rsidR="006139EE" w:rsidRDefault="006139EE" w:rsidP="00735F48"/>
    <w:p w14:paraId="104623FD" w14:textId="0214EFE0" w:rsidR="001B128C" w:rsidRDefault="001B128C" w:rsidP="00B93CC9">
      <w:pPr>
        <w:pStyle w:val="Heading1"/>
        <w:numPr>
          <w:ilvl w:val="0"/>
          <w:numId w:val="5"/>
        </w:numPr>
        <w:tabs>
          <w:tab w:val="left" w:pos="1540"/>
        </w:tabs>
        <w:spacing w:before="80"/>
      </w:pPr>
      <w:r>
        <w:t>Matching</w:t>
      </w:r>
      <w:r w:rsidR="009C097B">
        <w:t>, Level of Effort, Earmarking</w:t>
      </w:r>
    </w:p>
    <w:p w14:paraId="10F4A062" w14:textId="77777777" w:rsidR="00735F48" w:rsidRDefault="00735F48" w:rsidP="00735F48">
      <w:pPr>
        <w:pStyle w:val="Heading1"/>
        <w:tabs>
          <w:tab w:val="left" w:pos="1540"/>
        </w:tabs>
        <w:spacing w:before="80"/>
        <w:ind w:left="1080"/>
      </w:pPr>
    </w:p>
    <w:p w14:paraId="0ADA774C" w14:textId="40CFC85A" w:rsidR="001D7AB7" w:rsidRPr="009C097B" w:rsidRDefault="009C097B" w:rsidP="005B791D">
      <w:pPr>
        <w:tabs>
          <w:tab w:val="left" w:pos="2280"/>
        </w:tabs>
        <w:ind w:firstLine="720"/>
        <w:rPr>
          <w:b/>
        </w:rPr>
      </w:pPr>
      <w:r>
        <w:rPr>
          <w:b/>
        </w:rPr>
        <w:t xml:space="preserve">1.   </w:t>
      </w:r>
      <w:r w:rsidR="001D7AB7" w:rsidRPr="009C097B">
        <w:rPr>
          <w:b/>
        </w:rPr>
        <w:t>Matc</w:t>
      </w:r>
      <w:r>
        <w:rPr>
          <w:b/>
        </w:rPr>
        <w:t xml:space="preserve">hing </w:t>
      </w:r>
    </w:p>
    <w:p w14:paraId="7A1F6856" w14:textId="77777777" w:rsidR="001D7AB7" w:rsidRDefault="001D7AB7" w:rsidP="001D7AB7">
      <w:pPr>
        <w:pStyle w:val="BodyText"/>
        <w:spacing w:before="10"/>
        <w:rPr>
          <w:b/>
          <w:sz w:val="20"/>
        </w:rPr>
      </w:pPr>
    </w:p>
    <w:p w14:paraId="4DD64E5A" w14:textId="34C74596" w:rsidR="003444DF" w:rsidRDefault="001D7AB7" w:rsidP="005B791D">
      <w:pPr>
        <w:pStyle w:val="BodyText"/>
        <w:ind w:left="720" w:right="299"/>
      </w:pPr>
      <w:r>
        <w:t xml:space="preserve">Except in certain specific circumstances described </w:t>
      </w:r>
      <w:r w:rsidR="0090322A">
        <w:t>in the BEAD NOFO</w:t>
      </w:r>
      <w:r>
        <w:t xml:space="preserve"> (including projects in designated “high-cost areas” and other cases in which NTIA has waived the matching requirement), in the context of subgrants used to fund broadband network infrastructure deployment, each Eligible Entity</w:t>
      </w:r>
      <w:r>
        <w:rPr>
          <w:spacing w:val="-3"/>
        </w:rPr>
        <w:t xml:space="preserve"> </w:t>
      </w:r>
      <w:r>
        <w:t>shall</w:t>
      </w:r>
      <w:r>
        <w:rPr>
          <w:spacing w:val="-3"/>
        </w:rPr>
        <w:t xml:space="preserve"> </w:t>
      </w:r>
      <w:r>
        <w:t>provide,</w:t>
      </w:r>
      <w:r>
        <w:rPr>
          <w:spacing w:val="-3"/>
        </w:rPr>
        <w:t xml:space="preserve"> </w:t>
      </w:r>
      <w:r>
        <w:t>require</w:t>
      </w:r>
      <w:r>
        <w:rPr>
          <w:spacing w:val="-4"/>
        </w:rPr>
        <w:t xml:space="preserve"> </w:t>
      </w:r>
      <w:r>
        <w:t>its</w:t>
      </w:r>
      <w:r>
        <w:rPr>
          <w:spacing w:val="-3"/>
        </w:rPr>
        <w:t xml:space="preserve"> </w:t>
      </w:r>
      <w:r>
        <w:t>subgrantee</w:t>
      </w:r>
      <w:r>
        <w:rPr>
          <w:spacing w:val="-4"/>
        </w:rPr>
        <w:t xml:space="preserve"> </w:t>
      </w:r>
      <w:r>
        <w:t>to</w:t>
      </w:r>
      <w:r>
        <w:rPr>
          <w:spacing w:val="-3"/>
        </w:rPr>
        <w:t xml:space="preserve"> </w:t>
      </w:r>
      <w:r>
        <w:t>provide,</w:t>
      </w:r>
      <w:r>
        <w:rPr>
          <w:spacing w:val="-3"/>
        </w:rPr>
        <w:t xml:space="preserve"> </w:t>
      </w:r>
      <w:r>
        <w:t>or</w:t>
      </w:r>
      <w:r>
        <w:rPr>
          <w:spacing w:val="-4"/>
        </w:rPr>
        <w:t xml:space="preserve"> </w:t>
      </w:r>
      <w:r>
        <w:t>provide</w:t>
      </w:r>
      <w:r>
        <w:rPr>
          <w:spacing w:val="-4"/>
        </w:rPr>
        <w:t xml:space="preserve"> </w:t>
      </w:r>
      <w:r>
        <w:t>in</w:t>
      </w:r>
      <w:r>
        <w:rPr>
          <w:spacing w:val="-3"/>
        </w:rPr>
        <w:t xml:space="preserve"> </w:t>
      </w:r>
      <w:r>
        <w:t>concert</w:t>
      </w:r>
      <w:r>
        <w:rPr>
          <w:spacing w:val="-1"/>
        </w:rPr>
        <w:t xml:space="preserve"> </w:t>
      </w:r>
      <w:r>
        <w:t>with</w:t>
      </w:r>
      <w:r>
        <w:rPr>
          <w:spacing w:val="-3"/>
        </w:rPr>
        <w:t xml:space="preserve"> </w:t>
      </w:r>
      <w:r>
        <w:t>its</w:t>
      </w:r>
      <w:r>
        <w:rPr>
          <w:spacing w:val="-3"/>
        </w:rPr>
        <w:t xml:space="preserve"> </w:t>
      </w:r>
      <w:r>
        <w:t>subgrantee, matching funds of</w:t>
      </w:r>
      <w:r>
        <w:rPr>
          <w:spacing w:val="-1"/>
        </w:rPr>
        <w:t xml:space="preserve"> </w:t>
      </w:r>
      <w:r>
        <w:t>not less than 25 percent of</w:t>
      </w:r>
      <w:r>
        <w:rPr>
          <w:spacing w:val="-1"/>
        </w:rPr>
        <w:t xml:space="preserve"> </w:t>
      </w:r>
      <w:r>
        <w:t>project costs. Funds from other</w:t>
      </w:r>
      <w:r>
        <w:rPr>
          <w:spacing w:val="-1"/>
        </w:rPr>
        <w:t xml:space="preserve"> </w:t>
      </w:r>
      <w:r>
        <w:t>Federal programs</w:t>
      </w:r>
      <w:r w:rsidR="003444DF">
        <w:t xml:space="preserve"> </w:t>
      </w:r>
      <w:r>
        <w:t>(including</w:t>
      </w:r>
      <w:r>
        <w:rPr>
          <w:spacing w:val="-4"/>
        </w:rPr>
        <w:t xml:space="preserve"> </w:t>
      </w:r>
      <w:r>
        <w:t>funds</w:t>
      </w:r>
      <w:r>
        <w:rPr>
          <w:spacing w:val="-4"/>
        </w:rPr>
        <w:t xml:space="preserve"> </w:t>
      </w:r>
      <w:r>
        <w:t>from</w:t>
      </w:r>
      <w:r>
        <w:rPr>
          <w:spacing w:val="-4"/>
        </w:rPr>
        <w:t xml:space="preserve"> </w:t>
      </w:r>
      <w:r>
        <w:t>the</w:t>
      </w:r>
      <w:r>
        <w:rPr>
          <w:spacing w:val="-5"/>
        </w:rPr>
        <w:t xml:space="preserve"> </w:t>
      </w:r>
      <w:r>
        <w:t>Commission’s</w:t>
      </w:r>
      <w:r>
        <w:rPr>
          <w:spacing w:val="-4"/>
        </w:rPr>
        <w:t xml:space="preserve"> </w:t>
      </w:r>
      <w:r>
        <w:t>Universal</w:t>
      </w:r>
      <w:r>
        <w:rPr>
          <w:spacing w:val="-4"/>
        </w:rPr>
        <w:t xml:space="preserve"> </w:t>
      </w:r>
      <w:r>
        <w:t>Service</w:t>
      </w:r>
      <w:r>
        <w:rPr>
          <w:spacing w:val="-3"/>
        </w:rPr>
        <w:t xml:space="preserve"> </w:t>
      </w:r>
      <w:r>
        <w:t>Fund</w:t>
      </w:r>
      <w:r>
        <w:rPr>
          <w:spacing w:val="-4"/>
        </w:rPr>
        <w:t xml:space="preserve"> </w:t>
      </w:r>
      <w:r>
        <w:t>programs)</w:t>
      </w:r>
      <w:r>
        <w:rPr>
          <w:spacing w:val="-5"/>
        </w:rPr>
        <w:t xml:space="preserve"> </w:t>
      </w:r>
      <w:r>
        <w:t>generally</w:t>
      </w:r>
      <w:r>
        <w:rPr>
          <w:spacing w:val="-4"/>
        </w:rPr>
        <w:t xml:space="preserve"> </w:t>
      </w:r>
      <w:r>
        <w:t>may</w:t>
      </w:r>
      <w:r>
        <w:rPr>
          <w:spacing w:val="-4"/>
        </w:rPr>
        <w:t xml:space="preserve"> </w:t>
      </w:r>
      <w:r>
        <w:t>not</w:t>
      </w:r>
      <w:r>
        <w:rPr>
          <w:spacing w:val="-4"/>
        </w:rPr>
        <w:t xml:space="preserve"> </w:t>
      </w:r>
      <w:r>
        <w:t>be used as matching funds; however, the Infrastructure Act expressly provides that matching funds for the BEAD Program may come from a federal regional commission or authority and from funds that were provided to an Eligible Entity or a subgrantee for the purpose of deploying broadband service</w:t>
      </w:r>
      <w:r>
        <w:rPr>
          <w:spacing w:val="-1"/>
        </w:rPr>
        <w:t xml:space="preserve"> </w:t>
      </w:r>
      <w:r>
        <w:t>under the</w:t>
      </w:r>
      <w:r>
        <w:rPr>
          <w:spacing w:val="-1"/>
        </w:rPr>
        <w:t xml:space="preserve"> </w:t>
      </w:r>
      <w:r>
        <w:t>Families First Coronavirus Response</w:t>
      </w:r>
      <w:r>
        <w:rPr>
          <w:spacing w:val="-1"/>
        </w:rPr>
        <w:t xml:space="preserve"> </w:t>
      </w:r>
      <w:r>
        <w:t>Act (Public</w:t>
      </w:r>
      <w:r>
        <w:rPr>
          <w:spacing w:val="-1"/>
        </w:rPr>
        <w:t xml:space="preserve"> </w:t>
      </w:r>
      <w:r>
        <w:t>Law</w:t>
      </w:r>
      <w:r>
        <w:rPr>
          <w:spacing w:val="-1"/>
        </w:rPr>
        <w:t xml:space="preserve"> </w:t>
      </w:r>
      <w:r>
        <w:t>116-127; 134 Stat. 178</w:t>
      </w:r>
      <w:r w:rsidR="00533456">
        <w:t xml:space="preserve"> 26 USC 7805; </w:t>
      </w:r>
      <w:r w:rsidR="002738AE">
        <w:t>26 CFR section 31.3221-5</w:t>
      </w:r>
      <w:r>
        <w:t>); the CARES Act (Public Law 116-136; 134 Stat. 281</w:t>
      </w:r>
      <w:r w:rsidR="00916854">
        <w:t xml:space="preserve"> 26 USC 7805; </w:t>
      </w:r>
      <w:r w:rsidR="000D5BF2">
        <w:t>26 CFR</w:t>
      </w:r>
      <w:r w:rsidR="0082761B">
        <w:t xml:space="preserve"> section 31.3111-6</w:t>
      </w:r>
      <w:r>
        <w:t>), the Consolidated Appropriations Act, 2021 (Public Law 116-260; 134 Stat. 1182); or the American Rescue Plan Act of 2021 (Public Law 117-2; 135 Stat. 4), to the extent permitted by those laws</w:t>
      </w:r>
      <w:r w:rsidR="006D30B9">
        <w:t xml:space="preserve"> (NOFO: Section III.B.1</w:t>
      </w:r>
      <w:r w:rsidR="00A12DFF">
        <w:t>, para. 1</w:t>
      </w:r>
      <w:r w:rsidR="006D30B9">
        <w:t>)</w:t>
      </w:r>
      <w:r>
        <w:t>.</w:t>
      </w:r>
    </w:p>
    <w:p w14:paraId="62168389" w14:textId="77777777" w:rsidR="003444DF" w:rsidRDefault="003444DF" w:rsidP="003444DF">
      <w:pPr>
        <w:pStyle w:val="BodyText"/>
        <w:ind w:left="720" w:right="299"/>
      </w:pPr>
    </w:p>
    <w:p w14:paraId="18E6EB29" w14:textId="5058C92E" w:rsidR="00112FF6" w:rsidRDefault="001D7AB7" w:rsidP="005B791D">
      <w:pPr>
        <w:pStyle w:val="BodyText"/>
        <w:ind w:left="720" w:right="299"/>
      </w:pPr>
      <w:r>
        <w:t xml:space="preserve"> In some </w:t>
      </w:r>
      <w:r w:rsidR="00F13DDD">
        <w:t>cases, a</w:t>
      </w:r>
      <w:r>
        <w:t xml:space="preserve"> match requirement could deter participation in the BEAD Program by small and non-traditional providers, in marginalized or low-income communities, or could threaten affordability (</w:t>
      </w:r>
      <w:r>
        <w:rPr>
          <w:i/>
        </w:rPr>
        <w:t>i.e.</w:t>
      </w:r>
      <w:r>
        <w:t>, if an applicant seeks to offset the cost of a substantial match through higher end user prices). In those cases, an Eligible Entity should</w:t>
      </w:r>
      <w:r>
        <w:rPr>
          <w:spacing w:val="-2"/>
        </w:rPr>
        <w:t xml:space="preserve"> </w:t>
      </w:r>
      <w:r>
        <w:t>consider</w:t>
      </w:r>
      <w:r>
        <w:rPr>
          <w:spacing w:val="-3"/>
        </w:rPr>
        <w:t xml:space="preserve"> </w:t>
      </w:r>
      <w:r>
        <w:t>ways</w:t>
      </w:r>
      <w:r>
        <w:rPr>
          <w:spacing w:val="-2"/>
        </w:rPr>
        <w:t xml:space="preserve"> </w:t>
      </w:r>
      <w:r>
        <w:t>to cover</w:t>
      </w:r>
      <w:r>
        <w:rPr>
          <w:spacing w:val="-3"/>
        </w:rPr>
        <w:t xml:space="preserve"> </w:t>
      </w:r>
      <w:r>
        <w:t>part</w:t>
      </w:r>
      <w:r>
        <w:rPr>
          <w:spacing w:val="-2"/>
        </w:rPr>
        <w:t xml:space="preserve"> </w:t>
      </w:r>
      <w:r>
        <w:t>or</w:t>
      </w:r>
      <w:r>
        <w:rPr>
          <w:spacing w:val="-3"/>
        </w:rPr>
        <w:t xml:space="preserve"> </w:t>
      </w:r>
      <w:r>
        <w:t>all</w:t>
      </w:r>
      <w:r>
        <w:rPr>
          <w:spacing w:val="-2"/>
        </w:rPr>
        <w:t xml:space="preserve"> </w:t>
      </w:r>
      <w:r>
        <w:t>of</w:t>
      </w:r>
      <w:r>
        <w:rPr>
          <w:spacing w:val="-3"/>
        </w:rPr>
        <w:t xml:space="preserve"> </w:t>
      </w:r>
      <w:r>
        <w:t>the</w:t>
      </w:r>
      <w:r>
        <w:rPr>
          <w:spacing w:val="-3"/>
        </w:rPr>
        <w:t xml:space="preserve"> </w:t>
      </w:r>
      <w:r>
        <w:t>provider’s</w:t>
      </w:r>
      <w:r>
        <w:rPr>
          <w:spacing w:val="-2"/>
        </w:rPr>
        <w:t xml:space="preserve"> </w:t>
      </w:r>
      <w:r>
        <w:t>match</w:t>
      </w:r>
      <w:r>
        <w:rPr>
          <w:spacing w:val="-2"/>
        </w:rPr>
        <w:t xml:space="preserve"> </w:t>
      </w:r>
      <w:r>
        <w:t>through</w:t>
      </w:r>
      <w:r>
        <w:rPr>
          <w:spacing w:val="-2"/>
        </w:rPr>
        <w:t xml:space="preserve"> </w:t>
      </w:r>
      <w:r>
        <w:t>Eligible</w:t>
      </w:r>
      <w:r>
        <w:rPr>
          <w:spacing w:val="-3"/>
        </w:rPr>
        <w:t xml:space="preserve"> </w:t>
      </w:r>
      <w:r>
        <w:t>Entity</w:t>
      </w:r>
      <w:r>
        <w:rPr>
          <w:spacing w:val="-3"/>
        </w:rPr>
        <w:t xml:space="preserve"> </w:t>
      </w:r>
      <w:r>
        <w:t>or</w:t>
      </w:r>
      <w:r>
        <w:rPr>
          <w:spacing w:val="-3"/>
        </w:rPr>
        <w:t xml:space="preserve"> </w:t>
      </w:r>
      <w:r>
        <w:t>other funds or seek a match waiver through the process explained below</w:t>
      </w:r>
      <w:r w:rsidR="00D52D9A">
        <w:t xml:space="preserve"> (NOFO: Section III.B.1, para. 2)</w:t>
      </w:r>
      <w:r>
        <w:t>.</w:t>
      </w:r>
    </w:p>
    <w:p w14:paraId="02E92EAB" w14:textId="77777777" w:rsidR="0083373F" w:rsidRDefault="0083373F" w:rsidP="005B791D">
      <w:pPr>
        <w:pStyle w:val="BodyText"/>
        <w:ind w:left="720" w:right="299"/>
      </w:pPr>
    </w:p>
    <w:p w14:paraId="6B523517" w14:textId="2196737E" w:rsidR="001E5223" w:rsidRDefault="001D7AB7" w:rsidP="005B791D">
      <w:pPr>
        <w:pStyle w:val="BodyText"/>
        <w:ind w:left="720" w:right="299"/>
      </w:pPr>
      <w:r>
        <w:t>A matching contribution may be provided by the subgrantee, an Eligible Entity, a unit of local government, a utility company, a cooperative, a nonprofit or philanthropic organization, a for- profit</w:t>
      </w:r>
      <w:r>
        <w:rPr>
          <w:spacing w:val="-4"/>
        </w:rPr>
        <w:t xml:space="preserve"> </w:t>
      </w:r>
      <w:r>
        <w:t>company,</w:t>
      </w:r>
      <w:r>
        <w:rPr>
          <w:spacing w:val="-4"/>
        </w:rPr>
        <w:t xml:space="preserve"> </w:t>
      </w:r>
      <w:r>
        <w:t>regional</w:t>
      </w:r>
      <w:r>
        <w:rPr>
          <w:spacing w:val="-4"/>
        </w:rPr>
        <w:t xml:space="preserve"> </w:t>
      </w:r>
      <w:r>
        <w:t>planning</w:t>
      </w:r>
      <w:r>
        <w:rPr>
          <w:spacing w:val="-4"/>
        </w:rPr>
        <w:t xml:space="preserve"> </w:t>
      </w:r>
      <w:r>
        <w:t>or</w:t>
      </w:r>
      <w:r>
        <w:rPr>
          <w:spacing w:val="-5"/>
        </w:rPr>
        <w:t xml:space="preserve"> </w:t>
      </w:r>
      <w:r>
        <w:t>governmental</w:t>
      </w:r>
      <w:r>
        <w:rPr>
          <w:spacing w:val="-4"/>
        </w:rPr>
        <w:t xml:space="preserve"> </w:t>
      </w:r>
      <w:r>
        <w:t>organization,</w:t>
      </w:r>
      <w:r>
        <w:rPr>
          <w:spacing w:val="-4"/>
        </w:rPr>
        <w:t xml:space="preserve"> </w:t>
      </w:r>
      <w:r>
        <w:t>a</w:t>
      </w:r>
      <w:r>
        <w:rPr>
          <w:spacing w:val="-5"/>
        </w:rPr>
        <w:t xml:space="preserve"> </w:t>
      </w:r>
      <w:r>
        <w:t>federal</w:t>
      </w:r>
      <w:r>
        <w:rPr>
          <w:spacing w:val="-4"/>
        </w:rPr>
        <w:t xml:space="preserve"> </w:t>
      </w:r>
      <w:r>
        <w:t>regional</w:t>
      </w:r>
      <w:r>
        <w:rPr>
          <w:spacing w:val="-4"/>
        </w:rPr>
        <w:t xml:space="preserve"> </w:t>
      </w:r>
      <w:r>
        <w:t>commission or authority, or any combination thereof</w:t>
      </w:r>
      <w:r w:rsidR="00E20D81" w:rsidRPr="00E20D81">
        <w:t xml:space="preserve"> </w:t>
      </w:r>
      <w:r w:rsidR="00E20D81">
        <w:t xml:space="preserve">(NOFO: Section </w:t>
      </w:r>
      <w:r w:rsidR="00E20D81">
        <w:lastRenderedPageBreak/>
        <w:t>III.B.1, para. 3)</w:t>
      </w:r>
      <w:r>
        <w:t xml:space="preserve">. </w:t>
      </w:r>
      <w:r w:rsidR="001E5223">
        <w:t>A</w:t>
      </w:r>
      <w:r>
        <w:t xml:space="preserve">n Eligible Entity may seek, and the Assistant Secretary may grant, a partial or full waiver of the non-federal match </w:t>
      </w:r>
      <w:bookmarkStart w:id="3" w:name="2._Preference_for_Maximum_Subgrantee_Con"/>
      <w:bookmarkEnd w:id="3"/>
      <w:r>
        <w:t>requirement where warranted</w:t>
      </w:r>
      <w:r w:rsidR="007A7853">
        <w:t xml:space="preserve"> (NOFO: Section III.B.</w:t>
      </w:r>
      <w:r w:rsidR="00E75D82">
        <w:t>5</w:t>
      </w:r>
      <w:r w:rsidR="007A7853">
        <w:t>)</w:t>
      </w:r>
      <w:r>
        <w:t>.</w:t>
      </w:r>
    </w:p>
    <w:p w14:paraId="2F72EFBF" w14:textId="77777777" w:rsidR="001E5223" w:rsidRDefault="001E5223" w:rsidP="007C6EE3">
      <w:pPr>
        <w:pStyle w:val="BodyText"/>
        <w:ind w:left="720" w:right="299"/>
      </w:pPr>
    </w:p>
    <w:p w14:paraId="60129331" w14:textId="23F1735A" w:rsidR="007C6EE3" w:rsidRDefault="001D7AB7" w:rsidP="005B791D">
      <w:pPr>
        <w:pStyle w:val="BodyText"/>
        <w:numPr>
          <w:ilvl w:val="0"/>
          <w:numId w:val="32"/>
        </w:numPr>
        <w:ind w:right="299" w:hanging="720"/>
        <w:rPr>
          <w:b/>
          <w:bCs/>
        </w:rPr>
      </w:pPr>
      <w:commentRangeStart w:id="4"/>
      <w:r w:rsidRPr="0058793A">
        <w:rPr>
          <w:b/>
          <w:bCs/>
        </w:rPr>
        <w:t>Preference</w:t>
      </w:r>
      <w:commentRangeEnd w:id="4"/>
      <w:r w:rsidR="005B791D">
        <w:rPr>
          <w:rStyle w:val="CommentReference"/>
        </w:rPr>
        <w:commentReference w:id="4"/>
      </w:r>
      <w:r w:rsidRPr="0058793A">
        <w:rPr>
          <w:b/>
          <w:bCs/>
          <w:spacing w:val="-7"/>
        </w:rPr>
        <w:t xml:space="preserve"> </w:t>
      </w:r>
      <w:r w:rsidRPr="0058793A">
        <w:rPr>
          <w:b/>
          <w:bCs/>
        </w:rPr>
        <w:t>for</w:t>
      </w:r>
      <w:r w:rsidRPr="0058793A">
        <w:rPr>
          <w:b/>
          <w:bCs/>
          <w:spacing w:val="-5"/>
        </w:rPr>
        <w:t xml:space="preserve"> </w:t>
      </w:r>
      <w:r w:rsidRPr="0058793A">
        <w:rPr>
          <w:b/>
          <w:bCs/>
        </w:rPr>
        <w:t>Maximum</w:t>
      </w:r>
      <w:r w:rsidRPr="0058793A">
        <w:rPr>
          <w:b/>
          <w:bCs/>
          <w:spacing w:val="-5"/>
        </w:rPr>
        <w:t xml:space="preserve"> </w:t>
      </w:r>
      <w:r w:rsidRPr="0058793A">
        <w:rPr>
          <w:b/>
          <w:bCs/>
        </w:rPr>
        <w:t>Subgrantee</w:t>
      </w:r>
      <w:r w:rsidRPr="0058793A">
        <w:rPr>
          <w:b/>
          <w:bCs/>
          <w:spacing w:val="-7"/>
        </w:rPr>
        <w:t xml:space="preserve"> </w:t>
      </w:r>
      <w:r w:rsidRPr="0058793A">
        <w:rPr>
          <w:b/>
          <w:bCs/>
        </w:rPr>
        <w:t>Contribution</w:t>
      </w:r>
      <w:r w:rsidRPr="0058793A">
        <w:rPr>
          <w:b/>
          <w:bCs/>
          <w:spacing w:val="-5"/>
        </w:rPr>
        <w:t xml:space="preserve"> </w:t>
      </w:r>
      <w:r w:rsidRPr="0058793A">
        <w:rPr>
          <w:b/>
          <w:bCs/>
        </w:rPr>
        <w:t>and</w:t>
      </w:r>
      <w:r w:rsidRPr="0058793A">
        <w:rPr>
          <w:b/>
          <w:bCs/>
          <w:spacing w:val="-6"/>
        </w:rPr>
        <w:t xml:space="preserve"> </w:t>
      </w:r>
      <w:r w:rsidRPr="0058793A">
        <w:rPr>
          <w:b/>
          <w:bCs/>
        </w:rPr>
        <w:t>Minimal BEAD Subsidy</w:t>
      </w:r>
    </w:p>
    <w:p w14:paraId="00E2FC45" w14:textId="77777777" w:rsidR="005B791D" w:rsidRDefault="005B791D" w:rsidP="005B791D">
      <w:pPr>
        <w:pStyle w:val="BodyText"/>
        <w:ind w:left="2160" w:right="299"/>
        <w:rPr>
          <w:b/>
          <w:bCs/>
        </w:rPr>
      </w:pPr>
    </w:p>
    <w:p w14:paraId="6484A03E" w14:textId="290C3AFD" w:rsidR="001D7AB7" w:rsidRPr="005E2EDF" w:rsidRDefault="001D7AB7" w:rsidP="005B791D">
      <w:pPr>
        <w:tabs>
          <w:tab w:val="left" w:pos="2985"/>
        </w:tabs>
        <w:ind w:left="810"/>
        <w:rPr>
          <w:sz w:val="24"/>
          <w:szCs w:val="24"/>
        </w:rPr>
      </w:pPr>
      <w:r w:rsidRPr="005E2EDF">
        <w:rPr>
          <w:sz w:val="24"/>
          <w:szCs w:val="24"/>
        </w:rPr>
        <w:t>While the match may be provided by multiple sources, Eligible Entities are encouraged to require a match from the subgrantee rather than utilizing other sources where it deems the subgrantee capable</w:t>
      </w:r>
      <w:r w:rsidRPr="005E2EDF">
        <w:rPr>
          <w:spacing w:val="-2"/>
          <w:sz w:val="24"/>
          <w:szCs w:val="24"/>
        </w:rPr>
        <w:t xml:space="preserve"> </w:t>
      </w:r>
      <w:r w:rsidRPr="005E2EDF">
        <w:rPr>
          <w:sz w:val="24"/>
          <w:szCs w:val="24"/>
        </w:rPr>
        <w:t>of</w:t>
      </w:r>
      <w:r w:rsidR="00566EA3" w:rsidRPr="005E2EDF">
        <w:rPr>
          <w:sz w:val="24"/>
          <w:szCs w:val="24"/>
        </w:rPr>
        <w:t xml:space="preserve"> </w:t>
      </w:r>
      <w:r w:rsidRPr="005E2EDF">
        <w:rPr>
          <w:sz w:val="24"/>
          <w:szCs w:val="24"/>
        </w:rPr>
        <w:t>providing</w:t>
      </w:r>
      <w:r w:rsidRPr="005E2EDF">
        <w:rPr>
          <w:spacing w:val="-1"/>
          <w:sz w:val="24"/>
          <w:szCs w:val="24"/>
        </w:rPr>
        <w:t xml:space="preserve"> </w:t>
      </w:r>
      <w:r w:rsidRPr="005E2EDF">
        <w:rPr>
          <w:sz w:val="24"/>
          <w:szCs w:val="24"/>
        </w:rPr>
        <w:t>matching</w:t>
      </w:r>
      <w:r w:rsidRPr="005E2EDF">
        <w:rPr>
          <w:spacing w:val="-1"/>
          <w:sz w:val="24"/>
          <w:szCs w:val="24"/>
        </w:rPr>
        <w:t xml:space="preserve"> </w:t>
      </w:r>
      <w:r w:rsidRPr="005E2EDF">
        <w:rPr>
          <w:sz w:val="24"/>
          <w:szCs w:val="24"/>
        </w:rPr>
        <w:t>funds.</w:t>
      </w:r>
      <w:hyperlink w:anchor="_bookmark33" w:history="1">
        <w:r w:rsidRPr="005E2EDF">
          <w:rPr>
            <w:sz w:val="24"/>
            <w:szCs w:val="24"/>
            <w:vertAlign w:val="superscript"/>
          </w:rPr>
          <w:t>20</w:t>
        </w:r>
      </w:hyperlink>
      <w:r w:rsidRPr="005E2EDF">
        <w:rPr>
          <w:spacing w:val="1"/>
          <w:sz w:val="24"/>
          <w:szCs w:val="24"/>
        </w:rPr>
        <w:t xml:space="preserve"> </w:t>
      </w:r>
      <w:r w:rsidRPr="005E2EDF">
        <w:rPr>
          <w:sz w:val="24"/>
          <w:szCs w:val="24"/>
        </w:rPr>
        <w:t>This</w:t>
      </w:r>
      <w:r w:rsidRPr="005E2EDF">
        <w:rPr>
          <w:spacing w:val="-1"/>
          <w:sz w:val="24"/>
          <w:szCs w:val="24"/>
        </w:rPr>
        <w:t xml:space="preserve"> </w:t>
      </w:r>
      <w:r w:rsidRPr="005E2EDF">
        <w:rPr>
          <w:sz w:val="24"/>
          <w:szCs w:val="24"/>
        </w:rPr>
        <w:t>approach</w:t>
      </w:r>
      <w:r w:rsidRPr="005E2EDF">
        <w:rPr>
          <w:spacing w:val="2"/>
          <w:sz w:val="24"/>
          <w:szCs w:val="24"/>
        </w:rPr>
        <w:t xml:space="preserve"> </w:t>
      </w:r>
      <w:r w:rsidRPr="005E2EDF">
        <w:rPr>
          <w:sz w:val="24"/>
          <w:szCs w:val="24"/>
        </w:rPr>
        <w:t>will</w:t>
      </w:r>
      <w:r w:rsidRPr="005E2EDF">
        <w:rPr>
          <w:spacing w:val="-1"/>
          <w:sz w:val="24"/>
          <w:szCs w:val="24"/>
        </w:rPr>
        <w:t xml:space="preserve"> </w:t>
      </w:r>
      <w:r w:rsidRPr="005E2EDF">
        <w:rPr>
          <w:sz w:val="24"/>
          <w:szCs w:val="24"/>
        </w:rPr>
        <w:t>maximize</w:t>
      </w:r>
      <w:r w:rsidRPr="005E2EDF">
        <w:rPr>
          <w:spacing w:val="-2"/>
          <w:sz w:val="24"/>
          <w:szCs w:val="24"/>
        </w:rPr>
        <w:t xml:space="preserve"> </w:t>
      </w:r>
      <w:r w:rsidRPr="005E2EDF">
        <w:rPr>
          <w:sz w:val="24"/>
          <w:szCs w:val="24"/>
        </w:rPr>
        <w:t>the</w:t>
      </w:r>
      <w:r w:rsidRPr="005E2EDF">
        <w:rPr>
          <w:spacing w:val="-1"/>
          <w:sz w:val="24"/>
          <w:szCs w:val="24"/>
        </w:rPr>
        <w:t xml:space="preserve"> </w:t>
      </w:r>
      <w:r w:rsidRPr="005E2EDF">
        <w:rPr>
          <w:sz w:val="24"/>
          <w:szCs w:val="24"/>
        </w:rPr>
        <w:t>impact</w:t>
      </w:r>
      <w:r w:rsidRPr="005E2EDF">
        <w:rPr>
          <w:spacing w:val="-1"/>
          <w:sz w:val="24"/>
          <w:szCs w:val="24"/>
        </w:rPr>
        <w:t xml:space="preserve"> </w:t>
      </w:r>
      <w:r w:rsidRPr="005E2EDF">
        <w:rPr>
          <w:spacing w:val="-5"/>
          <w:sz w:val="24"/>
          <w:szCs w:val="24"/>
        </w:rPr>
        <w:t>of</w:t>
      </w:r>
      <w:r w:rsidR="00A2552C" w:rsidRPr="005E2EDF">
        <w:rPr>
          <w:spacing w:val="-5"/>
          <w:sz w:val="24"/>
          <w:szCs w:val="24"/>
        </w:rPr>
        <w:t xml:space="preserve"> </w:t>
      </w:r>
      <w:r w:rsidRPr="005E2EDF">
        <w:rPr>
          <w:sz w:val="24"/>
          <w:szCs w:val="24"/>
        </w:rPr>
        <w:t>Eligible Entity funds and funds provided via other federal programs.  Eligible Entities are also required to incentivize matches of greater than 25 percent from subgrantees wherever</w:t>
      </w:r>
      <w:r w:rsidRPr="005E2EDF">
        <w:rPr>
          <w:spacing w:val="-2"/>
          <w:sz w:val="24"/>
          <w:szCs w:val="24"/>
        </w:rPr>
        <w:t xml:space="preserve"> </w:t>
      </w:r>
      <w:r w:rsidRPr="005E2EDF">
        <w:rPr>
          <w:sz w:val="24"/>
          <w:szCs w:val="24"/>
        </w:rPr>
        <w:t>feasible</w:t>
      </w:r>
      <w:r w:rsidRPr="005E2EDF">
        <w:rPr>
          <w:spacing w:val="-2"/>
          <w:sz w:val="24"/>
          <w:szCs w:val="24"/>
        </w:rPr>
        <w:t xml:space="preserve"> </w:t>
      </w:r>
      <w:r w:rsidRPr="005E2EDF">
        <w:rPr>
          <w:sz w:val="24"/>
          <w:szCs w:val="24"/>
        </w:rPr>
        <w:t>(especially</w:t>
      </w:r>
      <w:r w:rsidRPr="005E2EDF">
        <w:rPr>
          <w:spacing w:val="-1"/>
          <w:sz w:val="24"/>
          <w:szCs w:val="24"/>
        </w:rPr>
        <w:t xml:space="preserve"> </w:t>
      </w:r>
      <w:r w:rsidRPr="005E2EDF">
        <w:rPr>
          <w:sz w:val="24"/>
          <w:szCs w:val="24"/>
        </w:rPr>
        <w:t>where expected</w:t>
      </w:r>
      <w:r w:rsidRPr="005E2EDF">
        <w:rPr>
          <w:spacing w:val="-1"/>
          <w:sz w:val="24"/>
          <w:szCs w:val="24"/>
        </w:rPr>
        <w:t xml:space="preserve"> </w:t>
      </w:r>
      <w:r w:rsidRPr="005E2EDF">
        <w:rPr>
          <w:sz w:val="24"/>
          <w:szCs w:val="24"/>
        </w:rPr>
        <w:t>operational</w:t>
      </w:r>
      <w:r w:rsidRPr="005E2EDF">
        <w:rPr>
          <w:spacing w:val="-1"/>
          <w:sz w:val="24"/>
          <w:szCs w:val="24"/>
        </w:rPr>
        <w:t xml:space="preserve"> </w:t>
      </w:r>
      <w:r w:rsidRPr="005E2EDF">
        <w:rPr>
          <w:sz w:val="24"/>
          <w:szCs w:val="24"/>
        </w:rPr>
        <w:t>costs</w:t>
      </w:r>
      <w:r w:rsidRPr="005E2EDF">
        <w:rPr>
          <w:spacing w:val="-1"/>
          <w:sz w:val="24"/>
          <w:szCs w:val="24"/>
        </w:rPr>
        <w:t xml:space="preserve"> </w:t>
      </w:r>
      <w:r w:rsidRPr="005E2EDF">
        <w:rPr>
          <w:sz w:val="24"/>
          <w:szCs w:val="24"/>
        </w:rPr>
        <w:t>and</w:t>
      </w:r>
      <w:r w:rsidRPr="005E2EDF">
        <w:rPr>
          <w:spacing w:val="-1"/>
          <w:sz w:val="24"/>
          <w:szCs w:val="24"/>
        </w:rPr>
        <w:t xml:space="preserve"> </w:t>
      </w:r>
      <w:r w:rsidRPr="005E2EDF">
        <w:rPr>
          <w:sz w:val="24"/>
          <w:szCs w:val="24"/>
        </w:rPr>
        <w:t>revenues</w:t>
      </w:r>
      <w:r w:rsidRPr="005E2EDF">
        <w:rPr>
          <w:spacing w:val="-1"/>
          <w:sz w:val="24"/>
          <w:szCs w:val="24"/>
        </w:rPr>
        <w:t xml:space="preserve"> </w:t>
      </w:r>
      <w:r w:rsidRPr="005E2EDF">
        <w:rPr>
          <w:sz w:val="24"/>
          <w:szCs w:val="24"/>
        </w:rPr>
        <w:t>are</w:t>
      </w:r>
      <w:r w:rsidRPr="005E2EDF">
        <w:rPr>
          <w:spacing w:val="-2"/>
          <w:sz w:val="24"/>
          <w:szCs w:val="24"/>
        </w:rPr>
        <w:t xml:space="preserve"> </w:t>
      </w:r>
      <w:r w:rsidRPr="005E2EDF">
        <w:rPr>
          <w:sz w:val="24"/>
          <w:szCs w:val="24"/>
        </w:rPr>
        <w:t>likely</w:t>
      </w:r>
      <w:r w:rsidRPr="005E2EDF">
        <w:rPr>
          <w:spacing w:val="-1"/>
          <w:sz w:val="24"/>
          <w:szCs w:val="24"/>
        </w:rPr>
        <w:t xml:space="preserve"> </w:t>
      </w:r>
      <w:r w:rsidRPr="005E2EDF">
        <w:rPr>
          <w:sz w:val="24"/>
          <w:szCs w:val="24"/>
        </w:rPr>
        <w:t>to</w:t>
      </w:r>
      <w:r w:rsidRPr="005E2EDF">
        <w:rPr>
          <w:spacing w:val="-1"/>
          <w:sz w:val="24"/>
          <w:szCs w:val="24"/>
        </w:rPr>
        <w:t xml:space="preserve"> </w:t>
      </w:r>
      <w:r w:rsidRPr="005E2EDF">
        <w:rPr>
          <w:sz w:val="24"/>
          <w:szCs w:val="24"/>
        </w:rPr>
        <w:t>justify greater</w:t>
      </w:r>
      <w:r w:rsidRPr="005E2EDF">
        <w:rPr>
          <w:spacing w:val="-4"/>
          <w:sz w:val="24"/>
          <w:szCs w:val="24"/>
        </w:rPr>
        <w:t xml:space="preserve"> </w:t>
      </w:r>
      <w:r w:rsidRPr="005E2EDF">
        <w:rPr>
          <w:sz w:val="24"/>
          <w:szCs w:val="24"/>
        </w:rPr>
        <w:t>investment</w:t>
      </w:r>
      <w:r w:rsidRPr="005E2EDF">
        <w:rPr>
          <w:spacing w:val="-3"/>
          <w:sz w:val="24"/>
          <w:szCs w:val="24"/>
        </w:rPr>
        <w:t xml:space="preserve"> </w:t>
      </w:r>
      <w:r w:rsidRPr="005E2EDF">
        <w:rPr>
          <w:sz w:val="24"/>
          <w:szCs w:val="24"/>
        </w:rPr>
        <w:t>by</w:t>
      </w:r>
      <w:r w:rsidRPr="005E2EDF">
        <w:rPr>
          <w:spacing w:val="-3"/>
          <w:sz w:val="24"/>
          <w:szCs w:val="24"/>
        </w:rPr>
        <w:t xml:space="preserve"> </w:t>
      </w:r>
      <w:r w:rsidRPr="005E2EDF">
        <w:rPr>
          <w:sz w:val="24"/>
          <w:szCs w:val="24"/>
        </w:rPr>
        <w:t>the</w:t>
      </w:r>
      <w:r w:rsidRPr="005E2EDF">
        <w:rPr>
          <w:spacing w:val="-2"/>
          <w:sz w:val="24"/>
          <w:szCs w:val="24"/>
        </w:rPr>
        <w:t xml:space="preserve"> </w:t>
      </w:r>
      <w:r w:rsidRPr="005E2EDF">
        <w:rPr>
          <w:sz w:val="24"/>
          <w:szCs w:val="24"/>
        </w:rPr>
        <w:t>subgrantee)</w:t>
      </w:r>
      <w:r w:rsidRPr="005E2EDF">
        <w:rPr>
          <w:spacing w:val="-4"/>
          <w:sz w:val="24"/>
          <w:szCs w:val="24"/>
        </w:rPr>
        <w:t xml:space="preserve"> </w:t>
      </w:r>
      <w:r w:rsidRPr="005E2EDF">
        <w:rPr>
          <w:sz w:val="24"/>
          <w:szCs w:val="24"/>
        </w:rPr>
        <w:t>by</w:t>
      </w:r>
      <w:r w:rsidRPr="005E2EDF">
        <w:rPr>
          <w:spacing w:val="-3"/>
          <w:sz w:val="24"/>
          <w:szCs w:val="24"/>
        </w:rPr>
        <w:t xml:space="preserve"> </w:t>
      </w:r>
      <w:r w:rsidRPr="005E2EDF">
        <w:rPr>
          <w:sz w:val="24"/>
          <w:szCs w:val="24"/>
        </w:rPr>
        <w:t>focusing</w:t>
      </w:r>
      <w:r w:rsidRPr="005E2EDF">
        <w:rPr>
          <w:spacing w:val="-1"/>
          <w:sz w:val="24"/>
          <w:szCs w:val="24"/>
        </w:rPr>
        <w:t xml:space="preserve"> </w:t>
      </w:r>
      <w:r w:rsidRPr="005E2EDF">
        <w:rPr>
          <w:sz w:val="24"/>
          <w:szCs w:val="24"/>
        </w:rPr>
        <w:t>on</w:t>
      </w:r>
      <w:r w:rsidRPr="005E2EDF">
        <w:rPr>
          <w:spacing w:val="-3"/>
          <w:sz w:val="24"/>
          <w:szCs w:val="24"/>
        </w:rPr>
        <w:t xml:space="preserve"> </w:t>
      </w:r>
      <w:r w:rsidRPr="005E2EDF">
        <w:rPr>
          <w:sz w:val="24"/>
          <w:szCs w:val="24"/>
        </w:rPr>
        <w:t>minimizing</w:t>
      </w:r>
      <w:r w:rsidRPr="005E2EDF">
        <w:rPr>
          <w:spacing w:val="-3"/>
          <w:sz w:val="24"/>
          <w:szCs w:val="24"/>
        </w:rPr>
        <w:t xml:space="preserve"> </w:t>
      </w:r>
      <w:r w:rsidRPr="005E2EDF">
        <w:rPr>
          <w:sz w:val="24"/>
          <w:szCs w:val="24"/>
        </w:rPr>
        <w:t>the</w:t>
      </w:r>
      <w:r w:rsidRPr="005E2EDF">
        <w:rPr>
          <w:spacing w:val="-4"/>
          <w:sz w:val="24"/>
          <w:szCs w:val="24"/>
        </w:rPr>
        <w:t xml:space="preserve"> </w:t>
      </w:r>
      <w:r w:rsidRPr="005E2EDF">
        <w:rPr>
          <w:sz w:val="24"/>
          <w:szCs w:val="24"/>
        </w:rPr>
        <w:t>BEAD</w:t>
      </w:r>
      <w:r w:rsidRPr="005E2EDF">
        <w:rPr>
          <w:spacing w:val="-4"/>
          <w:sz w:val="24"/>
          <w:szCs w:val="24"/>
        </w:rPr>
        <w:t xml:space="preserve"> </w:t>
      </w:r>
      <w:r w:rsidRPr="005E2EDF">
        <w:rPr>
          <w:sz w:val="24"/>
          <w:szCs w:val="24"/>
        </w:rPr>
        <w:t>funding</w:t>
      </w:r>
      <w:r w:rsidRPr="005E2EDF">
        <w:rPr>
          <w:spacing w:val="-3"/>
          <w:sz w:val="24"/>
          <w:szCs w:val="24"/>
        </w:rPr>
        <w:t xml:space="preserve"> </w:t>
      </w:r>
      <w:r w:rsidRPr="005E2EDF">
        <w:rPr>
          <w:sz w:val="24"/>
          <w:szCs w:val="24"/>
        </w:rPr>
        <w:t>outlay</w:t>
      </w:r>
      <w:r w:rsidRPr="005E2EDF">
        <w:rPr>
          <w:spacing w:val="-3"/>
          <w:sz w:val="24"/>
          <w:szCs w:val="24"/>
        </w:rPr>
        <w:t xml:space="preserve"> </w:t>
      </w:r>
      <w:r w:rsidRPr="005E2EDF">
        <w:rPr>
          <w:sz w:val="24"/>
          <w:szCs w:val="24"/>
        </w:rPr>
        <w:t>on</w:t>
      </w:r>
      <w:r w:rsidRPr="005E2EDF">
        <w:rPr>
          <w:spacing w:val="-3"/>
          <w:sz w:val="24"/>
          <w:szCs w:val="24"/>
        </w:rPr>
        <w:t xml:space="preserve"> </w:t>
      </w:r>
      <w:r w:rsidRPr="005E2EDF">
        <w:rPr>
          <w:sz w:val="24"/>
          <w:szCs w:val="24"/>
        </w:rPr>
        <w:t>a particular project, to the extent consistent with other programmatic goals described in th</w:t>
      </w:r>
      <w:r w:rsidR="00312E29">
        <w:rPr>
          <w:sz w:val="24"/>
          <w:szCs w:val="24"/>
        </w:rPr>
        <w:t>e</w:t>
      </w:r>
      <w:r w:rsidRPr="005E2EDF">
        <w:rPr>
          <w:sz w:val="24"/>
          <w:szCs w:val="24"/>
        </w:rPr>
        <w:t xml:space="preserve"> </w:t>
      </w:r>
      <w:r w:rsidR="00312E29">
        <w:rPr>
          <w:sz w:val="24"/>
          <w:szCs w:val="24"/>
        </w:rPr>
        <w:t xml:space="preserve">BEAD </w:t>
      </w:r>
      <w:r w:rsidRPr="005E2EDF">
        <w:rPr>
          <w:spacing w:val="-2"/>
          <w:sz w:val="24"/>
          <w:szCs w:val="24"/>
        </w:rPr>
        <w:t>NOFO</w:t>
      </w:r>
      <w:r w:rsidR="00560B41">
        <w:rPr>
          <w:spacing w:val="-2"/>
          <w:sz w:val="24"/>
          <w:szCs w:val="24"/>
        </w:rPr>
        <w:t xml:space="preserve"> (NOFO: Section III.B.2)</w:t>
      </w:r>
      <w:r w:rsidRPr="005E2EDF">
        <w:rPr>
          <w:spacing w:val="-2"/>
          <w:sz w:val="24"/>
          <w:szCs w:val="24"/>
        </w:rPr>
        <w:t>.</w:t>
      </w:r>
      <w:r w:rsidR="00355EBA" w:rsidRPr="005E2EDF">
        <w:rPr>
          <w:sz w:val="24"/>
          <w:szCs w:val="24"/>
        </w:rPr>
        <w:t xml:space="preserve"> </w:t>
      </w:r>
    </w:p>
    <w:p w14:paraId="60E3AD5C" w14:textId="77777777" w:rsidR="001D7AB7" w:rsidRDefault="001D7AB7" w:rsidP="005B791D">
      <w:pPr>
        <w:pStyle w:val="Heading1"/>
        <w:numPr>
          <w:ilvl w:val="0"/>
          <w:numId w:val="33"/>
        </w:numPr>
        <w:tabs>
          <w:tab w:val="left" w:pos="2280"/>
        </w:tabs>
        <w:spacing w:before="240"/>
        <w:ind w:hanging="1080"/>
      </w:pPr>
      <w:bookmarkStart w:id="5" w:name="3._Matches_from_Other_Federal_Programs_a"/>
      <w:bookmarkEnd w:id="5"/>
      <w:r>
        <w:t>Matches</w:t>
      </w:r>
      <w:r>
        <w:rPr>
          <w:spacing w:val="-2"/>
        </w:rPr>
        <w:t xml:space="preserve"> </w:t>
      </w:r>
      <w:r>
        <w:t>from</w:t>
      </w:r>
      <w:r>
        <w:rPr>
          <w:spacing w:val="-2"/>
        </w:rPr>
        <w:t xml:space="preserve"> </w:t>
      </w:r>
      <w:r>
        <w:t>Other</w:t>
      </w:r>
      <w:r>
        <w:rPr>
          <w:spacing w:val="-2"/>
        </w:rPr>
        <w:t xml:space="preserve"> </w:t>
      </w:r>
      <w:r>
        <w:t>Federal</w:t>
      </w:r>
      <w:r>
        <w:rPr>
          <w:spacing w:val="-2"/>
        </w:rPr>
        <w:t xml:space="preserve"> </w:t>
      </w:r>
      <w:r>
        <w:t>Programs</w:t>
      </w:r>
      <w:r>
        <w:rPr>
          <w:spacing w:val="-2"/>
        </w:rPr>
        <w:t xml:space="preserve"> </w:t>
      </w:r>
      <w:r>
        <w:t>and</w:t>
      </w:r>
      <w:r>
        <w:rPr>
          <w:spacing w:val="-2"/>
        </w:rPr>
        <w:t xml:space="preserve"> Entities</w:t>
      </w:r>
    </w:p>
    <w:p w14:paraId="197E9C55" w14:textId="77777777" w:rsidR="001D7AB7" w:rsidRDefault="001D7AB7" w:rsidP="001D7AB7">
      <w:pPr>
        <w:pStyle w:val="BodyText"/>
        <w:spacing w:before="10"/>
        <w:rPr>
          <w:b/>
          <w:sz w:val="20"/>
        </w:rPr>
      </w:pPr>
    </w:p>
    <w:p w14:paraId="294030A9" w14:textId="3E5456FD" w:rsidR="001D7AB7" w:rsidRDefault="001D7AB7" w:rsidP="005B791D">
      <w:pPr>
        <w:pStyle w:val="BodyText"/>
        <w:ind w:left="720" w:right="242"/>
      </w:pPr>
      <w:r>
        <w:t xml:space="preserve">Except as expressly provided for in the Infrastructure Act, funds from other Federal programs (including funds from the Commission’s Universal Service Fund programs) may not be used as matching funds. The Infrastructure Act expressly provides that matching funds for the BEAD Program may come from a federal regional commission or authority and from funds that were provided to an Eligible Entity or a subgrantee for the purpose of deploying broadband service under the Families First Coronavirus Response Act (Public Law 116-127; 134 Stat. 178); the CARES Act (Public Law 116-136; 134 Stat. 281), the Consolidated Appropriations Act, 2021 (Public Law 116-260; 134 Stat. 1182); or the American Rescue Plan Act of 2021 (Public Law 117-2; 135 Stat. 4), to the extent permitted by those laws. Eligible Entities are encouraged to consider terms and conditions that may be associated with potential sources of match funds and how those may impact the project overall. Loan funding issued through a federal agency, such as through the USDA </w:t>
      </w:r>
      <w:proofErr w:type="spellStart"/>
      <w:r>
        <w:t>ReConnect</w:t>
      </w:r>
      <w:proofErr w:type="spellEnd"/>
      <w:r>
        <w:t xml:space="preserve"> Program, may also be used as match</w:t>
      </w:r>
      <w:r w:rsidR="00FA612C">
        <w:t xml:space="preserve"> (NOFO: Section III.B.3)</w:t>
      </w:r>
      <w:r>
        <w:t>.</w:t>
      </w:r>
    </w:p>
    <w:p w14:paraId="1E979DAF" w14:textId="77777777" w:rsidR="001D7AB7" w:rsidRDefault="001D7AB7" w:rsidP="001D7AB7">
      <w:pPr>
        <w:pStyle w:val="BodyText"/>
        <w:spacing w:before="10"/>
        <w:rPr>
          <w:sz w:val="20"/>
        </w:rPr>
      </w:pPr>
    </w:p>
    <w:p w14:paraId="398917B2" w14:textId="77777777" w:rsidR="001D7AB7" w:rsidRDefault="001D7AB7" w:rsidP="008D7756">
      <w:pPr>
        <w:pStyle w:val="Heading1"/>
        <w:numPr>
          <w:ilvl w:val="0"/>
          <w:numId w:val="33"/>
        </w:numPr>
        <w:tabs>
          <w:tab w:val="left" w:pos="2279"/>
        </w:tabs>
        <w:spacing w:before="1"/>
      </w:pPr>
      <w:bookmarkStart w:id="6" w:name="4._In-Kind_Matches"/>
      <w:bookmarkEnd w:id="6"/>
      <w:r>
        <w:t>In-Kind</w:t>
      </w:r>
      <w:r>
        <w:rPr>
          <w:spacing w:val="-1"/>
        </w:rPr>
        <w:t xml:space="preserve"> </w:t>
      </w:r>
      <w:r>
        <w:rPr>
          <w:spacing w:val="-2"/>
        </w:rPr>
        <w:t>Matches</w:t>
      </w:r>
    </w:p>
    <w:p w14:paraId="5B5EC853" w14:textId="77777777" w:rsidR="001D7AB7" w:rsidRDefault="001D7AB7" w:rsidP="001D7AB7">
      <w:pPr>
        <w:pStyle w:val="BodyText"/>
        <w:spacing w:before="9"/>
        <w:rPr>
          <w:b/>
          <w:sz w:val="20"/>
        </w:rPr>
      </w:pPr>
    </w:p>
    <w:p w14:paraId="7DE6D27B" w14:textId="00684EB6" w:rsidR="001D7AB7" w:rsidRDefault="001D7AB7" w:rsidP="000B500E">
      <w:pPr>
        <w:pStyle w:val="BodyText"/>
        <w:spacing w:before="1"/>
        <w:ind w:left="720" w:right="177"/>
      </w:pPr>
      <w:r>
        <w:t>Matching</w:t>
      </w:r>
      <w:r>
        <w:rPr>
          <w:spacing w:val="-2"/>
        </w:rPr>
        <w:t xml:space="preserve"> </w:t>
      </w:r>
      <w:r>
        <w:t>funds</w:t>
      </w:r>
      <w:r>
        <w:rPr>
          <w:spacing w:val="-3"/>
        </w:rPr>
        <w:t xml:space="preserve"> </w:t>
      </w:r>
      <w:r>
        <w:t>may</w:t>
      </w:r>
      <w:r>
        <w:rPr>
          <w:spacing w:val="-2"/>
        </w:rPr>
        <w:t xml:space="preserve"> </w:t>
      </w:r>
      <w:r>
        <w:t>be</w:t>
      </w:r>
      <w:r>
        <w:rPr>
          <w:spacing w:val="-3"/>
        </w:rPr>
        <w:t xml:space="preserve"> </w:t>
      </w:r>
      <w:r>
        <w:t>provided</w:t>
      </w:r>
      <w:r>
        <w:rPr>
          <w:spacing w:val="-2"/>
        </w:rPr>
        <w:t xml:space="preserve"> </w:t>
      </w:r>
      <w:r>
        <w:t>in</w:t>
      </w:r>
      <w:r>
        <w:rPr>
          <w:spacing w:val="-3"/>
        </w:rPr>
        <w:t xml:space="preserve"> </w:t>
      </w:r>
      <w:r>
        <w:t>the</w:t>
      </w:r>
      <w:r>
        <w:rPr>
          <w:spacing w:val="-3"/>
        </w:rPr>
        <w:t xml:space="preserve"> </w:t>
      </w:r>
      <w:r>
        <w:t>form</w:t>
      </w:r>
      <w:r>
        <w:rPr>
          <w:spacing w:val="-2"/>
        </w:rPr>
        <w:t xml:space="preserve"> </w:t>
      </w:r>
      <w:r>
        <w:t>of</w:t>
      </w:r>
      <w:r>
        <w:rPr>
          <w:spacing w:val="-2"/>
        </w:rPr>
        <w:t xml:space="preserve"> </w:t>
      </w:r>
      <w:r>
        <w:t>either</w:t>
      </w:r>
      <w:r>
        <w:rPr>
          <w:spacing w:val="-3"/>
        </w:rPr>
        <w:t xml:space="preserve"> </w:t>
      </w:r>
      <w:r>
        <w:t>cash</w:t>
      </w:r>
      <w:r>
        <w:rPr>
          <w:spacing w:val="-2"/>
        </w:rPr>
        <w:t xml:space="preserve"> </w:t>
      </w:r>
      <w:r>
        <w:t>or</w:t>
      </w:r>
      <w:r>
        <w:rPr>
          <w:spacing w:val="-3"/>
        </w:rPr>
        <w:t xml:space="preserve"> </w:t>
      </w:r>
      <w:r>
        <w:t>in-kind</w:t>
      </w:r>
      <w:r>
        <w:rPr>
          <w:spacing w:val="-2"/>
        </w:rPr>
        <w:t xml:space="preserve"> </w:t>
      </w:r>
      <w:r>
        <w:t>contributions,</w:t>
      </w:r>
      <w:r>
        <w:rPr>
          <w:spacing w:val="-3"/>
        </w:rPr>
        <w:t xml:space="preserve"> </w:t>
      </w:r>
      <w:r>
        <w:t>so</w:t>
      </w:r>
      <w:r>
        <w:rPr>
          <w:spacing w:val="-2"/>
        </w:rPr>
        <w:t xml:space="preserve"> </w:t>
      </w:r>
      <w:r>
        <w:t>long</w:t>
      </w:r>
      <w:r>
        <w:rPr>
          <w:spacing w:val="-3"/>
        </w:rPr>
        <w:t xml:space="preserve"> </w:t>
      </w:r>
      <w:r>
        <w:t>as such contributions are made consistent with the Uniform Administrative Requirements, Cost</w:t>
      </w:r>
      <w:bookmarkStart w:id="7" w:name="_bookmark35"/>
      <w:bookmarkEnd w:id="7"/>
      <w:r w:rsidR="00E32F6E">
        <w:t xml:space="preserve"> </w:t>
      </w:r>
      <w:r>
        <w:t xml:space="preserve">Principles, and Audit Requirements for Federal Awards set forth at 2 C.F.R. Part 200. In-kind contributions, which may include third-party in-kind contributions, are non-cash donations of property, goods or services, which benefit a federally assisted project, and which may count toward satisfying the non-federal matching requirement of a project’s total budgeted costs when such contributions meet certain criteria. In-kind contributions must be allowable and allocable project expenses. </w:t>
      </w:r>
      <w:r w:rsidR="008912F8">
        <w:t>P</w:t>
      </w:r>
      <w:r>
        <w:t>otential sources of in-kind contributions, depending on the particular property or service and the applicable federal cost principles, could include employee or volunteer services; equipment;</w:t>
      </w:r>
      <w:r>
        <w:rPr>
          <w:spacing w:val="-2"/>
        </w:rPr>
        <w:t xml:space="preserve"> </w:t>
      </w:r>
      <w:r>
        <w:t>supplies;</w:t>
      </w:r>
      <w:r>
        <w:rPr>
          <w:spacing w:val="-2"/>
        </w:rPr>
        <w:t xml:space="preserve"> </w:t>
      </w:r>
      <w:r>
        <w:t>indirect</w:t>
      </w:r>
      <w:r>
        <w:rPr>
          <w:spacing w:val="-2"/>
        </w:rPr>
        <w:t xml:space="preserve"> </w:t>
      </w:r>
      <w:r>
        <w:t>costs;</w:t>
      </w:r>
      <w:r>
        <w:rPr>
          <w:spacing w:val="-2"/>
        </w:rPr>
        <w:t xml:space="preserve"> </w:t>
      </w:r>
      <w:r>
        <w:t>computer</w:t>
      </w:r>
      <w:r>
        <w:rPr>
          <w:spacing w:val="-3"/>
        </w:rPr>
        <w:t xml:space="preserve"> </w:t>
      </w:r>
      <w:r>
        <w:t>hardware</w:t>
      </w:r>
      <w:r>
        <w:rPr>
          <w:spacing w:val="-1"/>
        </w:rPr>
        <w:t xml:space="preserve"> </w:t>
      </w:r>
      <w:r>
        <w:t>and</w:t>
      </w:r>
      <w:r>
        <w:rPr>
          <w:spacing w:val="-2"/>
        </w:rPr>
        <w:t xml:space="preserve"> </w:t>
      </w:r>
      <w:r>
        <w:t>software;</w:t>
      </w:r>
      <w:r>
        <w:rPr>
          <w:spacing w:val="-2"/>
        </w:rPr>
        <w:t xml:space="preserve"> </w:t>
      </w:r>
      <w:r>
        <w:t>and</w:t>
      </w:r>
      <w:r>
        <w:rPr>
          <w:spacing w:val="-2"/>
        </w:rPr>
        <w:t xml:space="preserve"> </w:t>
      </w:r>
      <w:r>
        <w:t>use</w:t>
      </w:r>
      <w:r>
        <w:rPr>
          <w:spacing w:val="-3"/>
        </w:rPr>
        <w:t xml:space="preserve"> </w:t>
      </w:r>
      <w:r>
        <w:t>of</w:t>
      </w:r>
      <w:r>
        <w:rPr>
          <w:spacing w:val="-3"/>
        </w:rPr>
        <w:t xml:space="preserve"> </w:t>
      </w:r>
      <w:r>
        <w:t>facilities.</w:t>
      </w:r>
      <w:r>
        <w:rPr>
          <w:spacing w:val="-2"/>
        </w:rPr>
        <w:t xml:space="preserve"> </w:t>
      </w:r>
      <w:r>
        <w:t>In</w:t>
      </w:r>
      <w:r>
        <w:rPr>
          <w:spacing w:val="-2"/>
        </w:rPr>
        <w:t xml:space="preserve"> </w:t>
      </w:r>
      <w:r>
        <w:t>the broadband context this could include, consistent with federal cost principles, waiver of fees associated</w:t>
      </w:r>
      <w:r>
        <w:rPr>
          <w:spacing w:val="-3"/>
        </w:rPr>
        <w:t xml:space="preserve"> </w:t>
      </w:r>
      <w:r>
        <w:t>with</w:t>
      </w:r>
      <w:r>
        <w:rPr>
          <w:spacing w:val="-3"/>
        </w:rPr>
        <w:t xml:space="preserve"> </w:t>
      </w:r>
      <w:r>
        <w:t>access</w:t>
      </w:r>
      <w:r>
        <w:rPr>
          <w:spacing w:val="-3"/>
        </w:rPr>
        <w:t xml:space="preserve"> </w:t>
      </w:r>
      <w:r>
        <w:t>to</w:t>
      </w:r>
      <w:r>
        <w:rPr>
          <w:spacing w:val="-1"/>
        </w:rPr>
        <w:t xml:space="preserve"> </w:t>
      </w:r>
      <w:r>
        <w:t>rights</w:t>
      </w:r>
      <w:r>
        <w:rPr>
          <w:spacing w:val="-3"/>
        </w:rPr>
        <w:t xml:space="preserve"> </w:t>
      </w:r>
      <w:r>
        <w:t>of</w:t>
      </w:r>
      <w:r>
        <w:rPr>
          <w:spacing w:val="-4"/>
        </w:rPr>
        <w:t xml:space="preserve"> </w:t>
      </w:r>
      <w:r>
        <w:t>way,</w:t>
      </w:r>
      <w:r>
        <w:rPr>
          <w:spacing w:val="-3"/>
        </w:rPr>
        <w:t xml:space="preserve"> </w:t>
      </w:r>
      <w:r>
        <w:t>pole</w:t>
      </w:r>
      <w:r>
        <w:rPr>
          <w:spacing w:val="-4"/>
        </w:rPr>
        <w:t xml:space="preserve"> </w:t>
      </w:r>
      <w:r>
        <w:t>attachments,</w:t>
      </w:r>
      <w:r>
        <w:rPr>
          <w:spacing w:val="-3"/>
        </w:rPr>
        <w:t xml:space="preserve"> </w:t>
      </w:r>
      <w:r>
        <w:t>conduits,</w:t>
      </w:r>
      <w:r>
        <w:rPr>
          <w:spacing w:val="-3"/>
        </w:rPr>
        <w:t xml:space="preserve"> </w:t>
      </w:r>
      <w:r>
        <w:t>easements,</w:t>
      </w:r>
      <w:r>
        <w:rPr>
          <w:spacing w:val="-4"/>
        </w:rPr>
        <w:t xml:space="preserve"> </w:t>
      </w:r>
      <w:r>
        <w:t>or</w:t>
      </w:r>
      <w:r>
        <w:rPr>
          <w:spacing w:val="-4"/>
        </w:rPr>
        <w:t xml:space="preserve"> </w:t>
      </w:r>
      <w:r>
        <w:lastRenderedPageBreak/>
        <w:t>access</w:t>
      </w:r>
      <w:r>
        <w:rPr>
          <w:spacing w:val="-3"/>
        </w:rPr>
        <w:t xml:space="preserve"> </w:t>
      </w:r>
      <w:r>
        <w:t>to</w:t>
      </w:r>
      <w:r>
        <w:rPr>
          <w:spacing w:val="-3"/>
        </w:rPr>
        <w:t xml:space="preserve"> </w:t>
      </w:r>
      <w:r>
        <w:t xml:space="preserve">other </w:t>
      </w:r>
      <w:bookmarkStart w:id="8" w:name="5._Match_Waivers"/>
      <w:bookmarkStart w:id="9" w:name="_bookmark36"/>
      <w:bookmarkEnd w:id="8"/>
      <w:bookmarkEnd w:id="9"/>
      <w:r>
        <w:t>types of infrastructure</w:t>
      </w:r>
      <w:r w:rsidR="00FC00D9">
        <w:t xml:space="preserve"> (NOFO: Section III.B.4)</w:t>
      </w:r>
      <w:r>
        <w:t>.</w:t>
      </w:r>
    </w:p>
    <w:p w14:paraId="1B25A8EE" w14:textId="77777777" w:rsidR="001D7AB7" w:rsidRDefault="001D7AB7" w:rsidP="001D7AB7">
      <w:pPr>
        <w:pStyle w:val="BodyText"/>
        <w:spacing w:before="10"/>
        <w:rPr>
          <w:sz w:val="20"/>
        </w:rPr>
      </w:pPr>
    </w:p>
    <w:p w14:paraId="0ECE69D6" w14:textId="77777777" w:rsidR="001D7AB7" w:rsidRDefault="001D7AB7" w:rsidP="008D7756">
      <w:pPr>
        <w:pStyle w:val="Heading1"/>
        <w:numPr>
          <w:ilvl w:val="0"/>
          <w:numId w:val="33"/>
        </w:numPr>
        <w:tabs>
          <w:tab w:val="left" w:pos="2280"/>
        </w:tabs>
      </w:pPr>
      <w:r>
        <w:t>Match</w:t>
      </w:r>
      <w:r>
        <w:rPr>
          <w:spacing w:val="-3"/>
        </w:rPr>
        <w:t xml:space="preserve"> </w:t>
      </w:r>
      <w:r>
        <w:rPr>
          <w:spacing w:val="-2"/>
        </w:rPr>
        <w:t>Waivers</w:t>
      </w:r>
    </w:p>
    <w:p w14:paraId="1FBEF323" w14:textId="77777777" w:rsidR="001D7AB7" w:rsidRDefault="001D7AB7" w:rsidP="001D7AB7">
      <w:pPr>
        <w:pStyle w:val="BodyText"/>
        <w:spacing w:before="10"/>
        <w:rPr>
          <w:b/>
          <w:sz w:val="20"/>
        </w:rPr>
      </w:pPr>
    </w:p>
    <w:p w14:paraId="7B82489F" w14:textId="5F3F8327" w:rsidR="001D7AB7" w:rsidRDefault="001D7AB7" w:rsidP="000B500E">
      <w:pPr>
        <w:pStyle w:val="BodyText"/>
        <w:ind w:left="720" w:right="120"/>
      </w:pPr>
      <w:r>
        <w:t>It</w:t>
      </w:r>
      <w:r>
        <w:rPr>
          <w:spacing w:val="-3"/>
        </w:rPr>
        <w:t xml:space="preserve"> </w:t>
      </w:r>
      <w:r>
        <w:t>is</w:t>
      </w:r>
      <w:r>
        <w:rPr>
          <w:spacing w:val="-3"/>
        </w:rPr>
        <w:t xml:space="preserve"> </w:t>
      </w:r>
      <w:r>
        <w:t>NTIA’s</w:t>
      </w:r>
      <w:r>
        <w:rPr>
          <w:spacing w:val="-3"/>
        </w:rPr>
        <w:t xml:space="preserve"> </w:t>
      </w:r>
      <w:r>
        <w:t>policy</w:t>
      </w:r>
      <w:r>
        <w:rPr>
          <w:spacing w:val="-1"/>
        </w:rPr>
        <w:t xml:space="preserve"> </w:t>
      </w:r>
      <w:r>
        <w:t>to</w:t>
      </w:r>
      <w:r>
        <w:rPr>
          <w:spacing w:val="-3"/>
        </w:rPr>
        <w:t xml:space="preserve"> </w:t>
      </w:r>
      <w:r>
        <w:t>ensure</w:t>
      </w:r>
      <w:r>
        <w:rPr>
          <w:spacing w:val="-4"/>
        </w:rPr>
        <w:t xml:space="preserve"> </w:t>
      </w:r>
      <w:r>
        <w:t>that</w:t>
      </w:r>
      <w:r>
        <w:rPr>
          <w:spacing w:val="-3"/>
        </w:rPr>
        <w:t xml:space="preserve"> </w:t>
      </w:r>
      <w:r>
        <w:t>BEAD funds</w:t>
      </w:r>
      <w:r>
        <w:rPr>
          <w:spacing w:val="-3"/>
        </w:rPr>
        <w:t xml:space="preserve"> </w:t>
      </w:r>
      <w:r>
        <w:t>are</w:t>
      </w:r>
      <w:r>
        <w:rPr>
          <w:spacing w:val="-4"/>
        </w:rPr>
        <w:t xml:space="preserve"> </w:t>
      </w:r>
      <w:r>
        <w:t>used</w:t>
      </w:r>
      <w:r>
        <w:rPr>
          <w:spacing w:val="-3"/>
        </w:rPr>
        <w:t xml:space="preserve"> </w:t>
      </w:r>
      <w:r>
        <w:t>to</w:t>
      </w:r>
      <w:r>
        <w:rPr>
          <w:spacing w:val="-3"/>
        </w:rPr>
        <w:t xml:space="preserve"> </w:t>
      </w:r>
      <w:r>
        <w:t>bring</w:t>
      </w:r>
      <w:r>
        <w:rPr>
          <w:spacing w:val="-3"/>
        </w:rPr>
        <w:t xml:space="preserve"> </w:t>
      </w:r>
      <w:r>
        <w:t>affordable</w:t>
      </w:r>
      <w:r>
        <w:rPr>
          <w:spacing w:val="-4"/>
        </w:rPr>
        <w:t xml:space="preserve"> </w:t>
      </w:r>
      <w:r>
        <w:t>broadband</w:t>
      </w:r>
      <w:r>
        <w:rPr>
          <w:spacing w:val="-3"/>
        </w:rPr>
        <w:t xml:space="preserve"> </w:t>
      </w:r>
      <w:r>
        <w:t>to</w:t>
      </w:r>
      <w:r>
        <w:rPr>
          <w:spacing w:val="-3"/>
        </w:rPr>
        <w:t xml:space="preserve"> </w:t>
      </w:r>
      <w:r>
        <w:t>all</w:t>
      </w:r>
      <w:r>
        <w:rPr>
          <w:spacing w:val="-1"/>
        </w:rPr>
        <w:t xml:space="preserve"> </w:t>
      </w:r>
      <w:r>
        <w:t>Americans.</w:t>
      </w:r>
      <w:r>
        <w:rPr>
          <w:spacing w:val="-3"/>
        </w:rPr>
        <w:t xml:space="preserve"> </w:t>
      </w:r>
      <w:r>
        <w:t>Thus,</w:t>
      </w:r>
      <w:r>
        <w:rPr>
          <w:spacing w:val="-3"/>
        </w:rPr>
        <w:t xml:space="preserve"> </w:t>
      </w:r>
      <w:r>
        <w:t>the</w:t>
      </w:r>
      <w:r>
        <w:rPr>
          <w:spacing w:val="-2"/>
        </w:rPr>
        <w:t xml:space="preserve"> </w:t>
      </w:r>
      <w:r>
        <w:t>Assistant</w:t>
      </w:r>
      <w:r>
        <w:rPr>
          <w:spacing w:val="-3"/>
        </w:rPr>
        <w:t xml:space="preserve"> </w:t>
      </w:r>
      <w:r>
        <w:t>Secretary</w:t>
      </w:r>
      <w:r>
        <w:rPr>
          <w:spacing w:val="-3"/>
        </w:rPr>
        <w:t xml:space="preserve"> </w:t>
      </w:r>
      <w:r>
        <w:t xml:space="preserve">will generally seek to minimize the BEAD funding outlay on a particular project to extend the Program’s reach, and expects to grant waivers only in special circumstances, when waiver is necessary to advance objectives that are critical to the Program’s success. </w:t>
      </w:r>
      <w:r w:rsidR="007E01DA">
        <w:t>T</w:t>
      </w:r>
      <w:r>
        <w:t>o be considered for a waiver, an Eligible Entity must submit a request that describes the special circumstances underlying the request and explain</w:t>
      </w:r>
      <w:r w:rsidR="00127EC4">
        <w:t>s</w:t>
      </w:r>
      <w:r>
        <w:t xml:space="preserve"> how a waiver would serve the public interest and</w:t>
      </w:r>
      <w:r>
        <w:rPr>
          <w:spacing w:val="-1"/>
        </w:rPr>
        <w:t xml:space="preserve"> </w:t>
      </w:r>
      <w:r>
        <w:t>effectuate</w:t>
      </w:r>
      <w:r>
        <w:rPr>
          <w:spacing w:val="-2"/>
        </w:rPr>
        <w:t xml:space="preserve"> </w:t>
      </w:r>
      <w:r>
        <w:t>the</w:t>
      </w:r>
      <w:r>
        <w:rPr>
          <w:spacing w:val="-2"/>
        </w:rPr>
        <w:t xml:space="preserve"> </w:t>
      </w:r>
      <w:r>
        <w:t>purposes</w:t>
      </w:r>
      <w:r>
        <w:rPr>
          <w:spacing w:val="-1"/>
        </w:rPr>
        <w:t xml:space="preserve"> </w:t>
      </w:r>
      <w:r>
        <w:t>of</w:t>
      </w:r>
      <w:r>
        <w:rPr>
          <w:spacing w:val="-2"/>
        </w:rPr>
        <w:t xml:space="preserve"> </w:t>
      </w:r>
      <w:r>
        <w:t>the</w:t>
      </w:r>
      <w:r>
        <w:rPr>
          <w:spacing w:val="-2"/>
        </w:rPr>
        <w:t xml:space="preserve"> </w:t>
      </w:r>
      <w:r>
        <w:t>BEAD</w:t>
      </w:r>
      <w:r>
        <w:rPr>
          <w:spacing w:val="-2"/>
        </w:rPr>
        <w:t xml:space="preserve"> </w:t>
      </w:r>
      <w:r>
        <w:t>Program.</w:t>
      </w:r>
      <w:r>
        <w:rPr>
          <w:spacing w:val="-1"/>
        </w:rPr>
        <w:t xml:space="preserve"> </w:t>
      </w:r>
      <w:r>
        <w:t>The</w:t>
      </w:r>
      <w:r>
        <w:rPr>
          <w:spacing w:val="-2"/>
        </w:rPr>
        <w:t xml:space="preserve"> </w:t>
      </w:r>
      <w:r>
        <w:t>Assistant</w:t>
      </w:r>
      <w:r>
        <w:rPr>
          <w:spacing w:val="-1"/>
        </w:rPr>
        <w:t xml:space="preserve"> </w:t>
      </w:r>
      <w:r>
        <w:t>Secretary retains</w:t>
      </w:r>
      <w:r>
        <w:rPr>
          <w:spacing w:val="-1"/>
        </w:rPr>
        <w:t xml:space="preserve"> </w:t>
      </w:r>
      <w:r>
        <w:t>the</w:t>
      </w:r>
      <w:r>
        <w:rPr>
          <w:spacing w:val="-2"/>
        </w:rPr>
        <w:t xml:space="preserve"> </w:t>
      </w:r>
      <w:r>
        <w:t xml:space="preserve">discretion </w:t>
      </w:r>
      <w:bookmarkStart w:id="10" w:name="IV._Program_Structure,_Sequencing_and_Re"/>
      <w:bookmarkStart w:id="11" w:name="_bookmark37"/>
      <w:bookmarkEnd w:id="10"/>
      <w:bookmarkEnd w:id="11"/>
      <w:r>
        <w:t>to waive any amount of the match, including up to the full 25 percent requirement</w:t>
      </w:r>
      <w:r w:rsidR="006168A0">
        <w:t xml:space="preserve"> (NOFO: Section III.B.5)</w:t>
      </w:r>
      <w:r>
        <w:t>.</w:t>
      </w:r>
    </w:p>
    <w:p w14:paraId="29F1DFF1" w14:textId="77777777" w:rsidR="001B128C" w:rsidRDefault="001B128C" w:rsidP="001D7AB7">
      <w:pPr>
        <w:pStyle w:val="Heading1"/>
        <w:tabs>
          <w:tab w:val="left" w:pos="1540"/>
        </w:tabs>
        <w:spacing w:before="80"/>
        <w:ind w:left="360"/>
      </w:pPr>
    </w:p>
    <w:p w14:paraId="037037CE" w14:textId="6DDF489F" w:rsidR="006563B0" w:rsidRDefault="006563B0" w:rsidP="000B500E">
      <w:pPr>
        <w:pStyle w:val="Heading1"/>
        <w:numPr>
          <w:ilvl w:val="1"/>
          <w:numId w:val="5"/>
        </w:numPr>
        <w:tabs>
          <w:tab w:val="left" w:pos="1540"/>
        </w:tabs>
        <w:spacing w:before="80"/>
        <w:ind w:hanging="1080"/>
      </w:pPr>
      <w:r>
        <w:t>Level</w:t>
      </w:r>
      <w:r>
        <w:rPr>
          <w:spacing w:val="-1"/>
        </w:rPr>
        <w:t xml:space="preserve"> </w:t>
      </w:r>
      <w:r>
        <w:t>of</w:t>
      </w:r>
      <w:r>
        <w:rPr>
          <w:spacing w:val="-1"/>
        </w:rPr>
        <w:t xml:space="preserve"> </w:t>
      </w:r>
      <w:r>
        <w:rPr>
          <w:spacing w:val="-2"/>
        </w:rPr>
        <w:t>Effort</w:t>
      </w:r>
    </w:p>
    <w:p w14:paraId="031996FB" w14:textId="77777777" w:rsidR="006563B0" w:rsidRDefault="006563B0" w:rsidP="006563B0">
      <w:pPr>
        <w:pStyle w:val="BodyText"/>
        <w:spacing w:before="9"/>
        <w:rPr>
          <w:b/>
          <w:sz w:val="20"/>
        </w:rPr>
      </w:pPr>
    </w:p>
    <w:p w14:paraId="07C1D70E" w14:textId="77777777" w:rsidR="006563B0" w:rsidRDefault="006563B0" w:rsidP="006563B0">
      <w:pPr>
        <w:pStyle w:val="BodyText"/>
        <w:spacing w:before="1"/>
        <w:ind w:left="1540"/>
      </w:pPr>
      <w:r>
        <w:t xml:space="preserve">Not </w:t>
      </w:r>
      <w:r>
        <w:rPr>
          <w:spacing w:val="-2"/>
        </w:rPr>
        <w:t>Applicable</w:t>
      </w:r>
    </w:p>
    <w:p w14:paraId="3263EC96" w14:textId="77777777" w:rsidR="006563B0" w:rsidRDefault="006563B0" w:rsidP="006563B0">
      <w:pPr>
        <w:pStyle w:val="BodyText"/>
        <w:spacing w:before="9"/>
        <w:rPr>
          <w:sz w:val="20"/>
          <w:highlight w:val="yellow"/>
        </w:rPr>
      </w:pPr>
    </w:p>
    <w:p w14:paraId="3E77FF50" w14:textId="77777777" w:rsidR="006563B0" w:rsidRDefault="006563B0" w:rsidP="000B500E">
      <w:pPr>
        <w:pStyle w:val="Heading1"/>
        <w:numPr>
          <w:ilvl w:val="1"/>
          <w:numId w:val="5"/>
        </w:numPr>
        <w:tabs>
          <w:tab w:val="left" w:pos="1540"/>
        </w:tabs>
        <w:spacing w:before="1"/>
        <w:ind w:hanging="1080"/>
      </w:pPr>
      <w:r>
        <w:rPr>
          <w:spacing w:val="-2"/>
        </w:rPr>
        <w:t>Earmarking</w:t>
      </w:r>
    </w:p>
    <w:p w14:paraId="1C8A7FF0" w14:textId="77777777" w:rsidR="006563B0" w:rsidRDefault="006563B0" w:rsidP="006563B0">
      <w:pPr>
        <w:pStyle w:val="BodyText"/>
        <w:spacing w:before="9"/>
        <w:rPr>
          <w:b/>
          <w:sz w:val="20"/>
          <w:highlight w:val="yellow"/>
        </w:rPr>
      </w:pPr>
    </w:p>
    <w:p w14:paraId="06D61EE2" w14:textId="77777777" w:rsidR="00730E62" w:rsidRDefault="00730E62" w:rsidP="00730E62">
      <w:pPr>
        <w:pStyle w:val="BodyText"/>
        <w:spacing w:before="1"/>
        <w:ind w:left="1540"/>
      </w:pPr>
      <w:r>
        <w:t xml:space="preserve">Not </w:t>
      </w:r>
      <w:r>
        <w:rPr>
          <w:spacing w:val="-2"/>
        </w:rPr>
        <w:t>Applicable</w:t>
      </w:r>
    </w:p>
    <w:p w14:paraId="1E09AA83" w14:textId="77777777" w:rsidR="006563B0" w:rsidRDefault="006563B0" w:rsidP="006563B0">
      <w:pPr>
        <w:pStyle w:val="BodyText"/>
        <w:spacing w:before="9"/>
        <w:rPr>
          <w:sz w:val="20"/>
          <w:highlight w:val="yellow"/>
        </w:rPr>
      </w:pPr>
    </w:p>
    <w:p w14:paraId="0827FC04" w14:textId="77777777" w:rsidR="000F5B3D" w:rsidRPr="000F5B3D" w:rsidRDefault="006563B0" w:rsidP="000F5B3D">
      <w:pPr>
        <w:pStyle w:val="Heading1"/>
        <w:numPr>
          <w:ilvl w:val="0"/>
          <w:numId w:val="5"/>
        </w:numPr>
        <w:tabs>
          <w:tab w:val="left" w:pos="820"/>
        </w:tabs>
      </w:pPr>
      <w:r>
        <w:rPr>
          <w:spacing w:val="-2"/>
        </w:rPr>
        <w:t>Period of Performanc</w:t>
      </w:r>
      <w:r w:rsidR="000F5B3D">
        <w:rPr>
          <w:spacing w:val="-2"/>
        </w:rPr>
        <w:t>e</w:t>
      </w:r>
    </w:p>
    <w:p w14:paraId="53A2F08D" w14:textId="77777777" w:rsidR="00924BB9" w:rsidRPr="00924BB9" w:rsidRDefault="00924BB9" w:rsidP="00924BB9">
      <w:pPr>
        <w:pStyle w:val="Heading1"/>
        <w:tabs>
          <w:tab w:val="left" w:pos="820"/>
        </w:tabs>
        <w:ind w:left="1080"/>
        <w:rPr>
          <w:b w:val="0"/>
          <w:bCs w:val="0"/>
        </w:rPr>
      </w:pPr>
    </w:p>
    <w:p w14:paraId="7581BA30" w14:textId="6C2F2705" w:rsidR="004C0F0C" w:rsidRDefault="004C0F0C" w:rsidP="00E66421">
      <w:pPr>
        <w:pStyle w:val="Heading1"/>
        <w:tabs>
          <w:tab w:val="left" w:pos="820"/>
        </w:tabs>
        <w:ind w:left="360"/>
        <w:rPr>
          <w:b w:val="0"/>
          <w:bCs w:val="0"/>
        </w:rPr>
      </w:pPr>
      <w:r w:rsidRPr="004C0F0C">
        <w:rPr>
          <w:b w:val="0"/>
          <w:bCs w:val="0"/>
        </w:rPr>
        <w:t xml:space="preserve">The period of performance for the planning grants </w:t>
      </w:r>
      <w:r>
        <w:rPr>
          <w:b w:val="0"/>
          <w:bCs w:val="0"/>
        </w:rPr>
        <w:t>is</w:t>
      </w:r>
      <w:r w:rsidRPr="004C0F0C">
        <w:rPr>
          <w:b w:val="0"/>
          <w:bCs w:val="0"/>
        </w:rPr>
        <w:t xml:space="preserve"> 5 years from the date of award. Eligible Entities can spend initial planning funds over the 5-year period</w:t>
      </w:r>
      <w:r w:rsidR="006A76FD">
        <w:rPr>
          <w:b w:val="0"/>
          <w:bCs w:val="0"/>
        </w:rPr>
        <w:t xml:space="preserve"> (NOFO: Section </w:t>
      </w:r>
      <w:r w:rsidR="005A7363">
        <w:rPr>
          <w:b w:val="0"/>
          <w:bCs w:val="0"/>
        </w:rPr>
        <w:t>II.B</w:t>
      </w:r>
      <w:r>
        <w:t>.</w:t>
      </w:r>
    </w:p>
    <w:p w14:paraId="3F36449A" w14:textId="77777777" w:rsidR="004C0F0C" w:rsidRDefault="004C0F0C" w:rsidP="00E66421">
      <w:pPr>
        <w:pStyle w:val="Heading1"/>
        <w:tabs>
          <w:tab w:val="left" w:pos="820"/>
        </w:tabs>
        <w:ind w:left="360"/>
        <w:rPr>
          <w:b w:val="0"/>
          <w:bCs w:val="0"/>
        </w:rPr>
      </w:pPr>
    </w:p>
    <w:p w14:paraId="487248EF" w14:textId="207C5B26" w:rsidR="00E943AD" w:rsidRPr="00E943AD" w:rsidRDefault="00B34D21" w:rsidP="00E66421">
      <w:pPr>
        <w:pStyle w:val="Heading1"/>
        <w:tabs>
          <w:tab w:val="left" w:pos="820"/>
        </w:tabs>
        <w:ind w:left="360"/>
        <w:rPr>
          <w:b w:val="0"/>
          <w:bCs w:val="0"/>
        </w:rPr>
      </w:pPr>
      <w:r>
        <w:rPr>
          <w:b w:val="0"/>
          <w:bCs w:val="0"/>
        </w:rPr>
        <w:t xml:space="preserve">NTIA </w:t>
      </w:r>
      <w:r w:rsidR="00AB1491">
        <w:rPr>
          <w:b w:val="0"/>
          <w:bCs w:val="0"/>
        </w:rPr>
        <w:t xml:space="preserve">formally </w:t>
      </w:r>
      <w:r>
        <w:rPr>
          <w:b w:val="0"/>
          <w:bCs w:val="0"/>
        </w:rPr>
        <w:t xml:space="preserve">notified </w:t>
      </w:r>
      <w:r w:rsidR="000F5B3D" w:rsidRPr="00E943AD">
        <w:rPr>
          <w:b w:val="0"/>
          <w:bCs w:val="0"/>
        </w:rPr>
        <w:t xml:space="preserve">Eligible Entities </w:t>
      </w:r>
      <w:r w:rsidR="0078691E">
        <w:rPr>
          <w:b w:val="0"/>
          <w:bCs w:val="0"/>
        </w:rPr>
        <w:t xml:space="preserve">of </w:t>
      </w:r>
      <w:r w:rsidR="00C8362C">
        <w:rPr>
          <w:b w:val="0"/>
          <w:bCs w:val="0"/>
        </w:rPr>
        <w:t>their allocation amounts</w:t>
      </w:r>
      <w:r w:rsidR="00AB1491">
        <w:rPr>
          <w:b w:val="0"/>
          <w:bCs w:val="0"/>
        </w:rPr>
        <w:t xml:space="preserve"> on Ju</w:t>
      </w:r>
      <w:r w:rsidR="00FE36D9">
        <w:rPr>
          <w:b w:val="0"/>
          <w:bCs w:val="0"/>
        </w:rPr>
        <w:t>ne 30, 2023</w:t>
      </w:r>
      <w:r w:rsidR="00297260">
        <w:rPr>
          <w:b w:val="0"/>
          <w:bCs w:val="0"/>
        </w:rPr>
        <w:t xml:space="preserve"> </w:t>
      </w:r>
      <w:r w:rsidR="00C94234">
        <w:rPr>
          <w:b w:val="0"/>
          <w:bCs w:val="0"/>
        </w:rPr>
        <w:t>following the release of</w:t>
      </w:r>
      <w:r w:rsidR="000F5B3D" w:rsidRPr="00E943AD">
        <w:rPr>
          <w:b w:val="0"/>
          <w:bCs w:val="0"/>
        </w:rPr>
        <w:t xml:space="preserve"> the </w:t>
      </w:r>
      <w:r w:rsidR="00297260">
        <w:rPr>
          <w:b w:val="0"/>
          <w:bCs w:val="0"/>
        </w:rPr>
        <w:t xml:space="preserve">Federal Communications </w:t>
      </w:r>
      <w:r w:rsidR="000F5B3D" w:rsidRPr="00E943AD">
        <w:rPr>
          <w:b w:val="0"/>
          <w:bCs w:val="0"/>
        </w:rPr>
        <w:t>Commission’s Broadband DATA Maps. Eligible Entities’ Initial Proposals may be submitted immediately after Eligible Entities are formally notified of their formula allocations and will be due to NTIA no later than 180 days after that date</w:t>
      </w:r>
      <w:r w:rsidR="00C94234">
        <w:rPr>
          <w:b w:val="0"/>
          <w:bCs w:val="0"/>
        </w:rPr>
        <w:t>, or by December 27, 2023</w:t>
      </w:r>
      <w:r w:rsidR="00836D83">
        <w:rPr>
          <w:b w:val="0"/>
          <w:bCs w:val="0"/>
        </w:rPr>
        <w:t xml:space="preserve"> (</w:t>
      </w:r>
      <w:hyperlink r:id="rId16" w:history="1">
        <w:r w:rsidR="00796923" w:rsidRPr="004F5C69">
          <w:rPr>
            <w:rStyle w:val="Hyperlink"/>
            <w:b w:val="0"/>
            <w:bCs w:val="0"/>
          </w:rPr>
          <w:t>https://broadbandusa.ntia.gov/news/latest-news/biden-harris-administration-announces-state-allocations-4245-billion-high-speed</w:t>
        </w:r>
      </w:hyperlink>
      <w:r w:rsidR="00514DF8">
        <w:rPr>
          <w:b w:val="0"/>
          <w:bCs w:val="0"/>
        </w:rPr>
        <w:t>).</w:t>
      </w:r>
      <w:r w:rsidR="00836D83">
        <w:rPr>
          <w:b w:val="0"/>
          <w:bCs w:val="0"/>
        </w:rPr>
        <w:t xml:space="preserve"> </w:t>
      </w:r>
      <w:r w:rsidR="000F5B3D" w:rsidRPr="00E943AD">
        <w:rPr>
          <w:b w:val="0"/>
          <w:bCs w:val="0"/>
        </w:rPr>
        <w:t xml:space="preserve"> Final Proposals will be due to NTIA no later than 365 days after the approval of the Initial Proposal by the Assistant Secretary.</w:t>
      </w:r>
    </w:p>
    <w:p w14:paraId="683EAE73" w14:textId="77777777" w:rsidR="00E943AD" w:rsidRPr="00E943AD" w:rsidRDefault="00E943AD" w:rsidP="00E66421">
      <w:pPr>
        <w:pStyle w:val="Heading1"/>
        <w:tabs>
          <w:tab w:val="left" w:pos="820"/>
        </w:tabs>
        <w:ind w:left="360"/>
        <w:rPr>
          <w:b w:val="0"/>
          <w:bCs w:val="0"/>
        </w:rPr>
      </w:pPr>
    </w:p>
    <w:p w14:paraId="18D2C666" w14:textId="6607090D" w:rsidR="000F5B3D" w:rsidRPr="00E943AD" w:rsidRDefault="00FF2F95" w:rsidP="00E66421">
      <w:pPr>
        <w:pStyle w:val="Heading1"/>
        <w:tabs>
          <w:tab w:val="left" w:pos="820"/>
        </w:tabs>
        <w:ind w:left="360"/>
        <w:rPr>
          <w:b w:val="0"/>
          <w:bCs w:val="0"/>
        </w:rPr>
      </w:pPr>
      <w:r>
        <w:rPr>
          <w:b w:val="0"/>
          <w:bCs w:val="0"/>
        </w:rPr>
        <w:t>S</w:t>
      </w:r>
      <w:r w:rsidR="000F5B3D" w:rsidRPr="00E943AD">
        <w:rPr>
          <w:b w:val="0"/>
          <w:bCs w:val="0"/>
        </w:rPr>
        <w:t>ubgrantees that receive BEAD Program funds for network deployment must deploy the planned broadband network and begin providing services to each customer that desires broadband service within the project area not later than four years after the date on which the subgrantee receives the subgrant from the Eligible Entity</w:t>
      </w:r>
      <w:r w:rsidR="007E4527">
        <w:rPr>
          <w:b w:val="0"/>
          <w:bCs w:val="0"/>
        </w:rPr>
        <w:t xml:space="preserve"> (NOFO: Section</w:t>
      </w:r>
      <w:r w:rsidR="0038687C">
        <w:rPr>
          <w:b w:val="0"/>
          <w:bCs w:val="0"/>
        </w:rPr>
        <w:t xml:space="preserve"> II.B)</w:t>
      </w:r>
      <w:r w:rsidR="000F5B3D" w:rsidRPr="00E943AD">
        <w:rPr>
          <w:b w:val="0"/>
          <w:bCs w:val="0"/>
        </w:rPr>
        <w:t>.</w:t>
      </w:r>
    </w:p>
    <w:p w14:paraId="6911E476" w14:textId="77777777" w:rsidR="000F5B3D" w:rsidRPr="00E943AD" w:rsidRDefault="000F5B3D" w:rsidP="00E66421">
      <w:pPr>
        <w:pStyle w:val="Heading1"/>
        <w:tabs>
          <w:tab w:val="left" w:pos="820"/>
        </w:tabs>
        <w:ind w:left="360"/>
        <w:rPr>
          <w:b w:val="0"/>
          <w:bCs w:val="0"/>
        </w:rPr>
      </w:pPr>
    </w:p>
    <w:p w14:paraId="6E765F8D" w14:textId="41004D80" w:rsidR="000F5B3D" w:rsidRPr="0048560F" w:rsidRDefault="0048560F" w:rsidP="00E66421">
      <w:pPr>
        <w:pStyle w:val="Heading1"/>
        <w:tabs>
          <w:tab w:val="left" w:pos="820"/>
        </w:tabs>
        <w:ind w:left="360"/>
      </w:pPr>
      <w:r>
        <w:rPr>
          <w:b w:val="0"/>
          <w:bCs w:val="0"/>
        </w:rPr>
        <w:tab/>
      </w:r>
      <w:r w:rsidR="000F5B3D" w:rsidRPr="0048560F">
        <w:t>Extensions</w:t>
      </w:r>
    </w:p>
    <w:p w14:paraId="4E3C9883" w14:textId="77777777" w:rsidR="000F5B3D" w:rsidRPr="00E66421" w:rsidRDefault="000F5B3D" w:rsidP="00E66421">
      <w:pPr>
        <w:pStyle w:val="Heading1"/>
        <w:tabs>
          <w:tab w:val="left" w:pos="820"/>
        </w:tabs>
        <w:ind w:left="360"/>
        <w:rPr>
          <w:b w:val="0"/>
          <w:bCs w:val="0"/>
        </w:rPr>
      </w:pPr>
    </w:p>
    <w:p w14:paraId="05B3AFD6" w14:textId="77777777" w:rsidR="000F5B3D" w:rsidRPr="00E66421" w:rsidRDefault="000F5B3D" w:rsidP="00E66421">
      <w:pPr>
        <w:pStyle w:val="Heading1"/>
        <w:tabs>
          <w:tab w:val="left" w:pos="820"/>
        </w:tabs>
        <w:ind w:left="360"/>
        <w:rPr>
          <w:b w:val="0"/>
          <w:bCs w:val="0"/>
        </w:rPr>
      </w:pPr>
      <w:r w:rsidRPr="00E66421">
        <w:rPr>
          <w:b w:val="0"/>
          <w:bCs w:val="0"/>
        </w:rPr>
        <w:t>Extensions may be granted for both the Eligible Entity and subgrantees under the following circumstances:</w:t>
      </w:r>
    </w:p>
    <w:p w14:paraId="6557F9C9" w14:textId="77777777" w:rsidR="001E039C" w:rsidRDefault="001E039C" w:rsidP="001E039C">
      <w:pPr>
        <w:pStyle w:val="Heading1"/>
        <w:tabs>
          <w:tab w:val="left" w:pos="820"/>
        </w:tabs>
        <w:rPr>
          <w:b w:val="0"/>
          <w:bCs w:val="0"/>
        </w:rPr>
      </w:pPr>
    </w:p>
    <w:p w14:paraId="2C2037AB" w14:textId="77777777" w:rsidR="001E039C" w:rsidRDefault="001E039C" w:rsidP="001E039C">
      <w:pPr>
        <w:pStyle w:val="Heading1"/>
        <w:tabs>
          <w:tab w:val="left" w:pos="360"/>
        </w:tabs>
        <w:rPr>
          <w:b w:val="0"/>
          <w:bCs w:val="0"/>
        </w:rPr>
      </w:pPr>
      <w:r>
        <w:rPr>
          <w:b w:val="0"/>
          <w:bCs w:val="0"/>
        </w:rPr>
        <w:tab/>
      </w:r>
      <w:r w:rsidR="000F5B3D" w:rsidRPr="00E66421">
        <w:rPr>
          <w:b w:val="0"/>
          <w:bCs w:val="0"/>
        </w:rPr>
        <w:t>An Eligible Entity may extend the four-year network deployment deadline for subgrantees by</w:t>
      </w:r>
    </w:p>
    <w:p w14:paraId="5342C97D" w14:textId="7B12AE77" w:rsidR="000F5B3D" w:rsidRPr="00E66421" w:rsidRDefault="000F5B3D" w:rsidP="001E039C">
      <w:pPr>
        <w:pStyle w:val="Heading1"/>
        <w:tabs>
          <w:tab w:val="left" w:pos="360"/>
        </w:tabs>
        <w:ind w:left="360"/>
        <w:rPr>
          <w:b w:val="0"/>
          <w:bCs w:val="0"/>
        </w:rPr>
      </w:pPr>
      <w:r w:rsidRPr="00E66421">
        <w:rPr>
          <w:b w:val="0"/>
          <w:bCs w:val="0"/>
        </w:rPr>
        <w:t>not more than one year if: (1) the subgrantee has a specific plan for use of the grant funds, with</w:t>
      </w:r>
      <w:r w:rsidR="001E039C">
        <w:rPr>
          <w:b w:val="0"/>
          <w:bCs w:val="0"/>
        </w:rPr>
        <w:t xml:space="preserve"> </w:t>
      </w:r>
      <w:r w:rsidRPr="00E66421">
        <w:rPr>
          <w:b w:val="0"/>
          <w:bCs w:val="0"/>
        </w:rPr>
        <w:t xml:space="preserve">project completion expected by a specific date not more than one year after the four-year </w:t>
      </w:r>
      <w:r w:rsidRPr="00E66421">
        <w:rPr>
          <w:b w:val="0"/>
          <w:bCs w:val="0"/>
        </w:rPr>
        <w:lastRenderedPageBreak/>
        <w:t>deadline; (2) the construction project is underway; or (3) extenuating circumstances require an extension of time to allow the project to be completed.</w:t>
      </w:r>
    </w:p>
    <w:p w14:paraId="4A8554B2" w14:textId="77777777" w:rsidR="001E039C" w:rsidRDefault="001E039C" w:rsidP="001E039C">
      <w:pPr>
        <w:pStyle w:val="Heading1"/>
        <w:tabs>
          <w:tab w:val="left" w:pos="820"/>
        </w:tabs>
        <w:rPr>
          <w:b w:val="0"/>
          <w:bCs w:val="0"/>
        </w:rPr>
      </w:pPr>
    </w:p>
    <w:p w14:paraId="4BD2ABCA" w14:textId="6834DBF4" w:rsidR="000F5B3D" w:rsidRPr="00E66421" w:rsidRDefault="000F5B3D" w:rsidP="001E039C">
      <w:pPr>
        <w:pStyle w:val="Heading1"/>
        <w:tabs>
          <w:tab w:val="left" w:pos="360"/>
          <w:tab w:val="left" w:pos="820"/>
        </w:tabs>
        <w:ind w:left="360"/>
        <w:rPr>
          <w:b w:val="0"/>
          <w:bCs w:val="0"/>
        </w:rPr>
      </w:pPr>
      <w:r w:rsidRPr="00E66421">
        <w:rPr>
          <w:b w:val="0"/>
          <w:bCs w:val="0"/>
        </w:rPr>
        <w:t>Extensions for Eligible Entities for any part of the process may be granted at the sol</w:t>
      </w:r>
      <w:r w:rsidR="001E039C">
        <w:rPr>
          <w:b w:val="0"/>
          <w:bCs w:val="0"/>
        </w:rPr>
        <w:t xml:space="preserve">id </w:t>
      </w:r>
      <w:r w:rsidRPr="00E66421">
        <w:rPr>
          <w:b w:val="0"/>
          <w:bCs w:val="0"/>
        </w:rPr>
        <w:t>discretion of the Assistant Secretary when extenuating circumstances demonstrate that additional time will support the overall goals of the BEAD Program</w:t>
      </w:r>
      <w:r w:rsidR="00355646">
        <w:rPr>
          <w:b w:val="0"/>
          <w:bCs w:val="0"/>
        </w:rPr>
        <w:t xml:space="preserve"> (NOFO: Section II.B.1)</w:t>
      </w:r>
      <w:r w:rsidRPr="00E66421">
        <w:rPr>
          <w:b w:val="0"/>
          <w:bCs w:val="0"/>
        </w:rPr>
        <w:t>.</w:t>
      </w:r>
    </w:p>
    <w:p w14:paraId="6C154E54" w14:textId="77777777" w:rsidR="000F5B3D" w:rsidRPr="00E66421" w:rsidRDefault="000F5B3D" w:rsidP="00E66421">
      <w:pPr>
        <w:pStyle w:val="Heading1"/>
        <w:tabs>
          <w:tab w:val="left" w:pos="820"/>
        </w:tabs>
        <w:ind w:left="360"/>
        <w:rPr>
          <w:b w:val="0"/>
          <w:bCs w:val="0"/>
        </w:rPr>
      </w:pPr>
    </w:p>
    <w:p w14:paraId="086AE694" w14:textId="33E86B8B" w:rsidR="000F5B3D" w:rsidRPr="00F12114" w:rsidRDefault="00F12114" w:rsidP="00E66421">
      <w:pPr>
        <w:pStyle w:val="Heading1"/>
        <w:tabs>
          <w:tab w:val="left" w:pos="820"/>
        </w:tabs>
        <w:ind w:left="360"/>
      </w:pPr>
      <w:r>
        <w:rPr>
          <w:b w:val="0"/>
          <w:bCs w:val="0"/>
        </w:rPr>
        <w:tab/>
      </w:r>
      <w:r w:rsidR="000F5B3D" w:rsidRPr="00F12114">
        <w:t>Petition for Extension</w:t>
      </w:r>
    </w:p>
    <w:p w14:paraId="081C6B33" w14:textId="77777777" w:rsidR="000F5B3D" w:rsidRPr="00E66421" w:rsidRDefault="000F5B3D" w:rsidP="00E66421">
      <w:pPr>
        <w:pStyle w:val="Heading1"/>
        <w:tabs>
          <w:tab w:val="left" w:pos="820"/>
        </w:tabs>
        <w:ind w:left="360"/>
        <w:rPr>
          <w:b w:val="0"/>
          <w:bCs w:val="0"/>
        </w:rPr>
      </w:pPr>
    </w:p>
    <w:p w14:paraId="4549362E" w14:textId="77777777" w:rsidR="000F5B3D" w:rsidRPr="00E66421" w:rsidRDefault="000F5B3D" w:rsidP="00E66421">
      <w:pPr>
        <w:pStyle w:val="Heading1"/>
        <w:tabs>
          <w:tab w:val="left" w:pos="820"/>
        </w:tabs>
        <w:ind w:left="360"/>
        <w:rPr>
          <w:b w:val="0"/>
          <w:bCs w:val="0"/>
        </w:rPr>
      </w:pPr>
      <w:r w:rsidRPr="00E66421">
        <w:rPr>
          <w:b w:val="0"/>
          <w:bCs w:val="0"/>
        </w:rPr>
        <w:t>Each Eligible Entity must develop a process by which subgrantees may request extensions and provide documentation about the qualifying circumstance that warrants the extension.</w:t>
      </w:r>
    </w:p>
    <w:p w14:paraId="24B05476" w14:textId="77777777" w:rsidR="000F5B3D" w:rsidRPr="00E66421" w:rsidRDefault="000F5B3D" w:rsidP="00E66421">
      <w:pPr>
        <w:pStyle w:val="Heading1"/>
        <w:tabs>
          <w:tab w:val="left" w:pos="820"/>
        </w:tabs>
        <w:ind w:left="360"/>
        <w:rPr>
          <w:b w:val="0"/>
          <w:bCs w:val="0"/>
        </w:rPr>
      </w:pPr>
    </w:p>
    <w:p w14:paraId="182F7469" w14:textId="065F486C" w:rsidR="00444201" w:rsidRDefault="000F5B3D" w:rsidP="00E66421">
      <w:pPr>
        <w:pStyle w:val="Heading1"/>
        <w:tabs>
          <w:tab w:val="left" w:pos="820"/>
        </w:tabs>
        <w:ind w:left="360"/>
        <w:rPr>
          <w:b w:val="0"/>
          <w:bCs w:val="0"/>
        </w:rPr>
      </w:pPr>
      <w:r w:rsidRPr="00E66421">
        <w:rPr>
          <w:b w:val="0"/>
          <w:bCs w:val="0"/>
        </w:rPr>
        <w:t>If an Eligible Entity is seeking an extension for any part of the process with respect to which the Infrastructure Act does not authorize the Eligible Entity itself to grant such extension, it shall make a request in writing to NTIA and explain the need for such an extension. Such requests will then be evaluated by the Assistant Secretary based on the text of the Infrastructure Act and the goals of the BEAD Program</w:t>
      </w:r>
      <w:r w:rsidR="00C82698">
        <w:rPr>
          <w:b w:val="0"/>
          <w:bCs w:val="0"/>
        </w:rPr>
        <w:t xml:space="preserve"> (NOFO: Section II.B.2)</w:t>
      </w:r>
      <w:r w:rsidRPr="00E66421">
        <w:rPr>
          <w:b w:val="0"/>
          <w:bCs w:val="0"/>
        </w:rPr>
        <w:t>.</w:t>
      </w:r>
    </w:p>
    <w:p w14:paraId="529B1183" w14:textId="77777777" w:rsidR="00D53CD2" w:rsidRDefault="00D53CD2" w:rsidP="00E66421">
      <w:pPr>
        <w:pStyle w:val="Heading1"/>
        <w:tabs>
          <w:tab w:val="left" w:pos="820"/>
        </w:tabs>
        <w:ind w:left="360"/>
        <w:rPr>
          <w:b w:val="0"/>
          <w:bCs w:val="0"/>
        </w:rPr>
      </w:pPr>
    </w:p>
    <w:p w14:paraId="7CED399B" w14:textId="5240E4C3" w:rsidR="00D53CD2" w:rsidRPr="00F921C7" w:rsidRDefault="00D53CD2" w:rsidP="00D53CD2">
      <w:pPr>
        <w:pStyle w:val="Heading1"/>
        <w:tabs>
          <w:tab w:val="left" w:pos="820"/>
        </w:tabs>
        <w:ind w:left="360"/>
      </w:pPr>
      <w:bookmarkStart w:id="12" w:name="_Hlk151555090"/>
      <w:r w:rsidRPr="00F921C7">
        <w:t>I.</w:t>
      </w:r>
      <w:r w:rsidRPr="00F921C7">
        <w:tab/>
        <w:t xml:space="preserve"> Procurement and Suspension and Debarment</w:t>
      </w:r>
    </w:p>
    <w:p w14:paraId="33C7F296" w14:textId="77777777" w:rsidR="00D53CD2" w:rsidRPr="00D53CD2" w:rsidRDefault="00D53CD2" w:rsidP="00D53CD2">
      <w:pPr>
        <w:pStyle w:val="Heading1"/>
        <w:tabs>
          <w:tab w:val="left" w:pos="820"/>
        </w:tabs>
        <w:ind w:left="360"/>
        <w:rPr>
          <w:b w:val="0"/>
          <w:bCs w:val="0"/>
        </w:rPr>
      </w:pPr>
    </w:p>
    <w:p w14:paraId="2B343A3B" w14:textId="17128D3F" w:rsidR="00D53CD2" w:rsidRDefault="00D53CD2" w:rsidP="00E66421">
      <w:pPr>
        <w:pStyle w:val="Heading1"/>
        <w:tabs>
          <w:tab w:val="left" w:pos="820"/>
        </w:tabs>
        <w:ind w:left="360"/>
        <w:rPr>
          <w:b w:val="0"/>
          <w:bCs w:val="0"/>
        </w:rPr>
      </w:pPr>
      <w:r w:rsidRPr="00D53CD2">
        <w:rPr>
          <w:b w:val="0"/>
          <w:bCs w:val="0"/>
        </w:rPr>
        <w:t xml:space="preserve">All funds made available through the BEAD Program for broadband infrastructure must comply with the Build America, Buy America Act. The Build America, Buy America Act requires that </w:t>
      </w:r>
      <w:r w:rsidR="009E115D" w:rsidRPr="00D53CD2">
        <w:rPr>
          <w:b w:val="0"/>
          <w:bCs w:val="0"/>
        </w:rPr>
        <w:t>all</w:t>
      </w:r>
      <w:r w:rsidRPr="00D53CD2">
        <w:rPr>
          <w:b w:val="0"/>
          <w:bCs w:val="0"/>
        </w:rPr>
        <w:t xml:space="preserve"> the iron, steel, manufactured products (including but not limited to fiber-optic communications facilities), and construction materials used in the project or other eligible activities are produced in the United States unless a waiver is granted. Under the Build America, Buy America Act and the Buy America Guidance issued by the Office of Management and Budget on April 18, 2022, the Secretary of Commerce (Secretary) may waive the application of this preference when (1) applying the domestic content procurement preference would be inconsistent with the public interest; (2) types of iron, steel, manufactured products, or construction materials are not produced in the United States in sufficient and reasonably available quantities or of a satisfactory quality; or (3) the inclusion of iron, steel, manufactured products, or construction materials produced in the United States will increase the cost of the overall project or other eligible activities by more than 25 percent. Consistent with the waiver principles detailed in Section 70921(b)(1) of the Build America, Buy America Act and the Buy America Guidance, the Secretary will seek to minimize waivers, and any waivers will be limited in duration and scope.  On August 22, 2023, the Department of Commerce published a notice seeking public comment by September 21, </w:t>
      </w:r>
      <w:r w:rsidR="009E115D" w:rsidRPr="00D53CD2">
        <w:rPr>
          <w:b w:val="0"/>
          <w:bCs w:val="0"/>
        </w:rPr>
        <w:t>2023,</w:t>
      </w:r>
      <w:r w:rsidRPr="00D53CD2">
        <w:rPr>
          <w:b w:val="0"/>
          <w:bCs w:val="0"/>
        </w:rPr>
        <w:t xml:space="preserve"> on its proposal to issue a limited, general applicability nonavailability Build America, Buy America waiver for the BEAD program (https://broadbandusa.ntia.gov/funding-programs/broadband-equity-access-and-deployment-bead-program/BEAD-BABA-RFC. NTIA is currently evaluating the comments received in response to its notice. The proposed waiver will, if granted, be effective for BEAD program awards obligated after the effective date of the final waiver for a period of five years. NTIA will work with the Made </w:t>
      </w:r>
      <w:r w:rsidR="009E115D">
        <w:rPr>
          <w:b w:val="0"/>
          <w:bCs w:val="0"/>
        </w:rPr>
        <w:t>i</w:t>
      </w:r>
      <w:r w:rsidRPr="00D53CD2">
        <w:rPr>
          <w:b w:val="0"/>
          <w:bCs w:val="0"/>
        </w:rPr>
        <w:t xml:space="preserve">n America Office for a final determination on its waiver request (NOFO: Section VII.D.6).   </w:t>
      </w:r>
    </w:p>
    <w:bookmarkEnd w:id="12"/>
    <w:p w14:paraId="24D5A035" w14:textId="77777777" w:rsidR="00F12114" w:rsidRPr="00E66421" w:rsidRDefault="00F12114" w:rsidP="00D26FD0">
      <w:pPr>
        <w:pStyle w:val="Heading1"/>
        <w:tabs>
          <w:tab w:val="left" w:pos="820"/>
        </w:tabs>
        <w:ind w:left="360"/>
        <w:rPr>
          <w:b w:val="0"/>
          <w:bCs w:val="0"/>
        </w:rPr>
      </w:pPr>
    </w:p>
    <w:p w14:paraId="03963836" w14:textId="0E8F3297" w:rsidR="0088754D" w:rsidRDefault="006563B0" w:rsidP="00536E7F">
      <w:pPr>
        <w:pStyle w:val="Heading1"/>
        <w:numPr>
          <w:ilvl w:val="0"/>
          <w:numId w:val="36"/>
        </w:numPr>
        <w:tabs>
          <w:tab w:val="left" w:pos="820"/>
        </w:tabs>
      </w:pPr>
      <w:r>
        <w:rPr>
          <w:spacing w:val="-2"/>
        </w:rPr>
        <w:t>Reporting</w:t>
      </w:r>
    </w:p>
    <w:p w14:paraId="2C2F187D" w14:textId="77777777" w:rsidR="00763F88" w:rsidRDefault="00763F88" w:rsidP="00763F88">
      <w:pPr>
        <w:pStyle w:val="Heading1"/>
        <w:tabs>
          <w:tab w:val="left" w:pos="820"/>
        </w:tabs>
      </w:pPr>
    </w:p>
    <w:p w14:paraId="641D552F" w14:textId="77777777" w:rsidR="00FC6AAB" w:rsidRDefault="00FC6AAB" w:rsidP="00FC6AAB">
      <w:pPr>
        <w:pStyle w:val="BodyText"/>
        <w:ind w:left="360" w:right="122"/>
      </w:pPr>
      <w:r w:rsidRPr="004D0655">
        <w:t>The</w:t>
      </w:r>
      <w:r w:rsidRPr="004D0655">
        <w:rPr>
          <w:spacing w:val="-6"/>
        </w:rPr>
        <w:t xml:space="preserve"> </w:t>
      </w:r>
      <w:r w:rsidRPr="004D0655">
        <w:t>following</w:t>
      </w:r>
      <w:r w:rsidRPr="004D0655">
        <w:rPr>
          <w:spacing w:val="-5"/>
        </w:rPr>
        <w:t xml:space="preserve"> </w:t>
      </w:r>
      <w:r w:rsidRPr="004D0655">
        <w:t>reporting</w:t>
      </w:r>
      <w:r w:rsidRPr="004D0655">
        <w:rPr>
          <w:spacing w:val="-5"/>
        </w:rPr>
        <w:t xml:space="preserve"> </w:t>
      </w:r>
      <w:r w:rsidRPr="004D0655">
        <w:t>requirements</w:t>
      </w:r>
      <w:r w:rsidRPr="004D0655">
        <w:rPr>
          <w:spacing w:val="-6"/>
        </w:rPr>
        <w:t xml:space="preserve"> </w:t>
      </w:r>
      <w:r w:rsidRPr="004D0655">
        <w:t>described</w:t>
      </w:r>
      <w:r w:rsidRPr="004D0655">
        <w:rPr>
          <w:spacing w:val="-5"/>
        </w:rPr>
        <w:t xml:space="preserve"> </w:t>
      </w:r>
      <w:r w:rsidRPr="004D0655">
        <w:t>in</w:t>
      </w:r>
      <w:r w:rsidRPr="004D0655">
        <w:rPr>
          <w:spacing w:val="-3"/>
        </w:rPr>
        <w:t xml:space="preserve"> </w:t>
      </w:r>
      <w:r w:rsidRPr="004D0655">
        <w:t>Section</w:t>
      </w:r>
      <w:r w:rsidRPr="004D0655">
        <w:rPr>
          <w:spacing w:val="-5"/>
        </w:rPr>
        <w:t xml:space="preserve"> </w:t>
      </w:r>
      <w:r w:rsidRPr="004D0655">
        <w:t>A.01</w:t>
      </w:r>
      <w:r w:rsidRPr="004D0655">
        <w:rPr>
          <w:spacing w:val="-4"/>
        </w:rPr>
        <w:t xml:space="preserve"> </w:t>
      </w:r>
      <w:r w:rsidRPr="004D0655">
        <w:t>Reporting</w:t>
      </w:r>
      <w:r w:rsidRPr="004D0655">
        <w:rPr>
          <w:spacing w:val="-5"/>
        </w:rPr>
        <w:t xml:space="preserve"> </w:t>
      </w:r>
      <w:r w:rsidRPr="004D0655">
        <w:t xml:space="preserve">Requirements of the Department of Commerce Financial Assistance Standard Terms and Conditions, apply to </w:t>
      </w:r>
      <w:r w:rsidRPr="004D0655">
        <w:lastRenderedPageBreak/>
        <w:t>awards in this program.</w:t>
      </w:r>
    </w:p>
    <w:p w14:paraId="4BC5F0AE" w14:textId="77777777" w:rsidR="00887DC4" w:rsidRDefault="00887DC4" w:rsidP="00F921C7">
      <w:pPr>
        <w:pStyle w:val="BodyText"/>
        <w:ind w:left="360" w:right="122"/>
      </w:pPr>
    </w:p>
    <w:p w14:paraId="4AD37D22" w14:textId="77777777" w:rsidR="00F15DF8" w:rsidRPr="00F15DF8" w:rsidRDefault="00F15DF8" w:rsidP="00F921C7">
      <w:pPr>
        <w:numPr>
          <w:ilvl w:val="0"/>
          <w:numId w:val="21"/>
        </w:numPr>
        <w:tabs>
          <w:tab w:val="left" w:pos="1080"/>
        </w:tabs>
        <w:ind w:left="1540" w:hanging="1180"/>
        <w:outlineLvl w:val="0"/>
        <w:rPr>
          <w:b/>
          <w:bCs/>
          <w:sz w:val="24"/>
          <w:szCs w:val="24"/>
        </w:rPr>
      </w:pPr>
      <w:r w:rsidRPr="00F15DF8">
        <w:rPr>
          <w:b/>
          <w:bCs/>
          <w:sz w:val="24"/>
          <w:szCs w:val="24"/>
        </w:rPr>
        <w:t>Financial Reporting</w:t>
      </w:r>
      <w:bookmarkStart w:id="13" w:name="_Hlk145582749"/>
    </w:p>
    <w:p w14:paraId="2E746276" w14:textId="77777777" w:rsidR="00F15DF8" w:rsidRPr="00F15DF8" w:rsidRDefault="00F15DF8" w:rsidP="00F15DF8">
      <w:pPr>
        <w:tabs>
          <w:tab w:val="left" w:pos="1540"/>
        </w:tabs>
        <w:ind w:left="1540"/>
        <w:outlineLvl w:val="0"/>
        <w:rPr>
          <w:b/>
          <w:bCs/>
          <w:sz w:val="24"/>
          <w:szCs w:val="24"/>
        </w:rPr>
      </w:pPr>
    </w:p>
    <w:bookmarkEnd w:id="13"/>
    <w:p w14:paraId="41F20BEE" w14:textId="77777777" w:rsidR="00F15DF8" w:rsidRPr="00F15DF8" w:rsidRDefault="00F15DF8" w:rsidP="00F921C7">
      <w:pPr>
        <w:numPr>
          <w:ilvl w:val="0"/>
          <w:numId w:val="13"/>
        </w:numPr>
        <w:tabs>
          <w:tab w:val="left" w:pos="1540"/>
        </w:tabs>
        <w:ind w:left="3240" w:right="400" w:hanging="2160"/>
        <w:outlineLvl w:val="0"/>
        <w:rPr>
          <w:i/>
          <w:iCs/>
          <w:sz w:val="24"/>
          <w:szCs w:val="24"/>
        </w:rPr>
      </w:pPr>
      <w:r w:rsidRPr="00F15DF8">
        <w:rPr>
          <w:i/>
          <w:iCs/>
          <w:sz w:val="24"/>
          <w:szCs w:val="24"/>
        </w:rPr>
        <w:t xml:space="preserve">SF-270, Request for Advance or Reimbursement – </w:t>
      </w:r>
      <w:r w:rsidRPr="00F15DF8">
        <w:rPr>
          <w:sz w:val="24"/>
          <w:szCs w:val="24"/>
        </w:rPr>
        <w:t>Not Applicable</w:t>
      </w:r>
    </w:p>
    <w:p w14:paraId="7DC072BD" w14:textId="77777777" w:rsidR="00F15DF8" w:rsidRPr="00F15DF8" w:rsidRDefault="00F15DF8" w:rsidP="00F921C7">
      <w:pPr>
        <w:tabs>
          <w:tab w:val="left" w:pos="1540"/>
        </w:tabs>
        <w:ind w:left="3240" w:right="1140" w:hanging="1180"/>
        <w:outlineLvl w:val="0"/>
        <w:rPr>
          <w:i/>
          <w:iCs/>
          <w:sz w:val="24"/>
          <w:szCs w:val="24"/>
        </w:rPr>
      </w:pPr>
    </w:p>
    <w:p w14:paraId="5AFEAF39" w14:textId="77777777" w:rsidR="00F15DF8" w:rsidRPr="00F15DF8" w:rsidRDefault="00F15DF8" w:rsidP="00F921C7">
      <w:pPr>
        <w:numPr>
          <w:ilvl w:val="0"/>
          <w:numId w:val="13"/>
        </w:numPr>
        <w:tabs>
          <w:tab w:val="left" w:pos="1540"/>
          <w:tab w:val="left" w:pos="8440"/>
        </w:tabs>
        <w:ind w:left="3240" w:right="1140" w:hanging="2160"/>
        <w:outlineLvl w:val="0"/>
        <w:rPr>
          <w:i/>
          <w:iCs/>
          <w:sz w:val="24"/>
          <w:szCs w:val="24"/>
        </w:rPr>
      </w:pPr>
      <w:r w:rsidRPr="00F15DF8">
        <w:rPr>
          <w:i/>
          <w:iCs/>
          <w:sz w:val="24"/>
          <w:szCs w:val="24"/>
        </w:rPr>
        <w:t xml:space="preserve">SF-271, Outlay Report and Request for Reimbursement for Construction Program – </w:t>
      </w:r>
      <w:r w:rsidRPr="00F15DF8">
        <w:rPr>
          <w:sz w:val="24"/>
          <w:szCs w:val="24"/>
        </w:rPr>
        <w:t>Not Applicable</w:t>
      </w:r>
    </w:p>
    <w:p w14:paraId="77951391" w14:textId="77777777" w:rsidR="00F15DF8" w:rsidRPr="00F15DF8" w:rsidRDefault="00F15DF8" w:rsidP="00F921C7">
      <w:pPr>
        <w:ind w:left="3240"/>
        <w:rPr>
          <w:i/>
        </w:rPr>
      </w:pPr>
    </w:p>
    <w:p w14:paraId="2D1C972A" w14:textId="77777777" w:rsidR="00F15DF8" w:rsidRPr="00F15DF8" w:rsidRDefault="00F15DF8" w:rsidP="00F921C7">
      <w:pPr>
        <w:numPr>
          <w:ilvl w:val="0"/>
          <w:numId w:val="13"/>
        </w:numPr>
        <w:tabs>
          <w:tab w:val="left" w:pos="1540"/>
        </w:tabs>
        <w:ind w:left="3240" w:right="1140" w:hanging="2160"/>
        <w:outlineLvl w:val="0"/>
        <w:rPr>
          <w:i/>
          <w:iCs/>
          <w:sz w:val="24"/>
          <w:szCs w:val="24"/>
        </w:rPr>
      </w:pPr>
      <w:r w:rsidRPr="00F15DF8">
        <w:rPr>
          <w:i/>
          <w:sz w:val="24"/>
          <w:szCs w:val="24"/>
        </w:rPr>
        <w:t>SF-425,</w:t>
      </w:r>
      <w:r w:rsidRPr="00F15DF8">
        <w:rPr>
          <w:i/>
          <w:spacing w:val="-1"/>
          <w:sz w:val="24"/>
          <w:szCs w:val="24"/>
        </w:rPr>
        <w:t xml:space="preserve"> </w:t>
      </w:r>
      <w:r w:rsidRPr="00F15DF8">
        <w:rPr>
          <w:i/>
          <w:sz w:val="24"/>
          <w:szCs w:val="24"/>
        </w:rPr>
        <w:t>Federal</w:t>
      </w:r>
      <w:r w:rsidRPr="00F15DF8">
        <w:rPr>
          <w:i/>
          <w:spacing w:val="-1"/>
          <w:sz w:val="24"/>
          <w:szCs w:val="24"/>
        </w:rPr>
        <w:t xml:space="preserve"> </w:t>
      </w:r>
      <w:r w:rsidRPr="00F15DF8">
        <w:rPr>
          <w:i/>
          <w:sz w:val="24"/>
          <w:szCs w:val="24"/>
        </w:rPr>
        <w:t>Financial</w:t>
      </w:r>
      <w:r w:rsidRPr="00F15DF8">
        <w:rPr>
          <w:i/>
          <w:spacing w:val="-1"/>
          <w:sz w:val="24"/>
          <w:szCs w:val="24"/>
        </w:rPr>
        <w:t xml:space="preserve"> </w:t>
      </w:r>
      <w:r w:rsidRPr="00F15DF8">
        <w:rPr>
          <w:i/>
          <w:sz w:val="24"/>
          <w:szCs w:val="24"/>
        </w:rPr>
        <w:t xml:space="preserve">Report </w:t>
      </w:r>
      <w:r w:rsidRPr="00F15DF8">
        <w:rPr>
          <w:sz w:val="24"/>
          <w:szCs w:val="24"/>
        </w:rPr>
        <w:t>–</w:t>
      </w:r>
      <w:r w:rsidRPr="00F15DF8">
        <w:rPr>
          <w:spacing w:val="-1"/>
          <w:sz w:val="24"/>
          <w:szCs w:val="24"/>
        </w:rPr>
        <w:t xml:space="preserve"> </w:t>
      </w:r>
      <w:r w:rsidRPr="00F15DF8">
        <w:rPr>
          <w:spacing w:val="-2"/>
          <w:sz w:val="24"/>
          <w:szCs w:val="24"/>
        </w:rPr>
        <w:t>Applicable</w:t>
      </w:r>
    </w:p>
    <w:p w14:paraId="3CDFF8E7" w14:textId="77777777" w:rsidR="00F15DF8" w:rsidRPr="00F15DF8" w:rsidRDefault="00F15DF8" w:rsidP="00F921C7">
      <w:pPr>
        <w:spacing w:before="9"/>
        <w:ind w:left="3240" w:hanging="1180"/>
        <w:rPr>
          <w:sz w:val="20"/>
          <w:szCs w:val="24"/>
          <w:highlight w:val="yellow"/>
        </w:rPr>
      </w:pPr>
    </w:p>
    <w:p w14:paraId="775C9D2B" w14:textId="77777777" w:rsidR="00F15DF8" w:rsidRPr="00F15DF8" w:rsidRDefault="00F15DF8" w:rsidP="00F921C7">
      <w:pPr>
        <w:spacing w:before="1"/>
        <w:ind w:left="2070" w:right="141" w:hanging="10"/>
        <w:rPr>
          <w:sz w:val="24"/>
          <w:szCs w:val="24"/>
        </w:rPr>
      </w:pPr>
      <w:r w:rsidRPr="00F15DF8">
        <w:rPr>
          <w:sz w:val="24"/>
          <w:szCs w:val="24"/>
        </w:rPr>
        <w:t>Each award recipient will be required to submit an SF-425, Federal Financial Report on a semi-annual basis for the periods ending March 31 and September 30 of each year. Reports will be due within 30 days after the end of the reporting period to the NTIA Federal Program Officer, Grants Officer and Grants Specialist named in the award documents. A final financial report is due within 120 days after the end of the project period.</w:t>
      </w:r>
    </w:p>
    <w:p w14:paraId="6536F127" w14:textId="77777777" w:rsidR="005D5C97" w:rsidRDefault="005D5C97" w:rsidP="00900415">
      <w:pPr>
        <w:pStyle w:val="Heading1"/>
        <w:tabs>
          <w:tab w:val="left" w:pos="360"/>
        </w:tabs>
        <w:rPr>
          <w:b w:val="0"/>
          <w:bCs w:val="0"/>
        </w:rPr>
      </w:pPr>
    </w:p>
    <w:p w14:paraId="432590D6" w14:textId="77777777" w:rsidR="00D843E2" w:rsidRPr="00D843E2" w:rsidRDefault="00D843E2" w:rsidP="00F921C7">
      <w:pPr>
        <w:numPr>
          <w:ilvl w:val="0"/>
          <w:numId w:val="21"/>
        </w:numPr>
        <w:tabs>
          <w:tab w:val="left" w:pos="990"/>
        </w:tabs>
        <w:ind w:left="1540" w:hanging="1180"/>
        <w:outlineLvl w:val="0"/>
        <w:rPr>
          <w:b/>
          <w:bCs/>
          <w:sz w:val="24"/>
          <w:szCs w:val="24"/>
        </w:rPr>
      </w:pPr>
      <w:commentRangeStart w:id="14"/>
      <w:commentRangeStart w:id="15"/>
      <w:r w:rsidRPr="00D843E2">
        <w:rPr>
          <w:b/>
          <w:bCs/>
          <w:sz w:val="24"/>
          <w:szCs w:val="24"/>
        </w:rPr>
        <w:t>Performance Reporting</w:t>
      </w:r>
      <w:commentRangeEnd w:id="14"/>
      <w:r w:rsidRPr="00D843E2">
        <w:rPr>
          <w:sz w:val="16"/>
          <w:szCs w:val="16"/>
        </w:rPr>
        <w:commentReference w:id="14"/>
      </w:r>
      <w:commentRangeEnd w:id="15"/>
      <w:r w:rsidR="009A2A7C">
        <w:rPr>
          <w:rStyle w:val="CommentReference"/>
        </w:rPr>
        <w:commentReference w:id="15"/>
      </w:r>
    </w:p>
    <w:p w14:paraId="13322D59" w14:textId="77777777" w:rsidR="00D843E2" w:rsidRPr="00D843E2" w:rsidRDefault="00D843E2" w:rsidP="00F921C7">
      <w:pPr>
        <w:spacing w:before="1"/>
        <w:ind w:left="360" w:right="141"/>
        <w:rPr>
          <w:sz w:val="24"/>
          <w:szCs w:val="24"/>
        </w:rPr>
      </w:pPr>
    </w:p>
    <w:p w14:paraId="07026D60" w14:textId="55762D4A" w:rsidR="00D843E2" w:rsidRPr="00B00DF0" w:rsidRDefault="009A2A7C" w:rsidP="009A2A7C">
      <w:pPr>
        <w:spacing w:before="1"/>
        <w:ind w:right="141" w:firstLine="990"/>
        <w:rPr>
          <w:sz w:val="24"/>
          <w:szCs w:val="24"/>
        </w:rPr>
      </w:pPr>
      <w:r>
        <w:rPr>
          <w:sz w:val="24"/>
          <w:szCs w:val="24"/>
        </w:rPr>
        <w:t>a.</w:t>
      </w:r>
      <w:r>
        <w:rPr>
          <w:sz w:val="24"/>
          <w:szCs w:val="24"/>
        </w:rPr>
        <w:tab/>
      </w:r>
      <w:r w:rsidR="00D843E2" w:rsidRPr="00B00DF0">
        <w:rPr>
          <w:sz w:val="24"/>
          <w:szCs w:val="24"/>
        </w:rPr>
        <w:t xml:space="preserve">Report Title: </w:t>
      </w:r>
      <w:r w:rsidR="0087651C" w:rsidRPr="00B00DF0">
        <w:rPr>
          <w:sz w:val="24"/>
          <w:szCs w:val="24"/>
        </w:rPr>
        <w:t>BEAD Initial Report</w:t>
      </w:r>
      <w:r w:rsidR="00D843E2" w:rsidRPr="00B00DF0">
        <w:rPr>
          <w:sz w:val="24"/>
          <w:szCs w:val="24"/>
        </w:rPr>
        <w:t xml:space="preserve"> </w:t>
      </w:r>
      <w:proofErr w:type="spellStart"/>
      <w:r w:rsidR="00D843E2" w:rsidRPr="00B00DF0">
        <w:rPr>
          <w:sz w:val="24"/>
          <w:szCs w:val="24"/>
        </w:rPr>
        <w:t>Report</w:t>
      </w:r>
      <w:proofErr w:type="spellEnd"/>
    </w:p>
    <w:p w14:paraId="032ABEA4" w14:textId="414EA97D" w:rsidR="00D843E2" w:rsidRPr="00B00DF0" w:rsidRDefault="00D843E2" w:rsidP="00F921C7">
      <w:pPr>
        <w:spacing w:before="1"/>
        <w:ind w:left="2070" w:right="141"/>
        <w:rPr>
          <w:sz w:val="24"/>
          <w:szCs w:val="24"/>
        </w:rPr>
      </w:pPr>
      <w:r w:rsidRPr="00B00DF0">
        <w:rPr>
          <w:sz w:val="24"/>
          <w:szCs w:val="24"/>
        </w:rPr>
        <w:t xml:space="preserve">OMB PRA number: </w:t>
      </w:r>
      <w:r w:rsidR="000776DA" w:rsidRPr="00B00DF0">
        <w:rPr>
          <w:sz w:val="24"/>
          <w:szCs w:val="24"/>
        </w:rPr>
        <w:t>Section 60102(o) of the Infrastructure Investment and Jobs Act (IIJA) specifically exempts the BEAD Program from the requirements of the Paperwork Reduction Act (44 USC 3506).</w:t>
      </w:r>
    </w:p>
    <w:p w14:paraId="19E046FD" w14:textId="77777777" w:rsidR="00D843E2" w:rsidRPr="00B00DF0" w:rsidRDefault="00D843E2" w:rsidP="00F921C7">
      <w:pPr>
        <w:spacing w:before="1"/>
        <w:ind w:left="2070" w:right="141"/>
        <w:rPr>
          <w:sz w:val="24"/>
          <w:szCs w:val="24"/>
        </w:rPr>
      </w:pPr>
      <w:r w:rsidRPr="00B00DF0">
        <w:rPr>
          <w:sz w:val="24"/>
          <w:szCs w:val="24"/>
        </w:rPr>
        <w:t>Report Authority: 2 C.F.R. section 200.329 and Department of Commerce Financial Assistance Standard Terms and Conditions dated November 12, 2020, Section A.01</w:t>
      </w:r>
    </w:p>
    <w:p w14:paraId="4C100E3C" w14:textId="01C8FFA6" w:rsidR="00D843E2" w:rsidRPr="00B00DF0" w:rsidRDefault="00D843E2" w:rsidP="00F921C7">
      <w:pPr>
        <w:spacing w:before="1"/>
        <w:ind w:left="2070" w:right="141"/>
        <w:rPr>
          <w:sz w:val="24"/>
          <w:szCs w:val="24"/>
        </w:rPr>
      </w:pPr>
      <w:r w:rsidRPr="00B00DF0">
        <w:rPr>
          <w:sz w:val="24"/>
          <w:szCs w:val="24"/>
        </w:rPr>
        <w:t xml:space="preserve">Reporting period/submission date/s: </w:t>
      </w:r>
      <w:r w:rsidR="000776DA" w:rsidRPr="00B00DF0">
        <w:rPr>
          <w:sz w:val="24"/>
          <w:szCs w:val="24"/>
        </w:rPr>
        <w:t>90 calendar days following the award date listed on the CD-450</w:t>
      </w:r>
    </w:p>
    <w:p w14:paraId="6DFE1B75" w14:textId="77777777" w:rsidR="000776DA" w:rsidRPr="00B00DF0" w:rsidRDefault="00D843E2">
      <w:pPr>
        <w:spacing w:before="1"/>
        <w:ind w:left="2070" w:right="141"/>
        <w:rPr>
          <w:sz w:val="24"/>
          <w:szCs w:val="24"/>
        </w:rPr>
      </w:pPr>
      <w:r w:rsidRPr="00B00DF0">
        <w:rPr>
          <w:sz w:val="24"/>
          <w:szCs w:val="24"/>
        </w:rPr>
        <w:t xml:space="preserve">Link to report and report instructions: </w:t>
      </w:r>
    </w:p>
    <w:p w14:paraId="2FD7D866" w14:textId="529FB1FD" w:rsidR="000776DA" w:rsidRPr="00B00DF0" w:rsidRDefault="00D108E8">
      <w:pPr>
        <w:spacing w:before="1"/>
        <w:ind w:left="2070" w:right="141"/>
        <w:rPr>
          <w:sz w:val="24"/>
          <w:szCs w:val="24"/>
        </w:rPr>
      </w:pPr>
      <w:hyperlink r:id="rId17" w:history="1">
        <w:r w:rsidR="000776DA" w:rsidRPr="00B00DF0">
          <w:rPr>
            <w:rStyle w:val="Hyperlink"/>
            <w:sz w:val="24"/>
            <w:szCs w:val="24"/>
          </w:rPr>
          <w:t>https://broadbandusa.ntia.doc.gov/node/8176</w:t>
        </w:r>
      </w:hyperlink>
    </w:p>
    <w:p w14:paraId="70CBCD1C" w14:textId="013FEF55" w:rsidR="000776DA" w:rsidRDefault="00D108E8">
      <w:pPr>
        <w:spacing w:before="1"/>
        <w:ind w:left="2070" w:right="141"/>
        <w:rPr>
          <w:sz w:val="24"/>
          <w:szCs w:val="24"/>
        </w:rPr>
      </w:pPr>
      <w:hyperlink r:id="rId18" w:history="1">
        <w:r w:rsidR="000776DA" w:rsidRPr="00B00DF0">
          <w:rPr>
            <w:rStyle w:val="Hyperlink"/>
            <w:sz w:val="24"/>
            <w:szCs w:val="24"/>
          </w:rPr>
          <w:t>https://broadbandusa.ntia.doc.gov/node/8175</w:t>
        </w:r>
      </w:hyperlink>
    </w:p>
    <w:p w14:paraId="2AFB4D3B" w14:textId="77777777" w:rsidR="00B00DF0" w:rsidRDefault="00B00DF0">
      <w:pPr>
        <w:spacing w:before="1"/>
        <w:ind w:left="2070" w:right="141"/>
        <w:rPr>
          <w:sz w:val="24"/>
          <w:szCs w:val="24"/>
        </w:rPr>
      </w:pPr>
    </w:p>
    <w:p w14:paraId="6664DB0D" w14:textId="0E173988" w:rsidR="00566D29" w:rsidRPr="005B791D" w:rsidRDefault="00566D29" w:rsidP="00F921C7">
      <w:pPr>
        <w:numPr>
          <w:ilvl w:val="0"/>
          <w:numId w:val="21"/>
        </w:numPr>
        <w:tabs>
          <w:tab w:val="left" w:pos="990"/>
        </w:tabs>
        <w:ind w:left="1540" w:hanging="1180"/>
        <w:outlineLvl w:val="0"/>
        <w:rPr>
          <w:b/>
          <w:bCs/>
          <w:sz w:val="24"/>
          <w:szCs w:val="24"/>
        </w:rPr>
      </w:pPr>
      <w:r w:rsidRPr="00566D29">
        <w:rPr>
          <w:b/>
          <w:bCs/>
          <w:sz w:val="24"/>
          <w:szCs w:val="24"/>
        </w:rPr>
        <w:t>Special</w:t>
      </w:r>
      <w:r w:rsidRPr="00566D29">
        <w:rPr>
          <w:b/>
          <w:bCs/>
          <w:spacing w:val="-5"/>
          <w:sz w:val="24"/>
          <w:szCs w:val="24"/>
        </w:rPr>
        <w:t xml:space="preserve"> </w:t>
      </w:r>
      <w:r w:rsidRPr="00566D29">
        <w:rPr>
          <w:b/>
          <w:bCs/>
          <w:sz w:val="24"/>
          <w:szCs w:val="24"/>
        </w:rPr>
        <w:t>Reporting</w:t>
      </w:r>
      <w:r w:rsidRPr="00566D29">
        <w:rPr>
          <w:b/>
          <w:bCs/>
          <w:spacing w:val="-2"/>
          <w:sz w:val="24"/>
          <w:szCs w:val="24"/>
        </w:rPr>
        <w:t xml:space="preserve"> </w:t>
      </w:r>
    </w:p>
    <w:p w14:paraId="2C06D1AD" w14:textId="77777777" w:rsidR="005B791D" w:rsidRPr="00566D29" w:rsidRDefault="005B791D" w:rsidP="005B791D">
      <w:pPr>
        <w:tabs>
          <w:tab w:val="left" w:pos="990"/>
        </w:tabs>
        <w:ind w:left="1540"/>
        <w:outlineLvl w:val="0"/>
        <w:rPr>
          <w:b/>
          <w:bCs/>
          <w:sz w:val="24"/>
          <w:szCs w:val="24"/>
        </w:rPr>
      </w:pPr>
    </w:p>
    <w:p w14:paraId="36EF1C46" w14:textId="59312274" w:rsidR="00B00DF0" w:rsidRPr="00B00DF0" w:rsidRDefault="009A2A7C" w:rsidP="005B791D">
      <w:pPr>
        <w:ind w:left="720" w:firstLine="270"/>
        <w:rPr>
          <w:spacing w:val="-2"/>
          <w:sz w:val="24"/>
          <w:szCs w:val="24"/>
        </w:rPr>
      </w:pPr>
      <w:r>
        <w:rPr>
          <w:spacing w:val="-2"/>
          <w:sz w:val="24"/>
          <w:szCs w:val="24"/>
        </w:rPr>
        <w:t>a.</w:t>
      </w:r>
      <w:r>
        <w:rPr>
          <w:spacing w:val="-2"/>
          <w:sz w:val="24"/>
          <w:szCs w:val="24"/>
        </w:rPr>
        <w:tab/>
      </w:r>
      <w:r w:rsidR="00B00DF0" w:rsidRPr="00B00DF0">
        <w:rPr>
          <w:spacing w:val="-2"/>
          <w:sz w:val="24"/>
          <w:szCs w:val="24"/>
        </w:rPr>
        <w:t xml:space="preserve">Report Title: BEAD Semi-Annual Report (Technical) </w:t>
      </w:r>
      <w:commentRangeStart w:id="16"/>
      <w:r w:rsidR="00B00DF0" w:rsidRPr="00B00DF0">
        <w:rPr>
          <w:spacing w:val="-2"/>
          <w:sz w:val="24"/>
          <w:szCs w:val="24"/>
        </w:rPr>
        <w:t>Report</w:t>
      </w:r>
      <w:commentRangeEnd w:id="16"/>
      <w:r w:rsidR="005B791D">
        <w:rPr>
          <w:rStyle w:val="CommentReference"/>
        </w:rPr>
        <w:commentReference w:id="16"/>
      </w:r>
    </w:p>
    <w:p w14:paraId="0E1C8A17" w14:textId="77777777" w:rsidR="00B00DF0" w:rsidRPr="00B00DF0" w:rsidRDefault="00B00DF0" w:rsidP="00B00DF0">
      <w:pPr>
        <w:ind w:left="2260"/>
        <w:rPr>
          <w:spacing w:val="-2"/>
          <w:sz w:val="24"/>
          <w:szCs w:val="24"/>
        </w:rPr>
      </w:pPr>
      <w:r w:rsidRPr="00B00DF0">
        <w:rPr>
          <w:spacing w:val="-2"/>
          <w:sz w:val="24"/>
          <w:szCs w:val="24"/>
        </w:rPr>
        <w:t>OMB PRA number: Section 60102(o) of the Infrastructure Investment and Jobs Act (IIJA) specifically exempts the BEAD Program from the requirements of the Paperwork Reduction Act (44 USC 3506).</w:t>
      </w:r>
    </w:p>
    <w:p w14:paraId="77EA53F7" w14:textId="77777777" w:rsidR="00B00DF0" w:rsidRPr="00B00DF0" w:rsidRDefault="00B00DF0" w:rsidP="00B00DF0">
      <w:pPr>
        <w:ind w:left="2260"/>
        <w:rPr>
          <w:spacing w:val="-2"/>
          <w:sz w:val="24"/>
          <w:szCs w:val="24"/>
        </w:rPr>
      </w:pPr>
      <w:r w:rsidRPr="00B00DF0">
        <w:rPr>
          <w:spacing w:val="-2"/>
          <w:sz w:val="24"/>
          <w:szCs w:val="24"/>
        </w:rPr>
        <w:t>Report Authority: 2 C.F.R. section 200.329 and Department of Commerce Financial Assistance Standard Terms and Conditions dated November 12, 2020, Section A.01</w:t>
      </w:r>
    </w:p>
    <w:p w14:paraId="73A43319" w14:textId="77777777" w:rsidR="00B00DF0" w:rsidRPr="00B00DF0" w:rsidRDefault="00B00DF0" w:rsidP="00B00DF0">
      <w:pPr>
        <w:ind w:left="2260"/>
        <w:rPr>
          <w:spacing w:val="-2"/>
          <w:sz w:val="24"/>
          <w:szCs w:val="24"/>
        </w:rPr>
      </w:pPr>
      <w:r w:rsidRPr="00B00DF0">
        <w:rPr>
          <w:spacing w:val="-2"/>
          <w:sz w:val="24"/>
          <w:szCs w:val="24"/>
        </w:rPr>
        <w:t>Reporting period/submission date/s: Semi-Annual/April 30 &amp; October 30</w:t>
      </w:r>
    </w:p>
    <w:p w14:paraId="7D493665" w14:textId="77777777" w:rsidR="00B00DF0" w:rsidRPr="00B00DF0" w:rsidRDefault="00B00DF0" w:rsidP="00B00DF0">
      <w:pPr>
        <w:ind w:left="2260"/>
        <w:rPr>
          <w:spacing w:val="-2"/>
          <w:sz w:val="24"/>
          <w:szCs w:val="24"/>
        </w:rPr>
      </w:pPr>
      <w:commentRangeStart w:id="17"/>
      <w:r w:rsidRPr="00B00DF0">
        <w:rPr>
          <w:spacing w:val="-2"/>
          <w:sz w:val="24"/>
          <w:szCs w:val="24"/>
        </w:rPr>
        <w:t xml:space="preserve">Link to report </w:t>
      </w:r>
      <w:commentRangeEnd w:id="17"/>
      <w:r w:rsidR="009168ED">
        <w:rPr>
          <w:rStyle w:val="CommentReference"/>
        </w:rPr>
        <w:commentReference w:id="17"/>
      </w:r>
      <w:r w:rsidRPr="00B00DF0">
        <w:rPr>
          <w:spacing w:val="-2"/>
          <w:sz w:val="24"/>
          <w:szCs w:val="24"/>
        </w:rPr>
        <w:t xml:space="preserve">and report instructions: </w:t>
      </w:r>
    </w:p>
    <w:p w14:paraId="7CB8CBAE" w14:textId="77777777" w:rsidR="00B00DF0" w:rsidRPr="00B00DF0" w:rsidRDefault="00B00DF0" w:rsidP="00B00DF0">
      <w:pPr>
        <w:ind w:left="2260"/>
        <w:rPr>
          <w:spacing w:val="-2"/>
          <w:sz w:val="24"/>
          <w:szCs w:val="24"/>
        </w:rPr>
      </w:pPr>
      <w:r w:rsidRPr="00B00DF0">
        <w:rPr>
          <w:spacing w:val="-2"/>
          <w:sz w:val="24"/>
          <w:szCs w:val="24"/>
        </w:rPr>
        <w:t>BEAD Semi-Annual Performance (Technical) Report Form FINAL 6.20.2023.pdf</w:t>
      </w:r>
    </w:p>
    <w:p w14:paraId="3967232B" w14:textId="586AD050" w:rsidR="00566D29" w:rsidRPr="00566D29" w:rsidRDefault="00B00DF0" w:rsidP="00B00DF0">
      <w:pPr>
        <w:ind w:left="2260"/>
        <w:rPr>
          <w:spacing w:val="-2"/>
          <w:sz w:val="24"/>
          <w:szCs w:val="24"/>
        </w:rPr>
      </w:pPr>
      <w:r w:rsidRPr="00B00DF0">
        <w:rPr>
          <w:spacing w:val="-2"/>
          <w:sz w:val="24"/>
          <w:szCs w:val="24"/>
        </w:rPr>
        <w:t>BEAD Semi Annual Report Attachment Template, FINAL, 6.20.2023.xlsx</w:t>
      </w:r>
    </w:p>
    <w:p w14:paraId="44BCF9D8" w14:textId="77777777" w:rsidR="00566D29" w:rsidRPr="00566D29" w:rsidRDefault="00566D29" w:rsidP="00566D29">
      <w:pPr>
        <w:rPr>
          <w:spacing w:val="-2"/>
          <w:sz w:val="24"/>
          <w:szCs w:val="24"/>
        </w:rPr>
      </w:pPr>
    </w:p>
    <w:p w14:paraId="20C9A96A" w14:textId="77777777" w:rsidR="00566D29" w:rsidRPr="00566D29" w:rsidRDefault="00566D29" w:rsidP="00F921C7">
      <w:pPr>
        <w:numPr>
          <w:ilvl w:val="0"/>
          <w:numId w:val="21"/>
        </w:numPr>
        <w:tabs>
          <w:tab w:val="left" w:pos="900"/>
        </w:tabs>
        <w:ind w:left="1540" w:hanging="1180"/>
        <w:outlineLvl w:val="0"/>
        <w:rPr>
          <w:b/>
          <w:bCs/>
          <w:sz w:val="24"/>
          <w:szCs w:val="24"/>
        </w:rPr>
      </w:pPr>
      <w:r w:rsidRPr="00566D29">
        <w:rPr>
          <w:b/>
          <w:bCs/>
          <w:sz w:val="24"/>
          <w:szCs w:val="24"/>
        </w:rPr>
        <w:t>Special</w:t>
      </w:r>
      <w:r w:rsidRPr="00566D29">
        <w:rPr>
          <w:b/>
          <w:bCs/>
          <w:spacing w:val="-5"/>
          <w:sz w:val="24"/>
          <w:szCs w:val="24"/>
        </w:rPr>
        <w:t xml:space="preserve"> </w:t>
      </w:r>
      <w:r w:rsidRPr="00566D29">
        <w:rPr>
          <w:b/>
          <w:bCs/>
          <w:sz w:val="24"/>
          <w:szCs w:val="24"/>
        </w:rPr>
        <w:t>Reporting</w:t>
      </w:r>
      <w:r w:rsidRPr="00566D29">
        <w:rPr>
          <w:b/>
          <w:bCs/>
          <w:spacing w:val="-2"/>
          <w:sz w:val="24"/>
          <w:szCs w:val="24"/>
        </w:rPr>
        <w:t xml:space="preserve"> </w:t>
      </w:r>
      <w:r w:rsidRPr="00566D29">
        <w:rPr>
          <w:b/>
          <w:bCs/>
          <w:sz w:val="24"/>
          <w:szCs w:val="24"/>
        </w:rPr>
        <w:t>for</w:t>
      </w:r>
      <w:r w:rsidRPr="00566D29">
        <w:rPr>
          <w:b/>
          <w:bCs/>
          <w:spacing w:val="-5"/>
          <w:sz w:val="24"/>
          <w:szCs w:val="24"/>
        </w:rPr>
        <w:t xml:space="preserve"> </w:t>
      </w:r>
      <w:r w:rsidRPr="00566D29">
        <w:rPr>
          <w:b/>
          <w:bCs/>
          <w:sz w:val="24"/>
          <w:szCs w:val="24"/>
        </w:rPr>
        <w:t>Federal</w:t>
      </w:r>
      <w:r w:rsidRPr="00566D29">
        <w:rPr>
          <w:b/>
          <w:bCs/>
          <w:spacing w:val="-2"/>
          <w:sz w:val="24"/>
          <w:szCs w:val="24"/>
        </w:rPr>
        <w:t xml:space="preserve"> </w:t>
      </w:r>
      <w:r w:rsidRPr="00566D29">
        <w:rPr>
          <w:b/>
          <w:bCs/>
          <w:sz w:val="24"/>
          <w:szCs w:val="24"/>
        </w:rPr>
        <w:t>Funding</w:t>
      </w:r>
      <w:r w:rsidRPr="00566D29">
        <w:rPr>
          <w:b/>
          <w:bCs/>
          <w:spacing w:val="-2"/>
          <w:sz w:val="24"/>
          <w:szCs w:val="24"/>
        </w:rPr>
        <w:t xml:space="preserve"> </w:t>
      </w:r>
      <w:r w:rsidRPr="00566D29">
        <w:rPr>
          <w:b/>
          <w:bCs/>
          <w:sz w:val="24"/>
          <w:szCs w:val="24"/>
        </w:rPr>
        <w:t>Accountability</w:t>
      </w:r>
      <w:r w:rsidRPr="00566D29">
        <w:rPr>
          <w:b/>
          <w:bCs/>
          <w:spacing w:val="-3"/>
          <w:sz w:val="24"/>
          <w:szCs w:val="24"/>
        </w:rPr>
        <w:t xml:space="preserve"> </w:t>
      </w:r>
      <w:r w:rsidRPr="00566D29">
        <w:rPr>
          <w:b/>
          <w:bCs/>
          <w:sz w:val="24"/>
          <w:szCs w:val="24"/>
        </w:rPr>
        <w:t>and</w:t>
      </w:r>
      <w:r w:rsidRPr="00566D29">
        <w:rPr>
          <w:b/>
          <w:bCs/>
          <w:spacing w:val="-2"/>
          <w:sz w:val="24"/>
          <w:szCs w:val="24"/>
        </w:rPr>
        <w:t xml:space="preserve"> </w:t>
      </w:r>
      <w:r w:rsidRPr="00566D29">
        <w:rPr>
          <w:b/>
          <w:bCs/>
          <w:sz w:val="24"/>
          <w:szCs w:val="24"/>
        </w:rPr>
        <w:t>Transparency</w:t>
      </w:r>
      <w:r w:rsidRPr="00566D29">
        <w:rPr>
          <w:b/>
          <w:bCs/>
          <w:spacing w:val="-2"/>
          <w:sz w:val="24"/>
          <w:szCs w:val="24"/>
        </w:rPr>
        <w:t xml:space="preserve"> </w:t>
      </w:r>
      <w:r w:rsidRPr="00566D29">
        <w:rPr>
          <w:b/>
          <w:bCs/>
          <w:spacing w:val="-5"/>
          <w:sz w:val="24"/>
          <w:szCs w:val="24"/>
        </w:rPr>
        <w:t>Act</w:t>
      </w:r>
    </w:p>
    <w:p w14:paraId="73750818" w14:textId="77777777" w:rsidR="00566D29" w:rsidRPr="00566D29" w:rsidRDefault="00566D29" w:rsidP="00566D29">
      <w:pPr>
        <w:tabs>
          <w:tab w:val="left" w:pos="820"/>
        </w:tabs>
        <w:outlineLvl w:val="0"/>
        <w:rPr>
          <w:i/>
          <w:iCs/>
          <w:sz w:val="24"/>
          <w:szCs w:val="24"/>
        </w:rPr>
      </w:pPr>
    </w:p>
    <w:p w14:paraId="55CA93D8" w14:textId="29DF9E56" w:rsidR="006D202F" w:rsidRDefault="00566D29" w:rsidP="005B791D">
      <w:pPr>
        <w:ind w:left="720" w:firstLine="720"/>
        <w:rPr>
          <w:b/>
          <w:bCs/>
        </w:rPr>
      </w:pPr>
      <w:r w:rsidRPr="00566D29">
        <w:rPr>
          <w:sz w:val="24"/>
          <w:szCs w:val="24"/>
        </w:rPr>
        <w:t xml:space="preserve">See Part 3.L for audit guidance.   </w:t>
      </w:r>
    </w:p>
    <w:p w14:paraId="19049EAF" w14:textId="7C985E1C" w:rsidR="00900415" w:rsidRPr="00900415" w:rsidRDefault="00900415" w:rsidP="00900415">
      <w:pPr>
        <w:pStyle w:val="Heading1"/>
        <w:tabs>
          <w:tab w:val="left" w:pos="360"/>
        </w:tabs>
        <w:rPr>
          <w:b w:val="0"/>
          <w:bCs w:val="0"/>
        </w:rPr>
      </w:pPr>
    </w:p>
    <w:sectPr w:rsidR="00900415" w:rsidRPr="00900415" w:rsidSect="003B0840">
      <w:headerReference w:type="default" r:id="rId19"/>
      <w:footerReference w:type="default" r:id="rId20"/>
      <w:pgSz w:w="12240" w:h="15840"/>
      <w:pgMar w:top="1340" w:right="1320" w:bottom="960" w:left="1340" w:header="730" w:footer="777"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ayer, Mitzi K. EOP/OMB" w:date="2023-11-29T14:27:00Z" w:initials="MMKE">
    <w:p w14:paraId="25C981CD" w14:textId="5E82011A" w:rsidR="002F016B" w:rsidRDefault="002F016B">
      <w:pPr>
        <w:pStyle w:val="CommentText"/>
      </w:pPr>
      <w:r>
        <w:rPr>
          <w:rStyle w:val="CommentReference"/>
        </w:rPr>
        <w:annotationRef/>
      </w:r>
      <w:r>
        <w:t>Complete footer with page numbers.</w:t>
      </w:r>
    </w:p>
  </w:comment>
  <w:comment w:id="4" w:author="Mayer, Mitzi K. EOP/OMB" w:date="2023-11-28T17:57:00Z" w:initials="MMKE">
    <w:p w14:paraId="15DD20BD" w14:textId="1D77DFF1" w:rsidR="005B791D" w:rsidRDefault="005B791D">
      <w:pPr>
        <w:pStyle w:val="CommentText"/>
      </w:pPr>
      <w:r>
        <w:rPr>
          <w:rStyle w:val="CommentReference"/>
        </w:rPr>
        <w:annotationRef/>
      </w:r>
      <w:r>
        <w:t>Should this be ‘a’?</w:t>
      </w:r>
    </w:p>
  </w:comment>
  <w:comment w:id="14" w:author="Mayer, Mitzi K. EOP/OMB" w:date="2023-10-30T16:53:00Z" w:initials="MMKE">
    <w:p w14:paraId="3698C4BF" w14:textId="77777777" w:rsidR="00D843E2" w:rsidRDefault="00D843E2" w:rsidP="00D843E2">
      <w:pPr>
        <w:pStyle w:val="CommentText"/>
      </w:pPr>
      <w:r>
        <w:rPr>
          <w:rStyle w:val="CommentReference"/>
        </w:rPr>
        <w:annotationRef/>
      </w:r>
      <w:r>
        <w:t>Reports must be listed and include the required information indicated in prep guide. For the auditors to test something.</w:t>
      </w:r>
    </w:p>
  </w:comment>
  <w:comment w:id="15" w:author="Mayer, Mitzi K. EOP/OMB" w:date="2023-11-28T17:49:00Z" w:initials="MMKE">
    <w:p w14:paraId="0D14F0D2" w14:textId="15585417" w:rsidR="009A2A7C" w:rsidRDefault="009A2A7C">
      <w:pPr>
        <w:pStyle w:val="CommentText"/>
      </w:pPr>
      <w:r>
        <w:rPr>
          <w:rStyle w:val="CommentReference"/>
        </w:rPr>
        <w:annotationRef/>
      </w:r>
      <w:r>
        <w:t>Please include key line items that you want the auditors to test.  The lines are to be quantifiable and objective (see prep guide).</w:t>
      </w:r>
    </w:p>
  </w:comment>
  <w:comment w:id="16" w:author="Mayer, Mitzi K. EOP/OMB" w:date="2023-11-28T17:52:00Z" w:initials="MMKE">
    <w:p w14:paraId="3C5B0DB2" w14:textId="1BBC824E" w:rsidR="005B791D" w:rsidRDefault="005B791D">
      <w:pPr>
        <w:pStyle w:val="CommentText"/>
      </w:pPr>
      <w:r>
        <w:rPr>
          <w:rStyle w:val="CommentReference"/>
        </w:rPr>
        <w:annotationRef/>
      </w:r>
      <w:r w:rsidRPr="005B791D">
        <w:t>Please include key line items that you want the auditors to test.  The lines are to be quantifiable and objective (see prep guide).</w:t>
      </w:r>
    </w:p>
  </w:comment>
  <w:comment w:id="17" w:author="Mayer, Mitzi K. EOP/OMB" w:date="2023-11-28T18:15:00Z" w:initials="MMKE">
    <w:p w14:paraId="2B49D457" w14:textId="3D0B4A9C" w:rsidR="009168ED" w:rsidRDefault="009168ED">
      <w:pPr>
        <w:pStyle w:val="CommentText"/>
      </w:pPr>
      <w:r>
        <w:rPr>
          <w:rStyle w:val="CommentReference"/>
        </w:rPr>
        <w:annotationRef/>
      </w:r>
      <w:r>
        <w:t>Will need to link for final. Attached reports for auditor review.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5C981CD" w15:done="0"/>
  <w15:commentEx w15:paraId="15DD20BD" w15:done="0"/>
  <w15:commentEx w15:paraId="3698C4BF" w15:done="0"/>
  <w15:commentEx w15:paraId="0D14F0D2" w15:paraIdParent="3698C4BF" w15:done="0"/>
  <w15:commentEx w15:paraId="3C5B0DB2" w15:done="0"/>
  <w15:commentEx w15:paraId="2B49D45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11C8DA" w16cex:dateUtc="2023-11-29T19:27:00Z"/>
  <w16cex:commentExtensible w16cex:durableId="2910A871" w16cex:dateUtc="2023-11-28T22:57:00Z"/>
  <w16cex:commentExtensible w16cex:durableId="28EA5E1F" w16cex:dateUtc="2023-10-30T20:53:00Z"/>
  <w16cex:commentExtensible w16cex:durableId="2910A68D" w16cex:dateUtc="2023-11-28T22:49:00Z"/>
  <w16cex:commentExtensible w16cex:durableId="2910A750" w16cex:dateUtc="2023-11-28T22:52:00Z"/>
  <w16cex:commentExtensible w16cex:durableId="2910ACB9" w16cex:dateUtc="2023-11-28T23: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C981CD" w16cid:durableId="2911C8DA"/>
  <w16cid:commentId w16cid:paraId="15DD20BD" w16cid:durableId="2910A871"/>
  <w16cid:commentId w16cid:paraId="3698C4BF" w16cid:durableId="28EA5E1F"/>
  <w16cid:commentId w16cid:paraId="0D14F0D2" w16cid:durableId="2910A68D"/>
  <w16cid:commentId w16cid:paraId="3C5B0DB2" w16cid:durableId="2910A750"/>
  <w16cid:commentId w16cid:paraId="2B49D457" w16cid:durableId="2910ACB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5710C" w14:textId="77777777" w:rsidR="00D108E8" w:rsidRDefault="00D108E8">
      <w:r>
        <w:separator/>
      </w:r>
    </w:p>
  </w:endnote>
  <w:endnote w:type="continuationSeparator" w:id="0">
    <w:p w14:paraId="3C237901" w14:textId="77777777" w:rsidR="00D108E8" w:rsidRDefault="00D108E8">
      <w:r>
        <w:continuationSeparator/>
      </w:r>
    </w:p>
  </w:endnote>
  <w:endnote w:type="continuationNotice" w:id="1">
    <w:p w14:paraId="0C783801" w14:textId="77777777" w:rsidR="00D108E8" w:rsidRDefault="00D108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B547A" w14:textId="3739C0BB" w:rsidR="00B80136" w:rsidRDefault="00B80136">
    <w:pPr>
      <w:pStyle w:val="BodyText"/>
      <w:spacing w:line="14" w:lineRule="auto"/>
      <w:rPr>
        <w:sz w:val="20"/>
      </w:rPr>
    </w:pPr>
    <w:r>
      <w:rPr>
        <w:noProof/>
      </w:rPr>
      <mc:AlternateContent>
        <mc:Choice Requires="wps">
          <w:drawing>
            <wp:anchor distT="0" distB="0" distL="0" distR="0" simplePos="0" relativeHeight="251658245" behindDoc="1" locked="0" layoutInCell="1" allowOverlap="1" wp14:anchorId="492CE129" wp14:editId="710C2704">
              <wp:simplePos x="0" y="0"/>
              <wp:positionH relativeFrom="page">
                <wp:posOffset>872067</wp:posOffset>
              </wp:positionH>
              <wp:positionV relativeFrom="page">
                <wp:posOffset>9551035</wp:posOffset>
              </wp:positionV>
              <wp:extent cx="1564005" cy="165735"/>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4005" cy="165735"/>
                      </a:xfrm>
                      <a:prstGeom prst="rect">
                        <a:avLst/>
                      </a:prstGeom>
                    </wps:spPr>
                    <wps:txbx>
                      <w:txbxContent>
                        <w:p w14:paraId="492CE135" w14:textId="6A87A8F4" w:rsidR="00B776BC" w:rsidRDefault="00073D93">
                          <w:pPr>
                            <w:spacing w:before="10"/>
                            <w:ind w:left="20"/>
                            <w:rPr>
                              <w:sz w:val="20"/>
                            </w:rPr>
                          </w:pPr>
                          <w:r>
                            <w:rPr>
                              <w:sz w:val="20"/>
                            </w:rPr>
                            <w:t>Compliance</w:t>
                          </w:r>
                          <w:r>
                            <w:rPr>
                              <w:spacing w:val="-7"/>
                              <w:sz w:val="20"/>
                            </w:rPr>
                            <w:t xml:space="preserve"> </w:t>
                          </w:r>
                          <w:r>
                            <w:rPr>
                              <w:sz w:val="20"/>
                            </w:rPr>
                            <w:t>Supplement</w:t>
                          </w:r>
                          <w:r w:rsidR="00500509">
                            <w:rPr>
                              <w:sz w:val="20"/>
                            </w:rPr>
                            <w:t xml:space="preserve"> </w:t>
                          </w:r>
                          <w:r w:rsidR="00EE2D05">
                            <w:rPr>
                              <w:sz w:val="20"/>
                            </w:rPr>
                            <w:t>2024</w:t>
                          </w:r>
                          <w:r>
                            <w:rPr>
                              <w:spacing w:val="-8"/>
                              <w:sz w:val="20"/>
                            </w:rPr>
                            <w:t xml:space="preserve"> </w:t>
                          </w:r>
                          <w:r>
                            <w:rPr>
                              <w:spacing w:val="-4"/>
                              <w:sz w:val="20"/>
                            </w:rPr>
                            <w:t>2023</w:t>
                          </w:r>
                        </w:p>
                      </w:txbxContent>
                    </wps:txbx>
                    <wps:bodyPr wrap="square" lIns="0" tIns="0" rIns="0" bIns="0" rtlCol="0">
                      <a:noAutofit/>
                    </wps:bodyPr>
                  </wps:wsp>
                </a:graphicData>
              </a:graphic>
            </wp:anchor>
          </w:drawing>
        </mc:Choice>
        <mc:Fallback>
          <w:pict>
            <v:shapetype w14:anchorId="492CE129" id="_x0000_t202" coordsize="21600,21600" o:spt="202" path="m,l,21600r21600,l21600,xe">
              <v:stroke joinstyle="miter"/>
              <v:path gradientshapeok="t" o:connecttype="rect"/>
            </v:shapetype>
            <v:shape id="Text Box 13" o:spid="_x0000_s1029" type="#_x0000_t202" style="position:absolute;margin-left:68.65pt;margin-top:752.05pt;width:123.15pt;height:13.05pt;z-index:-25165823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" filled="f" stroked="f">
              <v:textbox inset="0,0,0,0">
                <w:txbxContent>
                  <w:p w14:paraId="492CE135" w14:textId="6A87A8F4" w:rsidR="00B776BC" w:rsidRDefault="00073D93">
                    <w:pPr>
                      <w:spacing w:before="10"/>
                      <w:ind w:left="20"/>
                      <w:rPr>
                        <w:sz w:val="20"/>
                      </w:rPr>
                    </w:pPr>
                    <w:r>
                      <w:rPr>
                        <w:sz w:val="20"/>
                      </w:rPr>
                      <w:t>Compliance</w:t>
                    </w:r>
                    <w:r>
                      <w:rPr>
                        <w:spacing w:val="-7"/>
                        <w:sz w:val="20"/>
                      </w:rPr>
                      <w:t xml:space="preserve"> </w:t>
                    </w:r>
                    <w:r>
                      <w:rPr>
                        <w:sz w:val="20"/>
                      </w:rPr>
                      <w:t>Supplement</w:t>
                    </w:r>
                    <w:r w:rsidR="00500509">
                      <w:rPr>
                        <w:sz w:val="20"/>
                      </w:rPr>
                      <w:t xml:space="preserve"> </w:t>
                    </w:r>
                    <w:r w:rsidR="00EE2D05">
                      <w:rPr>
                        <w:sz w:val="20"/>
                      </w:rPr>
                      <w:t>2024</w:t>
                    </w:r>
                    <w:r>
                      <w:rPr>
                        <w:spacing w:val="-8"/>
                        <w:sz w:val="20"/>
                      </w:rPr>
                      <w:t xml:space="preserve"> </w:t>
                    </w:r>
                    <w:r>
                      <w:rPr>
                        <w:spacing w:val="-4"/>
                        <w:sz w:val="20"/>
                      </w:rPr>
                      <w:t>2023</w:t>
                    </w:r>
                  </w:p>
                </w:txbxContent>
              </v:textbox>
              <w10:wrap anchorx="page" anchory="page"/>
            </v:shape>
          </w:pict>
        </mc:Fallback>
      </mc:AlternateContent>
    </w:r>
  </w:p>
  <w:p w14:paraId="492CE110" w14:textId="3EFE2762" w:rsidR="00B776BC" w:rsidRDefault="00073D93">
    <w:pPr>
      <w:pStyle w:val="BodyText"/>
      <w:spacing w:line="14" w:lineRule="auto"/>
      <w:rPr>
        <w:sz w:val="20"/>
      </w:rPr>
    </w:pPr>
    <w:r>
      <w:rPr>
        <w:noProof/>
      </w:rPr>
      <mc:AlternateContent>
        <mc:Choice Requires="wps">
          <w:drawing>
            <wp:anchor distT="0" distB="0" distL="0" distR="0" simplePos="0" relativeHeight="251658244" behindDoc="1" locked="0" layoutInCell="1" allowOverlap="1" wp14:anchorId="492CE127" wp14:editId="2808C06F">
              <wp:simplePos x="0" y="0"/>
              <wp:positionH relativeFrom="page">
                <wp:posOffset>896416</wp:posOffset>
              </wp:positionH>
              <wp:positionV relativeFrom="page">
                <wp:posOffset>9437827</wp:posOffset>
              </wp:positionV>
              <wp:extent cx="5981065" cy="6350"/>
              <wp:effectExtent l="0" t="0" r="0" b="0"/>
              <wp:wrapNone/>
              <wp:docPr id="12" name="Freeform: 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w:pict>
            <v:shape w14:anchorId="08C2D58F" id="Freeform: Shape 12" o:spid="_x0000_s1026" style="position:absolute;margin-left:70.6pt;margin-top:743.15pt;width:470.95pt;height:.5pt;z-index:-251658236;visibility:visible;mso-wrap-style:square;mso-wrap-distance-left:0;mso-wrap-distance-top:0;mso-wrap-distance-right:0;mso-wrap-distance-bottom:0;mso-position-horizontal:absolute;mso-position-horizontal-relative:page;mso-position-vertical:absolute;mso-position-vertical-relative:page;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" path="m5981065,l,,,6096r5981065,l5981065,xe" fillcolor="black" stroked="f">
              <v:path arrowok="t"/>
              <w10:wrap anchorx="page" anchory="page"/>
            </v:shape>
          </w:pict>
        </mc:Fallback>
      </mc:AlternateContent>
    </w:r>
    <w:r>
      <w:rPr>
        <w:noProof/>
      </w:rPr>
      <mc:AlternateContent>
        <mc:Choice Requires="wps">
          <w:drawing>
            <wp:anchor distT="0" distB="0" distL="0" distR="0" simplePos="0" relativeHeight="251658246" behindDoc="1" locked="0" layoutInCell="1" allowOverlap="1" wp14:anchorId="492CE12B" wp14:editId="492CE12C">
              <wp:simplePos x="0" y="0"/>
              <wp:positionH relativeFrom="page">
                <wp:posOffset>3561715</wp:posOffset>
              </wp:positionH>
              <wp:positionV relativeFrom="page">
                <wp:posOffset>9449568</wp:posOffset>
              </wp:positionV>
              <wp:extent cx="690245" cy="16573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0245" cy="165735"/>
                      </a:xfrm>
                      <a:prstGeom prst="rect">
                        <a:avLst/>
                      </a:prstGeom>
                    </wps:spPr>
                    <wps:txbx>
                      <w:txbxContent>
                        <w:p w14:paraId="492CE136" w14:textId="5069F459" w:rsidR="00B776BC" w:rsidRDefault="00B776BC">
                          <w:pPr>
                            <w:spacing w:before="10"/>
                            <w:ind w:left="20"/>
                            <w:rPr>
                              <w:sz w:val="20"/>
                            </w:rPr>
                          </w:pPr>
                        </w:p>
                      </w:txbxContent>
                    </wps:txbx>
                    <wps:bodyPr wrap="square" lIns="0" tIns="0" rIns="0" bIns="0" rtlCol="0">
                      <a:noAutofit/>
                    </wps:bodyPr>
                  </wps:wsp>
                </a:graphicData>
              </a:graphic>
            </wp:anchor>
          </w:drawing>
        </mc:Choice>
        <mc:Fallback>
          <w:pict>
            <v:shape w14:anchorId="492CE12B" id="Text Box 14" o:spid="_x0000_s1030" type="#_x0000_t202" style="position:absolute;margin-left:280.45pt;margin-top:744.05pt;width:54.35pt;height:13.05pt;z-index:-25165823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" filled="f" stroked="f">
              <v:textbox inset="0,0,0,0">
                <w:txbxContent>
                  <w:p w14:paraId="492CE136" w14:textId="5069F459" w:rsidR="00B776BC" w:rsidRDefault="00B776BC">
                    <w:pPr>
                      <w:spacing w:before="10"/>
                      <w:ind w:left="20"/>
                      <w:rPr>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974FE" w14:textId="77777777" w:rsidR="00D108E8" w:rsidRDefault="00D108E8">
      <w:r>
        <w:separator/>
      </w:r>
    </w:p>
  </w:footnote>
  <w:footnote w:type="continuationSeparator" w:id="0">
    <w:p w14:paraId="7DE79957" w14:textId="77777777" w:rsidR="00D108E8" w:rsidRDefault="00D108E8">
      <w:r>
        <w:continuationSeparator/>
      </w:r>
    </w:p>
  </w:footnote>
  <w:footnote w:type="continuationNotice" w:id="1">
    <w:p w14:paraId="4E674115" w14:textId="77777777" w:rsidR="00D108E8" w:rsidRDefault="00D108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CE10F" w14:textId="2A27E2D4" w:rsidR="00B776BC" w:rsidRPr="00C74B06" w:rsidRDefault="00F85D90">
    <w:pPr>
      <w:pStyle w:val="BodyText"/>
      <w:spacing w:line="14" w:lineRule="auto"/>
      <w:rPr>
        <w:sz w:val="20"/>
      </w:rPr>
    </w:pPr>
    <w:r w:rsidRPr="00C74B06">
      <w:rPr>
        <w:noProof/>
      </w:rPr>
      <mc:AlternateContent>
        <mc:Choice Requires="wps">
          <w:drawing>
            <wp:anchor distT="0" distB="0" distL="0" distR="0" simplePos="0" relativeHeight="251658242" behindDoc="1" locked="0" layoutInCell="1" allowOverlap="1" wp14:anchorId="492CE123" wp14:editId="0A8DF938">
              <wp:simplePos x="0" y="0"/>
              <wp:positionH relativeFrom="page">
                <wp:posOffset>2638425</wp:posOffset>
              </wp:positionH>
              <wp:positionV relativeFrom="page">
                <wp:posOffset>447675</wp:posOffset>
              </wp:positionV>
              <wp:extent cx="3038475" cy="93345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38475" cy="933450"/>
                      </a:xfrm>
                      <a:prstGeom prst="rect">
                        <a:avLst/>
                      </a:prstGeom>
                    </wps:spPr>
                    <wps:txbx>
                      <w:txbxContent>
                        <w:p w14:paraId="41284F64" w14:textId="7C687963" w:rsidR="00306D11" w:rsidRDefault="00340DFE" w:rsidP="002F195F">
                          <w:pPr>
                            <w:spacing w:before="10"/>
                            <w:rPr>
                              <w:sz w:val="20"/>
                            </w:rPr>
                          </w:pPr>
                          <w:r>
                            <w:rPr>
                              <w:sz w:val="20"/>
                            </w:rPr>
                            <w:t>Broadband</w:t>
                          </w:r>
                          <w:r w:rsidR="00F85D90">
                            <w:rPr>
                              <w:sz w:val="20"/>
                            </w:rPr>
                            <w:t xml:space="preserve"> Equity, Access, and Deployment Program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92CE123" id="_x0000_t202" coordsize="21600,21600" o:spt="202" path="m,l,21600r21600,l21600,xe">
              <v:stroke joinstyle="miter"/>
              <v:path gradientshapeok="t" o:connecttype="rect"/>
            </v:shapetype>
            <v:shape id="Text Box 10" o:spid="_x0000_s1026" type="#_x0000_t202" style="position:absolute;margin-left:207.75pt;margin-top:35.25pt;width:239.25pt;height:73.5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" filled="f" stroked="f">
              <v:textbox inset="0,0,0,0">
                <w:txbxContent>
                  <w:p w14:paraId="41284F64" w14:textId="7C687963" w:rsidR="00306D11" w:rsidRDefault="00340DFE" w:rsidP="002F195F">
                    <w:pPr>
                      <w:spacing w:before="10"/>
                      <w:rPr>
                        <w:sz w:val="20"/>
                      </w:rPr>
                    </w:pPr>
                    <w:r>
                      <w:rPr>
                        <w:sz w:val="20"/>
                      </w:rPr>
                      <w:t>Broadband</w:t>
                    </w:r>
                    <w:r w:rsidR="00F85D90">
                      <w:rPr>
                        <w:sz w:val="20"/>
                      </w:rPr>
                      <w:t xml:space="preserve"> Equity, Access, and Deployment Program</w:t>
                    </w:r>
                  </w:p>
                </w:txbxContent>
              </v:textbox>
              <w10:wrap anchorx="page" anchory="page"/>
            </v:shape>
          </w:pict>
        </mc:Fallback>
      </mc:AlternateContent>
    </w:r>
    <w:r w:rsidR="00297142" w:rsidRPr="00C74B06">
      <w:rPr>
        <w:noProof/>
      </w:rPr>
      <mc:AlternateContent>
        <mc:Choice Requires="wps">
          <w:drawing>
            <wp:anchor distT="0" distB="0" distL="0" distR="0" simplePos="0" relativeHeight="251658241" behindDoc="1" locked="0" layoutInCell="1" allowOverlap="1" wp14:anchorId="492CE121" wp14:editId="436E9127">
              <wp:simplePos x="0" y="0"/>
              <wp:positionH relativeFrom="page">
                <wp:posOffset>900751</wp:posOffset>
              </wp:positionH>
              <wp:positionV relativeFrom="page">
                <wp:posOffset>450376</wp:posOffset>
              </wp:positionV>
              <wp:extent cx="852985" cy="16573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2985" cy="165735"/>
                      </a:xfrm>
                      <a:prstGeom prst="rect">
                        <a:avLst/>
                      </a:prstGeom>
                    </wps:spPr>
                    <wps:txbx>
                      <w:txbxContent>
                        <w:p w14:paraId="492CE132" w14:textId="37C04AD9" w:rsidR="00B776BC" w:rsidRPr="009A2A7C" w:rsidRDefault="009A2A7C">
                          <w:pPr>
                            <w:spacing w:before="10"/>
                            <w:ind w:left="20"/>
                            <w:rPr>
                              <w:color w:val="FF0000"/>
                              <w:sz w:val="20"/>
                            </w:rPr>
                          </w:pPr>
                          <w:r w:rsidRPr="009A2A7C">
                            <w:rPr>
                              <w:color w:val="FF0000"/>
                              <w:sz w:val="20"/>
                            </w:rPr>
                            <w:t>Draft 2024</w:t>
                          </w:r>
                        </w:p>
                      </w:txbxContent>
                    </wps:txbx>
                    <wps:bodyPr wrap="square" lIns="0" tIns="0" rIns="0" bIns="0" rtlCol="0">
                      <a:noAutofit/>
                    </wps:bodyPr>
                  </wps:wsp>
                </a:graphicData>
              </a:graphic>
              <wp14:sizeRelH relativeFrom="margin">
                <wp14:pctWidth>0</wp14:pctWidth>
              </wp14:sizeRelH>
            </wp:anchor>
          </w:drawing>
        </mc:Choice>
        <mc:Fallback>
          <w:pict>
            <v:shape w14:anchorId="492CE121" id="Text Box 9" o:spid="_x0000_s1027" type="#_x0000_t202" style="position:absolute;margin-left:70.95pt;margin-top:35.45pt;width:67.15pt;height:13.05pt;z-index:-251658239;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" filled="f" stroked="f">
              <v:textbox inset="0,0,0,0">
                <w:txbxContent>
                  <w:p w14:paraId="492CE132" w14:textId="37C04AD9" w:rsidR="00B776BC" w:rsidRPr="009A2A7C" w:rsidRDefault="009A2A7C">
                    <w:pPr>
                      <w:spacing w:before="10"/>
                      <w:ind w:left="20"/>
                      <w:rPr>
                        <w:color w:val="FF0000"/>
                        <w:sz w:val="20"/>
                      </w:rPr>
                    </w:pPr>
                    <w:r w:rsidRPr="009A2A7C">
                      <w:rPr>
                        <w:color w:val="FF0000"/>
                        <w:sz w:val="20"/>
                      </w:rPr>
                      <w:t>Draft 2024</w:t>
                    </w:r>
                  </w:p>
                </w:txbxContent>
              </v:textbox>
              <w10:wrap anchorx="page" anchory="page"/>
            </v:shape>
          </w:pict>
        </mc:Fallback>
      </mc:AlternateContent>
    </w:r>
    <w:r w:rsidR="00073D93" w:rsidRPr="00C74B06">
      <w:rPr>
        <w:noProof/>
      </w:rPr>
      <mc:AlternateContent>
        <mc:Choice Requires="wps">
          <w:drawing>
            <wp:anchor distT="0" distB="0" distL="0" distR="0" simplePos="0" relativeHeight="251658240" behindDoc="1" locked="0" layoutInCell="1" allowOverlap="1" wp14:anchorId="492CE11F" wp14:editId="180AB36E">
              <wp:simplePos x="0" y="0"/>
              <wp:positionH relativeFrom="page">
                <wp:posOffset>896416</wp:posOffset>
              </wp:positionH>
              <wp:positionV relativeFrom="page">
                <wp:posOffset>615695</wp:posOffset>
              </wp:positionV>
              <wp:extent cx="5981065" cy="6350"/>
              <wp:effectExtent l="0" t="0" r="0" b="0"/>
              <wp:wrapNone/>
              <wp:docPr id="8" name="Freeform: 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w:pict>
            <v:shape w14:anchorId="5B46690C" id="Freeform: Shape 8" o:spid="_x0000_s1026" style="position:absolute;margin-left:70.6pt;margin-top:48.5pt;width:470.95pt;height:.5pt;z-index:-251658240;visibility:visible;mso-wrap-style:square;mso-wrap-distance-left:0;mso-wrap-distance-top:0;mso-wrap-distance-right:0;mso-wrap-distance-bottom:0;mso-position-horizontal:absolute;mso-position-horizontal-relative:page;mso-position-vertical:absolute;mso-position-vertical-relative:page;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" path="m5981065,l,,,6096r5981065,l5981065,xe" fillcolor="black" stroked="f">
              <v:path arrowok="t"/>
              <w10:wrap anchorx="page" anchory="page"/>
            </v:shape>
          </w:pict>
        </mc:Fallback>
      </mc:AlternateContent>
    </w:r>
    <w:r w:rsidR="00073D93" w:rsidRPr="00C74B06">
      <w:rPr>
        <w:noProof/>
      </w:rPr>
      <mc:AlternateContent>
        <mc:Choice Requires="wps">
          <w:drawing>
            <wp:anchor distT="0" distB="0" distL="0" distR="0" simplePos="0" relativeHeight="251658243" behindDoc="1" locked="0" layoutInCell="1" allowOverlap="1" wp14:anchorId="492CE125" wp14:editId="492CE126">
              <wp:simplePos x="0" y="0"/>
              <wp:positionH relativeFrom="page">
                <wp:posOffset>6578345</wp:posOffset>
              </wp:positionH>
              <wp:positionV relativeFrom="page">
                <wp:posOffset>450653</wp:posOffset>
              </wp:positionV>
              <wp:extent cx="293370" cy="16573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370" cy="165735"/>
                      </a:xfrm>
                      <a:prstGeom prst="rect">
                        <a:avLst/>
                      </a:prstGeom>
                    </wps:spPr>
                    <wps:txbx>
                      <w:txbxContent>
                        <w:p w14:paraId="492CE134" w14:textId="77777777" w:rsidR="00B776BC" w:rsidRDefault="00073D93">
                          <w:pPr>
                            <w:spacing w:before="10"/>
                            <w:ind w:left="20"/>
                            <w:rPr>
                              <w:sz w:val="20"/>
                            </w:rPr>
                          </w:pPr>
                          <w:r>
                            <w:rPr>
                              <w:spacing w:val="-5"/>
                              <w:sz w:val="20"/>
                            </w:rPr>
                            <w:t>DOC</w:t>
                          </w:r>
                        </w:p>
                      </w:txbxContent>
                    </wps:txbx>
                    <wps:bodyPr wrap="square" lIns="0" tIns="0" rIns="0" bIns="0" rtlCol="0">
                      <a:noAutofit/>
                    </wps:bodyPr>
                  </wps:wsp>
                </a:graphicData>
              </a:graphic>
            </wp:anchor>
          </w:drawing>
        </mc:Choice>
        <mc:Fallback>
          <w:pict>
            <v:shape w14:anchorId="492CE125" id="Text Box 11" o:spid="_x0000_s1028" type="#_x0000_t202" style="position:absolute;margin-left:518pt;margin-top:35.5pt;width:23.1pt;height:13.05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" filled="f" stroked="f">
              <v:textbox inset="0,0,0,0">
                <w:txbxContent>
                  <w:p w14:paraId="492CE134" w14:textId="77777777" w:rsidR="00B776BC" w:rsidRDefault="00073D93">
                    <w:pPr>
                      <w:spacing w:before="10"/>
                      <w:ind w:left="20"/>
                      <w:rPr>
                        <w:sz w:val="20"/>
                      </w:rPr>
                    </w:pPr>
                    <w:r>
                      <w:rPr>
                        <w:spacing w:val="-5"/>
                        <w:sz w:val="20"/>
                      </w:rPr>
                      <w:t>DOC</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F04EF"/>
    <w:multiLevelType w:val="multilevel"/>
    <w:tmpl w:val="042673DC"/>
    <w:lvl w:ilvl="0">
      <w:start w:val="1"/>
      <w:numFmt w:val="upperRoman"/>
      <w:lvlText w:val="%1."/>
      <w:lvlJc w:val="left"/>
      <w:pPr>
        <w:ind w:left="840" w:hanging="632"/>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2."/>
      <w:lvlJc w:val="left"/>
      <w:pPr>
        <w:ind w:left="1651" w:hanging="723"/>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2.%3"/>
      <w:lvlJc w:val="left"/>
      <w:pPr>
        <w:ind w:left="2371" w:hanging="720"/>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lowerLetter"/>
      <w:lvlText w:val="%4)"/>
      <w:lvlJc w:val="left"/>
      <w:pPr>
        <w:ind w:left="3035" w:hanging="360"/>
      </w:pPr>
    </w:lvl>
    <w:lvl w:ilvl="4">
      <w:start w:val="1"/>
      <w:numFmt w:val="bullet"/>
      <w:lvlText w:val="•"/>
      <w:lvlJc w:val="left"/>
      <w:pPr>
        <w:ind w:left="4410" w:hanging="720"/>
      </w:pPr>
      <w:rPr>
        <w:rFonts w:hint="default"/>
        <w:b w:val="0"/>
        <w:bCs w:val="0"/>
        <w:i w:val="0"/>
        <w:iCs w:val="0"/>
        <w:spacing w:val="0"/>
        <w:w w:val="100"/>
        <w:sz w:val="24"/>
        <w:szCs w:val="24"/>
        <w:lang w:val="en-US" w:eastAsia="en-US" w:bidi="ar-SA"/>
      </w:rPr>
    </w:lvl>
    <w:lvl w:ilvl="5">
      <w:numFmt w:val="bullet"/>
      <w:lvlText w:val="•"/>
      <w:lvlJc w:val="left"/>
      <w:pPr>
        <w:ind w:left="5425" w:hanging="720"/>
      </w:pPr>
      <w:rPr>
        <w:rFonts w:hint="default"/>
        <w:lang w:val="en-US" w:eastAsia="en-US" w:bidi="ar-SA"/>
      </w:rPr>
    </w:lvl>
    <w:lvl w:ilvl="6">
      <w:numFmt w:val="bullet"/>
      <w:lvlText w:val="•"/>
      <w:lvlJc w:val="left"/>
      <w:pPr>
        <w:ind w:left="6440" w:hanging="720"/>
      </w:pPr>
      <w:rPr>
        <w:rFonts w:hint="default"/>
        <w:lang w:val="en-US" w:eastAsia="en-US" w:bidi="ar-SA"/>
      </w:rPr>
    </w:lvl>
    <w:lvl w:ilvl="7">
      <w:numFmt w:val="bullet"/>
      <w:lvlText w:val="•"/>
      <w:lvlJc w:val="left"/>
      <w:pPr>
        <w:ind w:left="7455" w:hanging="720"/>
      </w:pPr>
      <w:rPr>
        <w:rFonts w:hint="default"/>
        <w:lang w:val="en-US" w:eastAsia="en-US" w:bidi="ar-SA"/>
      </w:rPr>
    </w:lvl>
    <w:lvl w:ilvl="8">
      <w:numFmt w:val="bullet"/>
      <w:lvlText w:val="•"/>
      <w:lvlJc w:val="left"/>
      <w:pPr>
        <w:ind w:left="8470" w:hanging="720"/>
      </w:pPr>
      <w:rPr>
        <w:rFonts w:hint="default"/>
        <w:lang w:val="en-US" w:eastAsia="en-US" w:bidi="ar-SA"/>
      </w:rPr>
    </w:lvl>
  </w:abstractNum>
  <w:abstractNum w:abstractNumId="1" w15:restartNumberingAfterBreak="0">
    <w:nsid w:val="023E2C5D"/>
    <w:multiLevelType w:val="multilevel"/>
    <w:tmpl w:val="04090027"/>
    <w:lvl w:ilvl="0">
      <w:start w:val="1"/>
      <w:numFmt w:val="upperRoman"/>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 w15:restartNumberingAfterBreak="0">
    <w:nsid w:val="039052EE"/>
    <w:multiLevelType w:val="hybridMultilevel"/>
    <w:tmpl w:val="7E38A8E4"/>
    <w:lvl w:ilvl="0" w:tplc="C944D3F8">
      <w:start w:val="1"/>
      <w:numFmt w:val="lowerLetter"/>
      <w:lvlText w:val="%1."/>
      <w:lvlJc w:val="left"/>
      <w:pPr>
        <w:ind w:left="550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 w15:restartNumberingAfterBreak="0">
    <w:nsid w:val="0B933787"/>
    <w:multiLevelType w:val="hybridMultilevel"/>
    <w:tmpl w:val="FFA022BC"/>
    <w:lvl w:ilvl="0" w:tplc="64A69EBE">
      <w:start w:val="2"/>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9C0AE8"/>
    <w:multiLevelType w:val="multilevel"/>
    <w:tmpl w:val="C002A6E6"/>
    <w:numStyleLink w:val="Style2"/>
  </w:abstractNum>
  <w:abstractNum w:abstractNumId="5" w15:restartNumberingAfterBreak="0">
    <w:nsid w:val="0DD96393"/>
    <w:multiLevelType w:val="hybridMultilevel"/>
    <w:tmpl w:val="48C28786"/>
    <w:lvl w:ilvl="0" w:tplc="16B0A9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E870EE1"/>
    <w:multiLevelType w:val="multilevel"/>
    <w:tmpl w:val="18EC63E2"/>
    <w:lvl w:ilvl="0">
      <w:start w:val="1"/>
      <w:numFmt w:val="upperLetter"/>
      <w:lvlText w:val="%1."/>
      <w:lvlJc w:val="left"/>
      <w:pPr>
        <w:ind w:left="722" w:hanging="632"/>
      </w:pPr>
      <w:rPr>
        <w:rFonts w:ascii="Times New Roman" w:eastAsia="Times New Roman" w:hAnsi="Times New Roman" w:cs="Times New Roman" w:hint="default"/>
        <w:b/>
        <w:bCs/>
        <w:i w:val="0"/>
        <w:iCs w:val="0"/>
        <w:spacing w:val="0"/>
        <w:w w:val="100"/>
        <w:sz w:val="24"/>
        <w:szCs w:val="24"/>
      </w:rPr>
    </w:lvl>
    <w:lvl w:ilvl="1">
      <w:start w:val="1"/>
      <w:numFmt w:val="decimal"/>
      <w:lvlText w:val="%2."/>
      <w:lvlJc w:val="left"/>
      <w:pPr>
        <w:ind w:left="1533" w:hanging="723"/>
      </w:pPr>
      <w:rPr>
        <w:rFonts w:ascii="Times New Roman" w:eastAsia="Times New Roman" w:hAnsi="Times New Roman" w:cs="Times New Roman" w:hint="default"/>
        <w:b/>
        <w:bCs/>
        <w:i w:val="0"/>
        <w:iCs w:val="0"/>
        <w:spacing w:val="0"/>
        <w:w w:val="100"/>
        <w:sz w:val="24"/>
        <w:szCs w:val="24"/>
      </w:rPr>
    </w:lvl>
    <w:lvl w:ilvl="2">
      <w:start w:val="1"/>
      <w:numFmt w:val="decimal"/>
      <w:lvlText w:val="%2.%3"/>
      <w:lvlJc w:val="left"/>
      <w:pPr>
        <w:ind w:left="2253" w:hanging="720"/>
      </w:pPr>
      <w:rPr>
        <w:rFonts w:ascii="Times New Roman" w:eastAsia="Times New Roman" w:hAnsi="Times New Roman" w:cs="Times New Roman" w:hint="default"/>
        <w:b/>
        <w:bCs/>
        <w:i w:val="0"/>
        <w:iCs w:val="0"/>
        <w:spacing w:val="0"/>
        <w:w w:val="100"/>
        <w:sz w:val="24"/>
        <w:szCs w:val="24"/>
      </w:rPr>
    </w:lvl>
    <w:lvl w:ilvl="3">
      <w:numFmt w:val="bullet"/>
      <w:lvlText w:val="•"/>
      <w:lvlJc w:val="left"/>
      <w:pPr>
        <w:ind w:left="3277" w:hanging="720"/>
      </w:pPr>
      <w:rPr>
        <w:rFonts w:hint="default"/>
        <w:b w:val="0"/>
        <w:bCs w:val="0"/>
        <w:i w:val="0"/>
        <w:iCs w:val="0"/>
        <w:spacing w:val="-1"/>
        <w:w w:val="100"/>
        <w:sz w:val="24"/>
        <w:szCs w:val="24"/>
      </w:rPr>
    </w:lvl>
    <w:lvl w:ilvl="4">
      <w:numFmt w:val="bullet"/>
      <w:lvlText w:val="•"/>
      <w:lvlJc w:val="left"/>
      <w:pPr>
        <w:ind w:left="4292" w:hanging="720"/>
      </w:pPr>
      <w:rPr>
        <w:rFonts w:hint="default"/>
        <w:b w:val="0"/>
        <w:bCs w:val="0"/>
        <w:i w:val="0"/>
        <w:iCs w:val="0"/>
        <w:spacing w:val="0"/>
        <w:w w:val="100"/>
        <w:sz w:val="24"/>
        <w:szCs w:val="24"/>
      </w:rPr>
    </w:lvl>
    <w:lvl w:ilvl="5">
      <w:numFmt w:val="bullet"/>
      <w:lvlText w:val="•"/>
      <w:lvlJc w:val="left"/>
      <w:pPr>
        <w:ind w:left="5307" w:hanging="720"/>
      </w:pPr>
      <w:rPr>
        <w:rFonts w:hint="default"/>
      </w:rPr>
    </w:lvl>
    <w:lvl w:ilvl="6">
      <w:numFmt w:val="bullet"/>
      <w:lvlText w:val="•"/>
      <w:lvlJc w:val="left"/>
      <w:pPr>
        <w:ind w:left="6322" w:hanging="720"/>
      </w:pPr>
      <w:rPr>
        <w:rFonts w:hint="default"/>
      </w:rPr>
    </w:lvl>
    <w:lvl w:ilvl="7">
      <w:numFmt w:val="bullet"/>
      <w:lvlText w:val="•"/>
      <w:lvlJc w:val="left"/>
      <w:pPr>
        <w:ind w:left="7337" w:hanging="720"/>
      </w:pPr>
      <w:rPr>
        <w:rFonts w:hint="default"/>
      </w:rPr>
    </w:lvl>
    <w:lvl w:ilvl="8">
      <w:numFmt w:val="bullet"/>
      <w:lvlText w:val="•"/>
      <w:lvlJc w:val="left"/>
      <w:pPr>
        <w:ind w:left="8352" w:hanging="720"/>
      </w:pPr>
      <w:rPr>
        <w:rFonts w:hint="default"/>
      </w:rPr>
    </w:lvl>
  </w:abstractNum>
  <w:abstractNum w:abstractNumId="7" w15:restartNumberingAfterBreak="0">
    <w:nsid w:val="1D5632E1"/>
    <w:multiLevelType w:val="hybridMultilevel"/>
    <w:tmpl w:val="2A7EB05E"/>
    <w:lvl w:ilvl="0" w:tplc="B8BA360E">
      <w:start w:val="1"/>
      <w:numFmt w:val="upperLetter"/>
      <w:lvlText w:val="%1."/>
      <w:lvlJc w:val="left"/>
      <w:pPr>
        <w:ind w:left="980" w:hanging="227"/>
      </w:pPr>
      <w:rPr>
        <w:rFonts w:hint="default"/>
        <w:b/>
        <w:bCs/>
        <w:i w:val="0"/>
        <w:iCs w:val="0"/>
        <w:spacing w:val="0"/>
        <w:w w:val="100"/>
        <w:sz w:val="24"/>
        <w:szCs w:val="24"/>
        <w:lang w:val="en-US" w:eastAsia="en-US" w:bidi="ar-SA"/>
      </w:rPr>
    </w:lvl>
    <w:lvl w:ilvl="1" w:tplc="C9567FAE">
      <w:numFmt w:val="bullet"/>
      <w:lvlText w:val="•"/>
      <w:lvlJc w:val="left"/>
      <w:pPr>
        <w:ind w:left="1856" w:hanging="227"/>
      </w:pPr>
      <w:rPr>
        <w:rFonts w:hint="default"/>
        <w:lang w:val="en-US" w:eastAsia="en-US" w:bidi="ar-SA"/>
      </w:rPr>
    </w:lvl>
    <w:lvl w:ilvl="2" w:tplc="C952CF4A">
      <w:numFmt w:val="bullet"/>
      <w:lvlText w:val="•"/>
      <w:lvlJc w:val="left"/>
      <w:pPr>
        <w:ind w:left="2732" w:hanging="227"/>
      </w:pPr>
      <w:rPr>
        <w:rFonts w:hint="default"/>
        <w:lang w:val="en-US" w:eastAsia="en-US" w:bidi="ar-SA"/>
      </w:rPr>
    </w:lvl>
    <w:lvl w:ilvl="3" w:tplc="038C64B8">
      <w:numFmt w:val="bullet"/>
      <w:lvlText w:val="•"/>
      <w:lvlJc w:val="left"/>
      <w:pPr>
        <w:ind w:left="3608" w:hanging="227"/>
      </w:pPr>
      <w:rPr>
        <w:rFonts w:hint="default"/>
        <w:lang w:val="en-US" w:eastAsia="en-US" w:bidi="ar-SA"/>
      </w:rPr>
    </w:lvl>
    <w:lvl w:ilvl="4" w:tplc="530200BE">
      <w:numFmt w:val="bullet"/>
      <w:lvlText w:val="•"/>
      <w:lvlJc w:val="left"/>
      <w:pPr>
        <w:ind w:left="4484" w:hanging="227"/>
      </w:pPr>
      <w:rPr>
        <w:rFonts w:hint="default"/>
        <w:lang w:val="en-US" w:eastAsia="en-US" w:bidi="ar-SA"/>
      </w:rPr>
    </w:lvl>
    <w:lvl w:ilvl="5" w:tplc="B78E56AE">
      <w:numFmt w:val="bullet"/>
      <w:lvlText w:val="•"/>
      <w:lvlJc w:val="left"/>
      <w:pPr>
        <w:ind w:left="5360" w:hanging="227"/>
      </w:pPr>
      <w:rPr>
        <w:rFonts w:hint="default"/>
        <w:lang w:val="en-US" w:eastAsia="en-US" w:bidi="ar-SA"/>
      </w:rPr>
    </w:lvl>
    <w:lvl w:ilvl="6" w:tplc="E9143BCC">
      <w:numFmt w:val="bullet"/>
      <w:lvlText w:val="•"/>
      <w:lvlJc w:val="left"/>
      <w:pPr>
        <w:ind w:left="6236" w:hanging="227"/>
      </w:pPr>
      <w:rPr>
        <w:rFonts w:hint="default"/>
        <w:lang w:val="en-US" w:eastAsia="en-US" w:bidi="ar-SA"/>
      </w:rPr>
    </w:lvl>
    <w:lvl w:ilvl="7" w:tplc="928EBB22">
      <w:numFmt w:val="bullet"/>
      <w:lvlText w:val="•"/>
      <w:lvlJc w:val="left"/>
      <w:pPr>
        <w:ind w:left="7112" w:hanging="227"/>
      </w:pPr>
      <w:rPr>
        <w:rFonts w:hint="default"/>
        <w:lang w:val="en-US" w:eastAsia="en-US" w:bidi="ar-SA"/>
      </w:rPr>
    </w:lvl>
    <w:lvl w:ilvl="8" w:tplc="B9989372">
      <w:numFmt w:val="bullet"/>
      <w:lvlText w:val="•"/>
      <w:lvlJc w:val="left"/>
      <w:pPr>
        <w:ind w:left="7988" w:hanging="227"/>
      </w:pPr>
      <w:rPr>
        <w:rFonts w:hint="default"/>
        <w:lang w:val="en-US" w:eastAsia="en-US" w:bidi="ar-SA"/>
      </w:rPr>
    </w:lvl>
  </w:abstractNum>
  <w:abstractNum w:abstractNumId="8" w15:restartNumberingAfterBreak="0">
    <w:nsid w:val="233D0959"/>
    <w:multiLevelType w:val="multilevel"/>
    <w:tmpl w:val="9F5ACB58"/>
    <w:lvl w:ilvl="0">
      <w:start w:val="13"/>
      <w:numFmt w:val="upperLetter"/>
      <w:lvlText w:val="%1."/>
      <w:lvlJc w:val="left"/>
      <w:pPr>
        <w:ind w:left="722" w:hanging="632"/>
      </w:pPr>
      <w:rPr>
        <w:rFonts w:ascii="Times New Roman" w:eastAsia="Times New Roman" w:hAnsi="Times New Roman" w:cs="Times New Roman" w:hint="default"/>
        <w:b/>
        <w:bCs/>
        <w:i w:val="0"/>
        <w:iCs w:val="0"/>
        <w:spacing w:val="0"/>
        <w:w w:val="100"/>
        <w:sz w:val="24"/>
        <w:szCs w:val="24"/>
      </w:rPr>
    </w:lvl>
    <w:lvl w:ilvl="1">
      <w:start w:val="1"/>
      <w:numFmt w:val="decimal"/>
      <w:lvlText w:val="%2."/>
      <w:lvlJc w:val="left"/>
      <w:pPr>
        <w:ind w:left="1533" w:hanging="723"/>
      </w:pPr>
      <w:rPr>
        <w:rFonts w:ascii="Times New Roman" w:eastAsia="Times New Roman" w:hAnsi="Times New Roman" w:cs="Times New Roman" w:hint="default"/>
        <w:b/>
        <w:bCs/>
        <w:i w:val="0"/>
        <w:iCs w:val="0"/>
        <w:spacing w:val="0"/>
        <w:w w:val="100"/>
        <w:sz w:val="24"/>
        <w:szCs w:val="24"/>
      </w:rPr>
    </w:lvl>
    <w:lvl w:ilvl="2">
      <w:start w:val="1"/>
      <w:numFmt w:val="decimal"/>
      <w:lvlText w:val="%2.%3"/>
      <w:lvlJc w:val="left"/>
      <w:pPr>
        <w:ind w:left="2253" w:hanging="720"/>
      </w:pPr>
      <w:rPr>
        <w:rFonts w:ascii="Times New Roman" w:eastAsia="Times New Roman" w:hAnsi="Times New Roman" w:cs="Times New Roman" w:hint="default"/>
        <w:b/>
        <w:bCs/>
        <w:i w:val="0"/>
        <w:iCs w:val="0"/>
        <w:spacing w:val="0"/>
        <w:w w:val="100"/>
        <w:sz w:val="24"/>
        <w:szCs w:val="24"/>
      </w:rPr>
    </w:lvl>
    <w:lvl w:ilvl="3">
      <w:numFmt w:val="bullet"/>
      <w:lvlText w:val="•"/>
      <w:lvlJc w:val="left"/>
      <w:pPr>
        <w:ind w:left="3277" w:hanging="720"/>
      </w:pPr>
      <w:rPr>
        <w:rFonts w:hint="default"/>
        <w:b w:val="0"/>
        <w:bCs w:val="0"/>
        <w:i w:val="0"/>
        <w:iCs w:val="0"/>
        <w:spacing w:val="-1"/>
        <w:w w:val="100"/>
        <w:sz w:val="24"/>
        <w:szCs w:val="24"/>
      </w:rPr>
    </w:lvl>
    <w:lvl w:ilvl="4">
      <w:numFmt w:val="bullet"/>
      <w:lvlText w:val="•"/>
      <w:lvlJc w:val="left"/>
      <w:pPr>
        <w:ind w:left="4292" w:hanging="720"/>
      </w:pPr>
      <w:rPr>
        <w:rFonts w:hint="default"/>
        <w:b w:val="0"/>
        <w:bCs w:val="0"/>
        <w:i w:val="0"/>
        <w:iCs w:val="0"/>
        <w:spacing w:val="0"/>
        <w:w w:val="100"/>
        <w:sz w:val="24"/>
        <w:szCs w:val="24"/>
      </w:rPr>
    </w:lvl>
    <w:lvl w:ilvl="5">
      <w:numFmt w:val="bullet"/>
      <w:lvlText w:val="•"/>
      <w:lvlJc w:val="left"/>
      <w:pPr>
        <w:ind w:left="5307" w:hanging="720"/>
      </w:pPr>
      <w:rPr>
        <w:rFonts w:hint="default"/>
      </w:rPr>
    </w:lvl>
    <w:lvl w:ilvl="6">
      <w:numFmt w:val="bullet"/>
      <w:lvlText w:val="•"/>
      <w:lvlJc w:val="left"/>
      <w:pPr>
        <w:ind w:left="6322" w:hanging="720"/>
      </w:pPr>
      <w:rPr>
        <w:rFonts w:hint="default"/>
      </w:rPr>
    </w:lvl>
    <w:lvl w:ilvl="7">
      <w:numFmt w:val="bullet"/>
      <w:lvlText w:val="•"/>
      <w:lvlJc w:val="left"/>
      <w:pPr>
        <w:ind w:left="7337" w:hanging="720"/>
      </w:pPr>
      <w:rPr>
        <w:rFonts w:hint="default"/>
      </w:rPr>
    </w:lvl>
    <w:lvl w:ilvl="8">
      <w:numFmt w:val="bullet"/>
      <w:lvlText w:val="•"/>
      <w:lvlJc w:val="left"/>
      <w:pPr>
        <w:ind w:left="8352" w:hanging="720"/>
      </w:pPr>
      <w:rPr>
        <w:rFonts w:hint="default"/>
      </w:rPr>
    </w:lvl>
  </w:abstractNum>
  <w:abstractNum w:abstractNumId="9" w15:restartNumberingAfterBreak="0">
    <w:nsid w:val="2CE7444B"/>
    <w:multiLevelType w:val="hybridMultilevel"/>
    <w:tmpl w:val="7672703E"/>
    <w:lvl w:ilvl="0" w:tplc="DCD44C84">
      <w:start w:val="1"/>
      <w:numFmt w:val="decimal"/>
      <w:lvlText w:val="%1."/>
      <w:lvlJc w:val="left"/>
      <w:pPr>
        <w:ind w:left="10180" w:hanging="720"/>
      </w:pPr>
      <w:rPr>
        <w:rFonts w:ascii="Times New Roman" w:eastAsia="Times New Roman" w:hAnsi="Times New Roman" w:cs="Times New Roman" w:hint="default"/>
        <w:b/>
        <w:bCs/>
        <w:i w:val="0"/>
        <w:iCs w:val="0"/>
        <w:spacing w:val="0"/>
        <w:w w:val="100"/>
        <w:sz w:val="24"/>
        <w:szCs w:val="24"/>
        <w:lang w:val="en-US" w:eastAsia="en-US" w:bidi="ar-SA"/>
      </w:rPr>
    </w:lvl>
    <w:lvl w:ilvl="1" w:tplc="04090019">
      <w:start w:val="1"/>
      <w:numFmt w:val="lowerLetter"/>
      <w:lvlText w:val="%2."/>
      <w:lvlJc w:val="left"/>
      <w:pPr>
        <w:ind w:left="10080" w:hanging="360"/>
      </w:pPr>
    </w:lvl>
    <w:lvl w:ilvl="2" w:tplc="0409001B">
      <w:start w:val="1"/>
      <w:numFmt w:val="lowerRoman"/>
      <w:lvlText w:val="%3."/>
      <w:lvlJc w:val="right"/>
      <w:pPr>
        <w:ind w:left="10800" w:hanging="180"/>
      </w:pPr>
    </w:lvl>
    <w:lvl w:ilvl="3" w:tplc="0409000F" w:tentative="1">
      <w:start w:val="1"/>
      <w:numFmt w:val="decimal"/>
      <w:lvlText w:val="%4."/>
      <w:lvlJc w:val="left"/>
      <w:pPr>
        <w:ind w:left="11520" w:hanging="360"/>
      </w:pPr>
    </w:lvl>
    <w:lvl w:ilvl="4" w:tplc="04090019" w:tentative="1">
      <w:start w:val="1"/>
      <w:numFmt w:val="lowerLetter"/>
      <w:lvlText w:val="%5."/>
      <w:lvlJc w:val="left"/>
      <w:pPr>
        <w:ind w:left="12240" w:hanging="360"/>
      </w:pPr>
    </w:lvl>
    <w:lvl w:ilvl="5" w:tplc="0409001B" w:tentative="1">
      <w:start w:val="1"/>
      <w:numFmt w:val="lowerRoman"/>
      <w:lvlText w:val="%6."/>
      <w:lvlJc w:val="right"/>
      <w:pPr>
        <w:ind w:left="12960" w:hanging="180"/>
      </w:pPr>
    </w:lvl>
    <w:lvl w:ilvl="6" w:tplc="0409000F" w:tentative="1">
      <w:start w:val="1"/>
      <w:numFmt w:val="decimal"/>
      <w:lvlText w:val="%7."/>
      <w:lvlJc w:val="left"/>
      <w:pPr>
        <w:ind w:left="13680" w:hanging="360"/>
      </w:pPr>
    </w:lvl>
    <w:lvl w:ilvl="7" w:tplc="04090019" w:tentative="1">
      <w:start w:val="1"/>
      <w:numFmt w:val="lowerLetter"/>
      <w:lvlText w:val="%8."/>
      <w:lvlJc w:val="left"/>
      <w:pPr>
        <w:ind w:left="14400" w:hanging="360"/>
      </w:pPr>
    </w:lvl>
    <w:lvl w:ilvl="8" w:tplc="0409001B" w:tentative="1">
      <w:start w:val="1"/>
      <w:numFmt w:val="lowerRoman"/>
      <w:lvlText w:val="%9."/>
      <w:lvlJc w:val="right"/>
      <w:pPr>
        <w:ind w:left="15120" w:hanging="180"/>
      </w:pPr>
    </w:lvl>
  </w:abstractNum>
  <w:abstractNum w:abstractNumId="10" w15:restartNumberingAfterBreak="0">
    <w:nsid w:val="2EEB3142"/>
    <w:multiLevelType w:val="hybridMultilevel"/>
    <w:tmpl w:val="F9BEB2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FD5071"/>
    <w:multiLevelType w:val="hybridMultilevel"/>
    <w:tmpl w:val="6AFA729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2EF2EFA"/>
    <w:multiLevelType w:val="hybridMultilevel"/>
    <w:tmpl w:val="91144AFE"/>
    <w:lvl w:ilvl="0" w:tplc="D6C003E2">
      <w:start w:val="3"/>
      <w:numFmt w:val="upperLetter"/>
      <w:lvlText w:val="%1."/>
      <w:lvlJc w:val="left"/>
      <w:pPr>
        <w:ind w:left="587" w:hanging="227"/>
      </w:pPr>
      <w:rPr>
        <w:rFonts w:hint="default"/>
        <w:b/>
        <w:bCs/>
        <w:i w:val="0"/>
        <w:iCs w:val="0"/>
        <w:spacing w:val="0"/>
        <w:w w:val="100"/>
        <w:sz w:val="24"/>
        <w:szCs w:val="24"/>
      </w:rPr>
    </w:lvl>
    <w:lvl w:ilvl="1" w:tplc="04090019">
      <w:start w:val="1"/>
      <w:numFmt w:val="lowerLetter"/>
      <w:lvlText w:val="%2."/>
      <w:lvlJc w:val="left"/>
      <w:pPr>
        <w:ind w:left="1047" w:hanging="360"/>
      </w:pPr>
    </w:lvl>
    <w:lvl w:ilvl="2" w:tplc="0409001B" w:tentative="1">
      <w:start w:val="1"/>
      <w:numFmt w:val="lowerRoman"/>
      <w:lvlText w:val="%3."/>
      <w:lvlJc w:val="right"/>
      <w:pPr>
        <w:ind w:left="1767" w:hanging="180"/>
      </w:pPr>
    </w:lvl>
    <w:lvl w:ilvl="3" w:tplc="0409000F" w:tentative="1">
      <w:start w:val="1"/>
      <w:numFmt w:val="decimal"/>
      <w:lvlText w:val="%4."/>
      <w:lvlJc w:val="left"/>
      <w:pPr>
        <w:ind w:left="2487" w:hanging="360"/>
      </w:pPr>
    </w:lvl>
    <w:lvl w:ilvl="4" w:tplc="04090019" w:tentative="1">
      <w:start w:val="1"/>
      <w:numFmt w:val="lowerLetter"/>
      <w:lvlText w:val="%5."/>
      <w:lvlJc w:val="left"/>
      <w:pPr>
        <w:ind w:left="3207" w:hanging="360"/>
      </w:pPr>
    </w:lvl>
    <w:lvl w:ilvl="5" w:tplc="0409001B" w:tentative="1">
      <w:start w:val="1"/>
      <w:numFmt w:val="lowerRoman"/>
      <w:lvlText w:val="%6."/>
      <w:lvlJc w:val="right"/>
      <w:pPr>
        <w:ind w:left="3927" w:hanging="180"/>
      </w:pPr>
    </w:lvl>
    <w:lvl w:ilvl="6" w:tplc="0409000F" w:tentative="1">
      <w:start w:val="1"/>
      <w:numFmt w:val="decimal"/>
      <w:lvlText w:val="%7."/>
      <w:lvlJc w:val="left"/>
      <w:pPr>
        <w:ind w:left="4647" w:hanging="360"/>
      </w:pPr>
    </w:lvl>
    <w:lvl w:ilvl="7" w:tplc="04090019" w:tentative="1">
      <w:start w:val="1"/>
      <w:numFmt w:val="lowerLetter"/>
      <w:lvlText w:val="%8."/>
      <w:lvlJc w:val="left"/>
      <w:pPr>
        <w:ind w:left="5367" w:hanging="360"/>
      </w:pPr>
    </w:lvl>
    <w:lvl w:ilvl="8" w:tplc="0409001B" w:tentative="1">
      <w:start w:val="1"/>
      <w:numFmt w:val="lowerRoman"/>
      <w:lvlText w:val="%9."/>
      <w:lvlJc w:val="right"/>
      <w:pPr>
        <w:ind w:left="6087" w:hanging="180"/>
      </w:pPr>
    </w:lvl>
  </w:abstractNum>
  <w:abstractNum w:abstractNumId="13" w15:restartNumberingAfterBreak="0">
    <w:nsid w:val="339E6E3E"/>
    <w:multiLevelType w:val="hybridMultilevel"/>
    <w:tmpl w:val="EA5A4260"/>
    <w:lvl w:ilvl="0" w:tplc="83EC5432">
      <w:start w:val="7"/>
      <w:numFmt w:val="upperLetter"/>
      <w:lvlText w:val="%1."/>
      <w:lvlJc w:val="left"/>
      <w:pPr>
        <w:ind w:left="1080" w:hanging="720"/>
      </w:pPr>
      <w:rPr>
        <w:rFonts w:ascii="Times New Roman" w:eastAsia="Times New Roman" w:hAnsi="Times New Roman" w:cs="Times New Roman" w:hint="default"/>
        <w:b/>
        <w:bCs/>
        <w:i w:val="0"/>
        <w:iCs w:val="0"/>
        <w:spacing w:val="0"/>
        <w:w w:val="100"/>
        <w:sz w:val="24"/>
        <w:szCs w:val="24"/>
        <w:lang w:val="en-US" w:eastAsia="en-US" w:bidi="ar-SA"/>
      </w:rPr>
    </w:lvl>
    <w:lvl w:ilvl="1" w:tplc="5296CF18">
      <w:start w:val="1"/>
      <w:numFmt w:val="decimal"/>
      <w:lvlText w:val="%2."/>
      <w:lvlJc w:val="left"/>
      <w:pPr>
        <w:ind w:left="1800" w:hanging="720"/>
      </w:pPr>
      <w:rPr>
        <w:rFonts w:ascii="Times New Roman" w:eastAsia="Times New Roman" w:hAnsi="Times New Roman" w:cs="Times New Roman" w:hint="default"/>
        <w:b/>
        <w:bCs/>
        <w:i w:val="0"/>
        <w:iCs w:val="0"/>
        <w:spacing w:val="0"/>
        <w:w w:val="100"/>
        <w:sz w:val="24"/>
        <w:szCs w:val="24"/>
        <w:lang w:val="en-US" w:eastAsia="en-US" w:bidi="ar-SA"/>
      </w:rPr>
    </w:lvl>
    <w:lvl w:ilvl="2" w:tplc="ADDA1BD6">
      <w:start w:val="1"/>
      <w:numFmt w:val="lowerLetter"/>
      <w:lvlText w:val="%3."/>
      <w:lvlJc w:val="left"/>
      <w:pPr>
        <w:ind w:left="2520" w:hanging="720"/>
      </w:pPr>
      <w:rPr>
        <w:rFonts w:ascii="Times New Roman" w:eastAsia="Times New Roman" w:hAnsi="Times New Roman" w:cs="Times New Roman" w:hint="default"/>
        <w:b/>
        <w:bCs/>
        <w:i w:val="0"/>
        <w:iCs w:val="0"/>
        <w:spacing w:val="-1"/>
        <w:w w:val="100"/>
        <w:sz w:val="24"/>
        <w:szCs w:val="24"/>
        <w:lang w:val="en-US" w:eastAsia="en-US" w:bidi="ar-SA"/>
      </w:rPr>
    </w:lvl>
    <w:lvl w:ilvl="3" w:tplc="7A324E3C">
      <w:numFmt w:val="bullet"/>
      <w:lvlText w:val="•"/>
      <w:lvlJc w:val="left"/>
      <w:pPr>
        <w:ind w:left="3435" w:hanging="720"/>
      </w:pPr>
      <w:rPr>
        <w:rFonts w:hint="default"/>
        <w:lang w:val="en-US" w:eastAsia="en-US" w:bidi="ar-SA"/>
      </w:rPr>
    </w:lvl>
    <w:lvl w:ilvl="4" w:tplc="DAC8E134">
      <w:numFmt w:val="bullet"/>
      <w:lvlText w:val="•"/>
      <w:lvlJc w:val="left"/>
      <w:pPr>
        <w:ind w:left="4350" w:hanging="720"/>
      </w:pPr>
      <w:rPr>
        <w:rFonts w:hint="default"/>
        <w:lang w:val="en-US" w:eastAsia="en-US" w:bidi="ar-SA"/>
      </w:rPr>
    </w:lvl>
    <w:lvl w:ilvl="5" w:tplc="4D5C35D2">
      <w:numFmt w:val="bullet"/>
      <w:lvlText w:val="•"/>
      <w:lvlJc w:val="left"/>
      <w:pPr>
        <w:ind w:left="5265" w:hanging="720"/>
      </w:pPr>
      <w:rPr>
        <w:rFonts w:hint="default"/>
        <w:lang w:val="en-US" w:eastAsia="en-US" w:bidi="ar-SA"/>
      </w:rPr>
    </w:lvl>
    <w:lvl w:ilvl="6" w:tplc="154E8F28">
      <w:numFmt w:val="bullet"/>
      <w:lvlText w:val="•"/>
      <w:lvlJc w:val="left"/>
      <w:pPr>
        <w:ind w:left="6180" w:hanging="720"/>
      </w:pPr>
      <w:rPr>
        <w:rFonts w:hint="default"/>
        <w:lang w:val="en-US" w:eastAsia="en-US" w:bidi="ar-SA"/>
      </w:rPr>
    </w:lvl>
    <w:lvl w:ilvl="7" w:tplc="8C0AF70C">
      <w:numFmt w:val="bullet"/>
      <w:lvlText w:val="•"/>
      <w:lvlJc w:val="left"/>
      <w:pPr>
        <w:ind w:left="7095" w:hanging="720"/>
      </w:pPr>
      <w:rPr>
        <w:rFonts w:hint="default"/>
        <w:lang w:val="en-US" w:eastAsia="en-US" w:bidi="ar-SA"/>
      </w:rPr>
    </w:lvl>
    <w:lvl w:ilvl="8" w:tplc="412CB366">
      <w:numFmt w:val="bullet"/>
      <w:lvlText w:val="•"/>
      <w:lvlJc w:val="left"/>
      <w:pPr>
        <w:ind w:left="8010" w:hanging="720"/>
      </w:pPr>
      <w:rPr>
        <w:rFonts w:hint="default"/>
        <w:lang w:val="en-US" w:eastAsia="en-US" w:bidi="ar-SA"/>
      </w:rPr>
    </w:lvl>
  </w:abstractNum>
  <w:abstractNum w:abstractNumId="14" w15:restartNumberingAfterBreak="0">
    <w:nsid w:val="343043CA"/>
    <w:multiLevelType w:val="hybridMultilevel"/>
    <w:tmpl w:val="A13C210C"/>
    <w:lvl w:ilvl="0" w:tplc="4088F338">
      <w:start w:val="2"/>
      <w:numFmt w:val="upperRoman"/>
      <w:lvlText w:val="%1."/>
      <w:lvlJc w:val="left"/>
      <w:pPr>
        <w:ind w:left="840" w:hanging="360"/>
      </w:pPr>
      <w:rPr>
        <w:rFonts w:ascii="Times New Roman" w:eastAsia="Times New Roman" w:hAnsi="Times New Roman" w:cs="Times New Roman" w:hint="default"/>
        <w:b/>
        <w:bCs/>
        <w:i w:val="0"/>
        <w:iCs w:val="0"/>
        <w:spacing w:val="0"/>
        <w:w w:val="99"/>
        <w:sz w:val="24"/>
        <w:szCs w:val="24"/>
        <w:lang w:val="en-US" w:eastAsia="en-US" w:bidi="ar-SA"/>
      </w:rPr>
    </w:lvl>
    <w:lvl w:ilvl="1" w:tplc="3B8AA80E">
      <w:start w:val="1"/>
      <w:numFmt w:val="upperLetter"/>
      <w:lvlText w:val="%2."/>
      <w:lvlJc w:val="left"/>
      <w:pPr>
        <w:ind w:left="1560" w:hanging="360"/>
      </w:pPr>
      <w:rPr>
        <w:rFonts w:ascii="Times New Roman" w:eastAsia="Times New Roman" w:hAnsi="Times New Roman" w:cs="Times New Roman" w:hint="default"/>
        <w:b/>
        <w:bCs/>
        <w:i w:val="0"/>
        <w:iCs w:val="0"/>
        <w:spacing w:val="-1"/>
        <w:w w:val="100"/>
        <w:sz w:val="24"/>
        <w:szCs w:val="24"/>
        <w:lang w:val="en-US" w:eastAsia="en-US" w:bidi="ar-SA"/>
      </w:rPr>
    </w:lvl>
    <w:lvl w:ilvl="2" w:tplc="B9269220">
      <w:start w:val="1"/>
      <w:numFmt w:val="decimal"/>
      <w:lvlText w:val="%3."/>
      <w:lvlJc w:val="left"/>
      <w:pPr>
        <w:ind w:left="2280" w:hanging="360"/>
      </w:pPr>
      <w:rPr>
        <w:rFonts w:ascii="Times New Roman" w:eastAsia="Times New Roman" w:hAnsi="Times New Roman" w:cs="Times New Roman" w:hint="default"/>
        <w:b/>
        <w:bCs/>
        <w:i w:val="0"/>
        <w:iCs w:val="0"/>
        <w:spacing w:val="0"/>
        <w:w w:val="100"/>
        <w:sz w:val="24"/>
        <w:szCs w:val="24"/>
        <w:lang w:val="en-US" w:eastAsia="en-US" w:bidi="ar-SA"/>
      </w:rPr>
    </w:lvl>
    <w:lvl w:ilvl="3" w:tplc="396C53F6">
      <w:start w:val="1"/>
      <w:numFmt w:val="lowerLetter"/>
      <w:lvlText w:val="%4."/>
      <w:lvlJc w:val="left"/>
      <w:pPr>
        <w:ind w:left="3000" w:hanging="360"/>
      </w:pPr>
      <w:rPr>
        <w:rFonts w:ascii="Times New Roman" w:eastAsia="Times New Roman" w:hAnsi="Times New Roman" w:cs="Times New Roman" w:hint="default"/>
        <w:b/>
        <w:bCs/>
        <w:i w:val="0"/>
        <w:iCs w:val="0"/>
        <w:spacing w:val="0"/>
        <w:w w:val="100"/>
        <w:sz w:val="24"/>
        <w:szCs w:val="24"/>
        <w:lang w:val="en-US" w:eastAsia="en-US" w:bidi="ar-SA"/>
      </w:rPr>
    </w:lvl>
    <w:lvl w:ilvl="4" w:tplc="681A4E8C">
      <w:start w:val="1"/>
      <w:numFmt w:val="lowerRoman"/>
      <w:lvlText w:val="%5."/>
      <w:lvlJc w:val="left"/>
      <w:pPr>
        <w:ind w:left="3720" w:hanging="360"/>
      </w:pPr>
      <w:rPr>
        <w:rFonts w:ascii="Times New Roman" w:eastAsia="Times New Roman" w:hAnsi="Times New Roman" w:cs="Times New Roman" w:hint="default"/>
        <w:b/>
        <w:bCs/>
        <w:i w:val="0"/>
        <w:iCs w:val="0"/>
        <w:spacing w:val="0"/>
        <w:w w:val="100"/>
        <w:sz w:val="24"/>
        <w:szCs w:val="24"/>
        <w:lang w:val="en-US" w:eastAsia="en-US" w:bidi="ar-SA"/>
      </w:rPr>
    </w:lvl>
    <w:lvl w:ilvl="5" w:tplc="D6E80B6E">
      <w:numFmt w:val="bullet"/>
      <w:lvlText w:val="•"/>
      <w:lvlJc w:val="left"/>
      <w:pPr>
        <w:ind w:left="4700" w:hanging="360"/>
      </w:pPr>
      <w:rPr>
        <w:rFonts w:hint="default"/>
        <w:lang w:val="en-US" w:eastAsia="en-US" w:bidi="ar-SA"/>
      </w:rPr>
    </w:lvl>
    <w:lvl w:ilvl="6" w:tplc="EB548960">
      <w:numFmt w:val="bullet"/>
      <w:lvlText w:val="•"/>
      <w:lvlJc w:val="left"/>
      <w:pPr>
        <w:ind w:left="5680" w:hanging="360"/>
      </w:pPr>
      <w:rPr>
        <w:rFonts w:hint="default"/>
        <w:lang w:val="en-US" w:eastAsia="en-US" w:bidi="ar-SA"/>
      </w:rPr>
    </w:lvl>
    <w:lvl w:ilvl="7" w:tplc="99DC0D82">
      <w:numFmt w:val="bullet"/>
      <w:lvlText w:val="•"/>
      <w:lvlJc w:val="left"/>
      <w:pPr>
        <w:ind w:left="6660" w:hanging="360"/>
      </w:pPr>
      <w:rPr>
        <w:rFonts w:hint="default"/>
        <w:lang w:val="en-US" w:eastAsia="en-US" w:bidi="ar-SA"/>
      </w:rPr>
    </w:lvl>
    <w:lvl w:ilvl="8" w:tplc="9EBC0EF2">
      <w:numFmt w:val="bullet"/>
      <w:lvlText w:val="•"/>
      <w:lvlJc w:val="left"/>
      <w:pPr>
        <w:ind w:left="7640" w:hanging="360"/>
      </w:pPr>
      <w:rPr>
        <w:rFonts w:hint="default"/>
        <w:lang w:val="en-US" w:eastAsia="en-US" w:bidi="ar-SA"/>
      </w:rPr>
    </w:lvl>
  </w:abstractNum>
  <w:abstractNum w:abstractNumId="15" w15:restartNumberingAfterBreak="0">
    <w:nsid w:val="3571695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77B7317"/>
    <w:multiLevelType w:val="hybridMultilevel"/>
    <w:tmpl w:val="25CA19E2"/>
    <w:lvl w:ilvl="0" w:tplc="60F4CF2E">
      <w:start w:val="12"/>
      <w:numFmt w:val="upperLetter"/>
      <w:lvlText w:val="%1."/>
      <w:lvlJc w:val="left"/>
      <w:pPr>
        <w:ind w:left="1080" w:hanging="720"/>
      </w:pPr>
      <w:rPr>
        <w:rFonts w:ascii="Times New Roman" w:eastAsia="Times New Roman" w:hAnsi="Times New Roman" w:cs="Times New Roman" w:hint="default"/>
        <w:b/>
        <w:bCs/>
        <w:i w:val="0"/>
        <w:iCs w:val="0"/>
        <w:spacing w:val="0"/>
        <w:w w:val="10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2D2FEB"/>
    <w:multiLevelType w:val="multilevel"/>
    <w:tmpl w:val="C002A6E6"/>
    <w:styleLink w:val="Style2"/>
    <w:lvl w:ilvl="0">
      <w:start w:val="1"/>
      <w:numFmt w:val="decimal"/>
      <w:lvlText w:val="%1."/>
      <w:lvlJc w:val="left"/>
      <w:pPr>
        <w:ind w:left="720" w:hanging="360"/>
      </w:pPr>
      <w:rPr>
        <w:rFonts w:hint="default"/>
        <w:i w:val="0"/>
        <w:iCs/>
      </w:rPr>
    </w:lvl>
    <w:lvl w:ilvl="1">
      <w:start w:val="1"/>
      <w:numFmt w:val="lowerLetter"/>
      <w:lvlText w:val="%2."/>
      <w:lvlJc w:val="left"/>
      <w:pPr>
        <w:ind w:left="1440" w:hanging="360"/>
      </w:pPr>
      <w:rPr>
        <w:rFonts w:hint="default"/>
      </w:rPr>
    </w:lvl>
    <w:lvl w:ilvl="2">
      <w:start w:val="1"/>
      <w:numFmt w:val="none"/>
      <w:lvlText w:val="(1)"/>
      <w:lvlJc w:val="right"/>
      <w:pPr>
        <w:ind w:left="252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2C4607E"/>
    <w:multiLevelType w:val="multilevel"/>
    <w:tmpl w:val="014E4C8A"/>
    <w:lvl w:ilvl="0">
      <w:start w:val="1"/>
      <w:numFmt w:val="decimal"/>
      <w:lvlText w:val="%1."/>
      <w:lvlJc w:val="left"/>
      <w:pPr>
        <w:ind w:left="1080" w:hanging="360"/>
      </w:pPr>
      <w:rPr>
        <w:rFonts w:hint="default"/>
        <w:i w:val="0"/>
        <w:iCs/>
      </w:rPr>
    </w:lvl>
    <w:lvl w:ilvl="1">
      <w:start w:val="1"/>
      <w:numFmt w:val="lowerLetter"/>
      <w:lvlText w:val="%2."/>
      <w:lvlJc w:val="left"/>
      <w:pPr>
        <w:ind w:left="1800" w:hanging="360"/>
      </w:pPr>
      <w:rPr>
        <w:rFonts w:hint="default"/>
      </w:rPr>
    </w:lvl>
    <w:lvl w:ilvl="2">
      <w:start w:val="1"/>
      <w:numFmt w:val="none"/>
      <w:lvlText w:val="(1)"/>
      <w:lvlJc w:val="right"/>
      <w:pPr>
        <w:ind w:left="288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9" w15:restartNumberingAfterBreak="0">
    <w:nsid w:val="60927E68"/>
    <w:multiLevelType w:val="hybridMultilevel"/>
    <w:tmpl w:val="8000FF22"/>
    <w:lvl w:ilvl="0" w:tplc="019C060C">
      <w:start w:val="6"/>
      <w:numFmt w:val="upperLetter"/>
      <w:lvlText w:val="%1."/>
      <w:lvlJc w:val="left"/>
      <w:pPr>
        <w:ind w:left="587" w:hanging="227"/>
      </w:pPr>
      <w:rPr>
        <w:rFonts w:hint="default"/>
        <w:b/>
        <w:bCs/>
        <w:i w:val="0"/>
        <w:iCs w:val="0"/>
        <w:spacing w:val="0"/>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7F51C0"/>
    <w:multiLevelType w:val="multilevel"/>
    <w:tmpl w:val="C002A6E6"/>
    <w:numStyleLink w:val="Style2"/>
  </w:abstractNum>
  <w:abstractNum w:abstractNumId="21" w15:restartNumberingAfterBreak="0">
    <w:nsid w:val="6BCC4AC6"/>
    <w:multiLevelType w:val="multilevel"/>
    <w:tmpl w:val="C002A6E6"/>
    <w:numStyleLink w:val="Style2"/>
  </w:abstractNum>
  <w:abstractNum w:abstractNumId="22" w15:restartNumberingAfterBreak="0">
    <w:nsid w:val="747D2D35"/>
    <w:multiLevelType w:val="multilevel"/>
    <w:tmpl w:val="18EC63E2"/>
    <w:styleLink w:val="Style1"/>
    <w:lvl w:ilvl="0">
      <w:start w:val="1"/>
      <w:numFmt w:val="upperLetter"/>
      <w:lvlText w:val="%1."/>
      <w:lvlJc w:val="left"/>
      <w:pPr>
        <w:ind w:left="722" w:hanging="632"/>
      </w:pPr>
      <w:rPr>
        <w:rFonts w:ascii="Times New Roman" w:eastAsia="Times New Roman" w:hAnsi="Times New Roman" w:cs="Times New Roman" w:hint="default"/>
        <w:b/>
        <w:bCs/>
        <w:i w:val="0"/>
        <w:iCs w:val="0"/>
        <w:spacing w:val="0"/>
        <w:w w:val="100"/>
        <w:sz w:val="24"/>
        <w:szCs w:val="24"/>
      </w:rPr>
    </w:lvl>
    <w:lvl w:ilvl="1">
      <w:start w:val="1"/>
      <w:numFmt w:val="decimal"/>
      <w:lvlText w:val="%2."/>
      <w:lvlJc w:val="left"/>
      <w:pPr>
        <w:ind w:left="1533" w:hanging="723"/>
      </w:pPr>
      <w:rPr>
        <w:rFonts w:ascii="Times New Roman" w:eastAsia="Times New Roman" w:hAnsi="Times New Roman" w:cs="Times New Roman" w:hint="default"/>
        <w:b/>
        <w:bCs/>
        <w:i w:val="0"/>
        <w:iCs w:val="0"/>
        <w:spacing w:val="0"/>
        <w:w w:val="100"/>
        <w:sz w:val="24"/>
        <w:szCs w:val="24"/>
      </w:rPr>
    </w:lvl>
    <w:lvl w:ilvl="2">
      <w:start w:val="1"/>
      <w:numFmt w:val="decimal"/>
      <w:lvlText w:val="%2.%3"/>
      <w:lvlJc w:val="left"/>
      <w:pPr>
        <w:ind w:left="2253" w:hanging="720"/>
      </w:pPr>
      <w:rPr>
        <w:rFonts w:ascii="Times New Roman" w:eastAsia="Times New Roman" w:hAnsi="Times New Roman" w:cs="Times New Roman" w:hint="default"/>
        <w:b/>
        <w:bCs/>
        <w:i w:val="0"/>
        <w:iCs w:val="0"/>
        <w:spacing w:val="0"/>
        <w:w w:val="100"/>
        <w:sz w:val="24"/>
        <w:szCs w:val="24"/>
      </w:rPr>
    </w:lvl>
    <w:lvl w:ilvl="3">
      <w:numFmt w:val="bullet"/>
      <w:lvlText w:val="•"/>
      <w:lvlJc w:val="left"/>
      <w:pPr>
        <w:ind w:left="3277" w:hanging="720"/>
      </w:pPr>
      <w:rPr>
        <w:rFonts w:hint="default"/>
        <w:b w:val="0"/>
        <w:bCs w:val="0"/>
        <w:i w:val="0"/>
        <w:iCs w:val="0"/>
        <w:spacing w:val="-1"/>
        <w:w w:val="100"/>
        <w:sz w:val="24"/>
        <w:szCs w:val="24"/>
      </w:rPr>
    </w:lvl>
    <w:lvl w:ilvl="4">
      <w:numFmt w:val="bullet"/>
      <w:lvlText w:val="•"/>
      <w:lvlJc w:val="left"/>
      <w:pPr>
        <w:ind w:left="4292" w:hanging="720"/>
      </w:pPr>
      <w:rPr>
        <w:rFonts w:hint="default"/>
        <w:b w:val="0"/>
        <w:bCs w:val="0"/>
        <w:i w:val="0"/>
        <w:iCs w:val="0"/>
        <w:spacing w:val="0"/>
        <w:w w:val="100"/>
        <w:sz w:val="24"/>
        <w:szCs w:val="24"/>
      </w:rPr>
    </w:lvl>
    <w:lvl w:ilvl="5">
      <w:numFmt w:val="bullet"/>
      <w:lvlText w:val="•"/>
      <w:lvlJc w:val="left"/>
      <w:pPr>
        <w:ind w:left="5307" w:hanging="720"/>
      </w:pPr>
      <w:rPr>
        <w:rFonts w:hint="default"/>
      </w:rPr>
    </w:lvl>
    <w:lvl w:ilvl="6">
      <w:numFmt w:val="bullet"/>
      <w:lvlText w:val="•"/>
      <w:lvlJc w:val="left"/>
      <w:pPr>
        <w:ind w:left="6322" w:hanging="720"/>
      </w:pPr>
      <w:rPr>
        <w:rFonts w:hint="default"/>
      </w:rPr>
    </w:lvl>
    <w:lvl w:ilvl="7">
      <w:numFmt w:val="bullet"/>
      <w:lvlText w:val="•"/>
      <w:lvlJc w:val="left"/>
      <w:pPr>
        <w:ind w:left="7337" w:hanging="720"/>
      </w:pPr>
      <w:rPr>
        <w:rFonts w:hint="default"/>
      </w:rPr>
    </w:lvl>
    <w:lvl w:ilvl="8">
      <w:numFmt w:val="bullet"/>
      <w:lvlText w:val="•"/>
      <w:lvlJc w:val="left"/>
      <w:pPr>
        <w:ind w:left="8352" w:hanging="720"/>
      </w:pPr>
      <w:rPr>
        <w:rFonts w:hint="default"/>
      </w:rPr>
    </w:lvl>
  </w:abstractNum>
  <w:abstractNum w:abstractNumId="23" w15:restartNumberingAfterBreak="0">
    <w:nsid w:val="77D1556B"/>
    <w:multiLevelType w:val="multilevel"/>
    <w:tmpl w:val="3B50E860"/>
    <w:lvl w:ilvl="0">
      <w:start w:val="1"/>
      <w:numFmt w:val="decimal"/>
      <w:lvlText w:val="%1."/>
      <w:lvlJc w:val="left"/>
      <w:pPr>
        <w:ind w:left="720" w:hanging="360"/>
      </w:pPr>
      <w:rPr>
        <w:rFonts w:hint="default"/>
        <w:i w:val="0"/>
        <w:iCs/>
      </w:rPr>
    </w:lvl>
    <w:lvl w:ilvl="1">
      <w:start w:val="1"/>
      <w:numFmt w:val="lowerLetter"/>
      <w:lvlText w:val="%2."/>
      <w:lvlJc w:val="left"/>
      <w:pPr>
        <w:ind w:left="1440" w:hanging="360"/>
      </w:pPr>
      <w:rPr>
        <w:rFonts w:hint="default"/>
      </w:rPr>
    </w:lvl>
    <w:lvl w:ilvl="2">
      <w:start w:val="1"/>
      <w:numFmt w:val="decimal"/>
      <w:pStyle w:val="ListParagraph"/>
      <w:lvlText w:val="%3."/>
      <w:lvlJc w:val="left"/>
      <w:pPr>
        <w:ind w:left="2700" w:hanging="360"/>
      </w:p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78663A08"/>
    <w:multiLevelType w:val="hybridMultilevel"/>
    <w:tmpl w:val="687CC2E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79B90E37"/>
    <w:multiLevelType w:val="hybridMultilevel"/>
    <w:tmpl w:val="137A9886"/>
    <w:lvl w:ilvl="0" w:tplc="FC3C3486">
      <w:start w:val="1"/>
      <w:numFmt w:val="upperRoman"/>
      <w:lvlText w:val="%1."/>
      <w:lvlJc w:val="left"/>
      <w:pPr>
        <w:ind w:left="980" w:hanging="360"/>
      </w:pPr>
      <w:rPr>
        <w:rFonts w:ascii="Times New Roman" w:eastAsia="Times New Roman" w:hAnsi="Times New Roman" w:cs="Times New Roman" w:hint="default"/>
        <w:b/>
        <w:bCs/>
        <w:i w:val="0"/>
        <w:iCs w:val="0"/>
        <w:spacing w:val="0"/>
        <w:w w:val="99"/>
        <w:sz w:val="24"/>
        <w:szCs w:val="24"/>
        <w:lang w:val="en-US" w:eastAsia="en-US" w:bidi="ar-SA"/>
      </w:rPr>
    </w:lvl>
    <w:lvl w:ilvl="1" w:tplc="883CEDD4">
      <w:start w:val="1"/>
      <w:numFmt w:val="upperLetter"/>
      <w:lvlText w:val="%2."/>
      <w:lvlJc w:val="left"/>
      <w:pPr>
        <w:ind w:left="1700" w:hanging="360"/>
      </w:pPr>
      <w:rPr>
        <w:rFonts w:ascii="Times New Roman" w:eastAsia="Times New Roman" w:hAnsi="Times New Roman" w:cs="Times New Roman" w:hint="default"/>
        <w:b/>
        <w:bCs/>
        <w:i w:val="0"/>
        <w:iCs w:val="0"/>
        <w:spacing w:val="-1"/>
        <w:w w:val="100"/>
        <w:sz w:val="24"/>
        <w:szCs w:val="24"/>
        <w:lang w:val="en-US" w:eastAsia="en-US" w:bidi="ar-SA"/>
      </w:rPr>
    </w:lvl>
    <w:lvl w:ilvl="2" w:tplc="6A4C5808">
      <w:start w:val="1"/>
      <w:numFmt w:val="decimal"/>
      <w:lvlText w:val="%3."/>
      <w:lvlJc w:val="left"/>
      <w:pPr>
        <w:ind w:left="2420" w:hanging="360"/>
      </w:pPr>
      <w:rPr>
        <w:rFonts w:ascii="Times New Roman" w:eastAsia="Times New Roman" w:hAnsi="Times New Roman" w:cs="Times New Roman" w:hint="default"/>
        <w:b/>
        <w:bCs/>
        <w:i w:val="0"/>
        <w:iCs w:val="0"/>
        <w:spacing w:val="0"/>
        <w:w w:val="100"/>
        <w:sz w:val="24"/>
        <w:szCs w:val="24"/>
        <w:lang w:val="en-US" w:eastAsia="en-US" w:bidi="ar-SA"/>
      </w:rPr>
    </w:lvl>
    <w:lvl w:ilvl="3" w:tplc="8B560B7A">
      <w:start w:val="1"/>
      <w:numFmt w:val="lowerLetter"/>
      <w:lvlText w:val="%4."/>
      <w:lvlJc w:val="left"/>
      <w:pPr>
        <w:ind w:left="3140" w:hanging="360"/>
      </w:pPr>
      <w:rPr>
        <w:rFonts w:ascii="Times New Roman" w:eastAsia="Times New Roman" w:hAnsi="Times New Roman" w:cs="Times New Roman" w:hint="default"/>
        <w:b/>
        <w:bCs/>
        <w:i w:val="0"/>
        <w:iCs w:val="0"/>
        <w:spacing w:val="0"/>
        <w:w w:val="100"/>
        <w:sz w:val="24"/>
        <w:szCs w:val="24"/>
        <w:lang w:val="en-US" w:eastAsia="en-US" w:bidi="ar-SA"/>
      </w:rPr>
    </w:lvl>
    <w:lvl w:ilvl="4" w:tplc="A058C610">
      <w:numFmt w:val="bullet"/>
      <w:lvlText w:val="•"/>
      <w:lvlJc w:val="left"/>
      <w:pPr>
        <w:ind w:left="4082" w:hanging="360"/>
      </w:pPr>
      <w:rPr>
        <w:rFonts w:hint="default"/>
        <w:lang w:val="en-US" w:eastAsia="en-US" w:bidi="ar-SA"/>
      </w:rPr>
    </w:lvl>
    <w:lvl w:ilvl="5" w:tplc="0498BC26">
      <w:numFmt w:val="bullet"/>
      <w:lvlText w:val="•"/>
      <w:lvlJc w:val="left"/>
      <w:pPr>
        <w:ind w:left="5025" w:hanging="360"/>
      </w:pPr>
      <w:rPr>
        <w:rFonts w:hint="default"/>
        <w:lang w:val="en-US" w:eastAsia="en-US" w:bidi="ar-SA"/>
      </w:rPr>
    </w:lvl>
    <w:lvl w:ilvl="6" w:tplc="80A0EDE4">
      <w:numFmt w:val="bullet"/>
      <w:lvlText w:val="•"/>
      <w:lvlJc w:val="left"/>
      <w:pPr>
        <w:ind w:left="5968" w:hanging="360"/>
      </w:pPr>
      <w:rPr>
        <w:rFonts w:hint="default"/>
        <w:lang w:val="en-US" w:eastAsia="en-US" w:bidi="ar-SA"/>
      </w:rPr>
    </w:lvl>
    <w:lvl w:ilvl="7" w:tplc="D36A1B30">
      <w:numFmt w:val="bullet"/>
      <w:lvlText w:val="•"/>
      <w:lvlJc w:val="left"/>
      <w:pPr>
        <w:ind w:left="6911" w:hanging="360"/>
      </w:pPr>
      <w:rPr>
        <w:rFonts w:hint="default"/>
        <w:lang w:val="en-US" w:eastAsia="en-US" w:bidi="ar-SA"/>
      </w:rPr>
    </w:lvl>
    <w:lvl w:ilvl="8" w:tplc="83749052">
      <w:numFmt w:val="bullet"/>
      <w:lvlText w:val="•"/>
      <w:lvlJc w:val="left"/>
      <w:pPr>
        <w:ind w:left="7854" w:hanging="360"/>
      </w:pPr>
      <w:rPr>
        <w:rFonts w:hint="default"/>
        <w:lang w:val="en-US" w:eastAsia="en-US" w:bidi="ar-SA"/>
      </w:rPr>
    </w:lvl>
  </w:abstractNum>
  <w:abstractNum w:abstractNumId="26" w15:restartNumberingAfterBreak="0">
    <w:nsid w:val="7B0C5101"/>
    <w:multiLevelType w:val="multilevel"/>
    <w:tmpl w:val="659C91E6"/>
    <w:lvl w:ilvl="0">
      <w:start w:val="1"/>
      <w:numFmt w:val="decimal"/>
      <w:lvlText w:val="%1."/>
      <w:lvlJc w:val="left"/>
      <w:pPr>
        <w:ind w:left="1080" w:hanging="360"/>
      </w:pPr>
      <w:rPr>
        <w:rFonts w:hint="default"/>
        <w:i w:val="0"/>
        <w:iCs/>
      </w:rPr>
    </w:lvl>
    <w:lvl w:ilvl="1">
      <w:start w:val="1"/>
      <w:numFmt w:val="lowerLetter"/>
      <w:lvlText w:val="%2."/>
      <w:lvlJc w:val="left"/>
      <w:pPr>
        <w:ind w:left="1800" w:hanging="360"/>
      </w:pPr>
      <w:rPr>
        <w:rFonts w:hint="default"/>
        <w:b w:val="0"/>
        <w:bCs w:val="0"/>
        <w:i w:val="0"/>
        <w:iCs w:val="0"/>
      </w:rPr>
    </w:lvl>
    <w:lvl w:ilvl="2">
      <w:start w:val="1"/>
      <w:numFmt w:val="none"/>
      <w:lvlText w:val="(1)"/>
      <w:lvlJc w:val="right"/>
      <w:pPr>
        <w:ind w:left="2880" w:hanging="180"/>
      </w:pPr>
      <w:rPr>
        <w:rFonts w:hint="default"/>
        <w:b w:val="0"/>
        <w:bCs w:val="0"/>
        <w:i w:val="0"/>
        <w:iCs w:val="0"/>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7" w15:restartNumberingAfterBreak="0">
    <w:nsid w:val="7E560AEF"/>
    <w:multiLevelType w:val="hybridMultilevel"/>
    <w:tmpl w:val="6CA8DA16"/>
    <w:lvl w:ilvl="0" w:tplc="A1C45E6A">
      <w:start w:val="3"/>
      <w:numFmt w:val="lowerLetter"/>
      <w:lvlText w:val="%1."/>
      <w:lvlJc w:val="left"/>
      <w:pPr>
        <w:ind w:left="2520" w:hanging="720"/>
      </w:pPr>
      <w:rPr>
        <w:rFonts w:ascii="Times New Roman" w:eastAsia="Times New Roman" w:hAnsi="Times New Roman" w:cs="Times New Roman" w:hint="default"/>
        <w:b/>
        <w:bCs/>
        <w:i w:val="0"/>
        <w:iCs w:val="0"/>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2"/>
  </w:num>
  <w:num w:numId="3">
    <w:abstractNumId w:val="1"/>
  </w:num>
  <w:num w:numId="4">
    <w:abstractNumId w:val="0"/>
  </w:num>
  <w:num w:numId="5">
    <w:abstractNumId w:val="13"/>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25"/>
  </w:num>
  <w:num w:numId="10">
    <w:abstractNumId w:val="4"/>
  </w:num>
  <w:num w:numId="11">
    <w:abstractNumId w:val="12"/>
  </w:num>
  <w:num w:numId="12">
    <w:abstractNumId w:val="24"/>
  </w:num>
  <w:num w:numId="13">
    <w:abstractNumId w:val="2"/>
  </w:num>
  <w:num w:numId="14">
    <w:abstractNumId w:val="6"/>
  </w:num>
  <w:num w:numId="15">
    <w:abstractNumId w:val="18"/>
  </w:num>
  <w:num w:numId="16">
    <w:abstractNumId w:val="17"/>
  </w:num>
  <w:num w:numId="17">
    <w:abstractNumId w:val="23"/>
  </w:num>
  <w:num w:numId="18">
    <w:abstractNumId w:val="23"/>
  </w:num>
  <w:num w:numId="19">
    <w:abstractNumId w:val="23"/>
  </w:num>
  <w:num w:numId="20">
    <w:abstractNumId w:val="23"/>
  </w:num>
  <w:num w:numId="21">
    <w:abstractNumId w:val="9"/>
  </w:num>
  <w:num w:numId="22">
    <w:abstractNumId w:val="20"/>
    <w:lvlOverride w:ilvl="0">
      <w:lvl w:ilvl="0">
        <w:numFmt w:val="decimal"/>
        <w:lvlText w:val=""/>
        <w:lvlJc w:val="left"/>
      </w:lvl>
    </w:lvlOverride>
    <w:lvlOverride w:ilvl="1">
      <w:lvl w:ilvl="1">
        <w:start w:val="1"/>
        <w:numFmt w:val="lowerLetter"/>
        <w:lvlText w:val="%2."/>
        <w:lvlJc w:val="left"/>
        <w:pPr>
          <w:ind w:left="1080" w:hanging="360"/>
        </w:pPr>
        <w:rPr>
          <w:rFonts w:hint="default"/>
          <w:b w:val="0"/>
          <w:bCs w:val="0"/>
        </w:rPr>
      </w:lvl>
    </w:lvlOverride>
  </w:num>
  <w:num w:numId="23">
    <w:abstractNumId w:val="1"/>
  </w:num>
  <w:num w:numId="24">
    <w:abstractNumId w:val="1"/>
  </w:num>
  <w:num w:numId="25">
    <w:abstractNumId w:val="1"/>
  </w:num>
  <w:num w:numId="26">
    <w:abstractNumId w:val="21"/>
  </w:num>
  <w:num w:numId="27">
    <w:abstractNumId w:val="15"/>
  </w:num>
  <w:num w:numId="28">
    <w:abstractNumId w:val="14"/>
  </w:num>
  <w:num w:numId="29">
    <w:abstractNumId w:val="10"/>
  </w:num>
  <w:num w:numId="30">
    <w:abstractNumId w:val="8"/>
  </w:num>
  <w:num w:numId="31">
    <w:abstractNumId w:val="11"/>
  </w:num>
  <w:num w:numId="32">
    <w:abstractNumId w:val="3"/>
  </w:num>
  <w:num w:numId="33">
    <w:abstractNumId w:val="27"/>
  </w:num>
  <w:num w:numId="34">
    <w:abstractNumId w:val="26"/>
  </w:num>
  <w:num w:numId="35">
    <w:abstractNumId w:val="19"/>
  </w:num>
  <w:num w:numId="36">
    <w:abstractNumId w:val="16"/>
  </w:num>
  <w:num w:numId="37">
    <w:abstractNumId w:val="5"/>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yer, Mitzi K. EOP/OMB">
    <w15:presenceInfo w15:providerId="AD" w15:userId="S-1-5-21-2153146651-2037946966-3331982856-1636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6BC"/>
    <w:rsid w:val="000052B4"/>
    <w:rsid w:val="00005EB2"/>
    <w:rsid w:val="00010BE7"/>
    <w:rsid w:val="00012E3F"/>
    <w:rsid w:val="00016CF8"/>
    <w:rsid w:val="00020132"/>
    <w:rsid w:val="0002367C"/>
    <w:rsid w:val="000246D3"/>
    <w:rsid w:val="00032052"/>
    <w:rsid w:val="000323D3"/>
    <w:rsid w:val="000324F4"/>
    <w:rsid w:val="000325AD"/>
    <w:rsid w:val="00032A95"/>
    <w:rsid w:val="000341B0"/>
    <w:rsid w:val="00035C4F"/>
    <w:rsid w:val="00036528"/>
    <w:rsid w:val="00036C52"/>
    <w:rsid w:val="00042388"/>
    <w:rsid w:val="00042435"/>
    <w:rsid w:val="0005055B"/>
    <w:rsid w:val="0005147F"/>
    <w:rsid w:val="0005284A"/>
    <w:rsid w:val="000540C3"/>
    <w:rsid w:val="0005444B"/>
    <w:rsid w:val="000551DA"/>
    <w:rsid w:val="000564AA"/>
    <w:rsid w:val="0005766E"/>
    <w:rsid w:val="00064A28"/>
    <w:rsid w:val="000675F0"/>
    <w:rsid w:val="00070BC2"/>
    <w:rsid w:val="000715CA"/>
    <w:rsid w:val="00071986"/>
    <w:rsid w:val="00071AC4"/>
    <w:rsid w:val="0007284A"/>
    <w:rsid w:val="00073D93"/>
    <w:rsid w:val="000776DA"/>
    <w:rsid w:val="0008035F"/>
    <w:rsid w:val="0008150B"/>
    <w:rsid w:val="00081A66"/>
    <w:rsid w:val="00083612"/>
    <w:rsid w:val="0008777A"/>
    <w:rsid w:val="000957A4"/>
    <w:rsid w:val="000A0908"/>
    <w:rsid w:val="000A3414"/>
    <w:rsid w:val="000A4473"/>
    <w:rsid w:val="000A525C"/>
    <w:rsid w:val="000A5B65"/>
    <w:rsid w:val="000A7C75"/>
    <w:rsid w:val="000A7DA3"/>
    <w:rsid w:val="000B1DC8"/>
    <w:rsid w:val="000B2831"/>
    <w:rsid w:val="000B3111"/>
    <w:rsid w:val="000B487D"/>
    <w:rsid w:val="000B500E"/>
    <w:rsid w:val="000C4A97"/>
    <w:rsid w:val="000D2848"/>
    <w:rsid w:val="000D48FD"/>
    <w:rsid w:val="000D50E3"/>
    <w:rsid w:val="000D5BF2"/>
    <w:rsid w:val="000D7E79"/>
    <w:rsid w:val="000E103A"/>
    <w:rsid w:val="000E14AC"/>
    <w:rsid w:val="000E26A3"/>
    <w:rsid w:val="000E5D8B"/>
    <w:rsid w:val="000E7073"/>
    <w:rsid w:val="000F42C5"/>
    <w:rsid w:val="000F593F"/>
    <w:rsid w:val="000F5B3D"/>
    <w:rsid w:val="000F6253"/>
    <w:rsid w:val="000F7247"/>
    <w:rsid w:val="000F73EE"/>
    <w:rsid w:val="001010F0"/>
    <w:rsid w:val="00101347"/>
    <w:rsid w:val="00102270"/>
    <w:rsid w:val="00104216"/>
    <w:rsid w:val="00106AA2"/>
    <w:rsid w:val="0010789A"/>
    <w:rsid w:val="0011078B"/>
    <w:rsid w:val="00112FF6"/>
    <w:rsid w:val="00115512"/>
    <w:rsid w:val="001158BE"/>
    <w:rsid w:val="00123962"/>
    <w:rsid w:val="0012763B"/>
    <w:rsid w:val="00127EC4"/>
    <w:rsid w:val="0013192B"/>
    <w:rsid w:val="00131CF5"/>
    <w:rsid w:val="00132FB5"/>
    <w:rsid w:val="00134FFD"/>
    <w:rsid w:val="00137A45"/>
    <w:rsid w:val="00146A86"/>
    <w:rsid w:val="00147A6B"/>
    <w:rsid w:val="0015031E"/>
    <w:rsid w:val="001525AC"/>
    <w:rsid w:val="001527AA"/>
    <w:rsid w:val="00157685"/>
    <w:rsid w:val="001604FB"/>
    <w:rsid w:val="00161455"/>
    <w:rsid w:val="00162882"/>
    <w:rsid w:val="00162922"/>
    <w:rsid w:val="001640FB"/>
    <w:rsid w:val="001649CB"/>
    <w:rsid w:val="00164C28"/>
    <w:rsid w:val="00165130"/>
    <w:rsid w:val="00172002"/>
    <w:rsid w:val="00173607"/>
    <w:rsid w:val="001736D4"/>
    <w:rsid w:val="00173ADC"/>
    <w:rsid w:val="00175C14"/>
    <w:rsid w:val="00176AE6"/>
    <w:rsid w:val="00180957"/>
    <w:rsid w:val="00181D7E"/>
    <w:rsid w:val="00182699"/>
    <w:rsid w:val="001864B4"/>
    <w:rsid w:val="0018707A"/>
    <w:rsid w:val="00191AB3"/>
    <w:rsid w:val="00191CBF"/>
    <w:rsid w:val="0019203B"/>
    <w:rsid w:val="001955F2"/>
    <w:rsid w:val="00195843"/>
    <w:rsid w:val="00195A50"/>
    <w:rsid w:val="00195E2A"/>
    <w:rsid w:val="00196CF5"/>
    <w:rsid w:val="00197C52"/>
    <w:rsid w:val="001A00F4"/>
    <w:rsid w:val="001A0CDA"/>
    <w:rsid w:val="001A1C83"/>
    <w:rsid w:val="001A4FA8"/>
    <w:rsid w:val="001B064E"/>
    <w:rsid w:val="001B128C"/>
    <w:rsid w:val="001B20B0"/>
    <w:rsid w:val="001B2269"/>
    <w:rsid w:val="001B2FBB"/>
    <w:rsid w:val="001B44E8"/>
    <w:rsid w:val="001B4998"/>
    <w:rsid w:val="001B52A0"/>
    <w:rsid w:val="001B5602"/>
    <w:rsid w:val="001C038E"/>
    <w:rsid w:val="001C10F4"/>
    <w:rsid w:val="001C2E4B"/>
    <w:rsid w:val="001C3BE0"/>
    <w:rsid w:val="001C6A71"/>
    <w:rsid w:val="001D050C"/>
    <w:rsid w:val="001D0DA2"/>
    <w:rsid w:val="001D0E62"/>
    <w:rsid w:val="001D1E60"/>
    <w:rsid w:val="001D300E"/>
    <w:rsid w:val="001D58B8"/>
    <w:rsid w:val="001D6351"/>
    <w:rsid w:val="001D6BF9"/>
    <w:rsid w:val="001D72CC"/>
    <w:rsid w:val="001D7AB7"/>
    <w:rsid w:val="001E039C"/>
    <w:rsid w:val="001E0DF4"/>
    <w:rsid w:val="001E14DE"/>
    <w:rsid w:val="001E315B"/>
    <w:rsid w:val="001E5223"/>
    <w:rsid w:val="001F0A40"/>
    <w:rsid w:val="001F1005"/>
    <w:rsid w:val="001F1410"/>
    <w:rsid w:val="001F33DB"/>
    <w:rsid w:val="001F3E34"/>
    <w:rsid w:val="002009B0"/>
    <w:rsid w:val="00200F06"/>
    <w:rsid w:val="00204557"/>
    <w:rsid w:val="002050B6"/>
    <w:rsid w:val="00205631"/>
    <w:rsid w:val="0020637B"/>
    <w:rsid w:val="0020687E"/>
    <w:rsid w:val="00207DD5"/>
    <w:rsid w:val="00211649"/>
    <w:rsid w:val="00215370"/>
    <w:rsid w:val="00215B96"/>
    <w:rsid w:val="002169B1"/>
    <w:rsid w:val="00220AB9"/>
    <w:rsid w:val="00221418"/>
    <w:rsid w:val="00227E58"/>
    <w:rsid w:val="002302A5"/>
    <w:rsid w:val="0023274F"/>
    <w:rsid w:val="002363FF"/>
    <w:rsid w:val="00242BC1"/>
    <w:rsid w:val="00250474"/>
    <w:rsid w:val="00253758"/>
    <w:rsid w:val="0025457F"/>
    <w:rsid w:val="002549C0"/>
    <w:rsid w:val="0025591A"/>
    <w:rsid w:val="002568A1"/>
    <w:rsid w:val="00262286"/>
    <w:rsid w:val="002638A1"/>
    <w:rsid w:val="00263BC4"/>
    <w:rsid w:val="002668FC"/>
    <w:rsid w:val="00267704"/>
    <w:rsid w:val="00267EDA"/>
    <w:rsid w:val="0027067C"/>
    <w:rsid w:val="002738AE"/>
    <w:rsid w:val="00273DEA"/>
    <w:rsid w:val="00275E52"/>
    <w:rsid w:val="0028110E"/>
    <w:rsid w:val="0028690F"/>
    <w:rsid w:val="0029576D"/>
    <w:rsid w:val="00296662"/>
    <w:rsid w:val="00297142"/>
    <w:rsid w:val="00297260"/>
    <w:rsid w:val="002A3C17"/>
    <w:rsid w:val="002A3E30"/>
    <w:rsid w:val="002A5122"/>
    <w:rsid w:val="002A6805"/>
    <w:rsid w:val="002A7B24"/>
    <w:rsid w:val="002B28C4"/>
    <w:rsid w:val="002B40BB"/>
    <w:rsid w:val="002B6246"/>
    <w:rsid w:val="002B6284"/>
    <w:rsid w:val="002B691C"/>
    <w:rsid w:val="002C0B89"/>
    <w:rsid w:val="002C197D"/>
    <w:rsid w:val="002C2645"/>
    <w:rsid w:val="002C52E4"/>
    <w:rsid w:val="002C5EAB"/>
    <w:rsid w:val="002C7A61"/>
    <w:rsid w:val="002D15A5"/>
    <w:rsid w:val="002D3A35"/>
    <w:rsid w:val="002D5FB8"/>
    <w:rsid w:val="002D679B"/>
    <w:rsid w:val="002D7C70"/>
    <w:rsid w:val="002E5E27"/>
    <w:rsid w:val="002F016B"/>
    <w:rsid w:val="002F195F"/>
    <w:rsid w:val="002F2678"/>
    <w:rsid w:val="002F2C15"/>
    <w:rsid w:val="002F6628"/>
    <w:rsid w:val="002F6BBF"/>
    <w:rsid w:val="00300C54"/>
    <w:rsid w:val="0030177D"/>
    <w:rsid w:val="003020C0"/>
    <w:rsid w:val="003025A4"/>
    <w:rsid w:val="00304090"/>
    <w:rsid w:val="003065A6"/>
    <w:rsid w:val="00306D11"/>
    <w:rsid w:val="0031220F"/>
    <w:rsid w:val="00312E29"/>
    <w:rsid w:val="00312F49"/>
    <w:rsid w:val="00317497"/>
    <w:rsid w:val="0032114D"/>
    <w:rsid w:val="00322247"/>
    <w:rsid w:val="0032509D"/>
    <w:rsid w:val="00325690"/>
    <w:rsid w:val="00330759"/>
    <w:rsid w:val="00330865"/>
    <w:rsid w:val="00331DE4"/>
    <w:rsid w:val="00335E4E"/>
    <w:rsid w:val="00337815"/>
    <w:rsid w:val="00340DFE"/>
    <w:rsid w:val="00343D2E"/>
    <w:rsid w:val="003444DF"/>
    <w:rsid w:val="00345BBF"/>
    <w:rsid w:val="00354702"/>
    <w:rsid w:val="003554BD"/>
    <w:rsid w:val="00355646"/>
    <w:rsid w:val="00355EBA"/>
    <w:rsid w:val="00357847"/>
    <w:rsid w:val="00360929"/>
    <w:rsid w:val="0036127E"/>
    <w:rsid w:val="0036690D"/>
    <w:rsid w:val="0037183C"/>
    <w:rsid w:val="003734B1"/>
    <w:rsid w:val="0037394B"/>
    <w:rsid w:val="00374065"/>
    <w:rsid w:val="003765A2"/>
    <w:rsid w:val="003766CB"/>
    <w:rsid w:val="00385D39"/>
    <w:rsid w:val="0038687C"/>
    <w:rsid w:val="00390C8D"/>
    <w:rsid w:val="0039137C"/>
    <w:rsid w:val="003952F8"/>
    <w:rsid w:val="0039636F"/>
    <w:rsid w:val="00397AD6"/>
    <w:rsid w:val="00397D92"/>
    <w:rsid w:val="00397F59"/>
    <w:rsid w:val="003A1880"/>
    <w:rsid w:val="003A2EFD"/>
    <w:rsid w:val="003A3892"/>
    <w:rsid w:val="003A4557"/>
    <w:rsid w:val="003A56E6"/>
    <w:rsid w:val="003B0840"/>
    <w:rsid w:val="003B0920"/>
    <w:rsid w:val="003B16B3"/>
    <w:rsid w:val="003B1EC3"/>
    <w:rsid w:val="003B2726"/>
    <w:rsid w:val="003B339C"/>
    <w:rsid w:val="003B4D85"/>
    <w:rsid w:val="003B50FB"/>
    <w:rsid w:val="003B54A4"/>
    <w:rsid w:val="003B7487"/>
    <w:rsid w:val="003C12B1"/>
    <w:rsid w:val="003C1902"/>
    <w:rsid w:val="003C44B2"/>
    <w:rsid w:val="003C5001"/>
    <w:rsid w:val="003C7DA0"/>
    <w:rsid w:val="003D15D2"/>
    <w:rsid w:val="003D29B6"/>
    <w:rsid w:val="003D47E6"/>
    <w:rsid w:val="003D4EB3"/>
    <w:rsid w:val="003D7CA5"/>
    <w:rsid w:val="003E0523"/>
    <w:rsid w:val="003E0861"/>
    <w:rsid w:val="003E1F88"/>
    <w:rsid w:val="003E2DCA"/>
    <w:rsid w:val="003E31F5"/>
    <w:rsid w:val="003E5C00"/>
    <w:rsid w:val="003E6908"/>
    <w:rsid w:val="003F0BD0"/>
    <w:rsid w:val="003F1B9D"/>
    <w:rsid w:val="003F2040"/>
    <w:rsid w:val="003F5EFC"/>
    <w:rsid w:val="00400229"/>
    <w:rsid w:val="004036F9"/>
    <w:rsid w:val="00403705"/>
    <w:rsid w:val="00403941"/>
    <w:rsid w:val="004047B2"/>
    <w:rsid w:val="00412B51"/>
    <w:rsid w:val="0041453A"/>
    <w:rsid w:val="0041512E"/>
    <w:rsid w:val="00415895"/>
    <w:rsid w:val="00420F33"/>
    <w:rsid w:val="00425452"/>
    <w:rsid w:val="00425C84"/>
    <w:rsid w:val="00427EA1"/>
    <w:rsid w:val="00431DCC"/>
    <w:rsid w:val="00432611"/>
    <w:rsid w:val="004354CB"/>
    <w:rsid w:val="0043552E"/>
    <w:rsid w:val="00436830"/>
    <w:rsid w:val="004379A0"/>
    <w:rsid w:val="00441303"/>
    <w:rsid w:val="00441CAA"/>
    <w:rsid w:val="00441EA5"/>
    <w:rsid w:val="0044333C"/>
    <w:rsid w:val="00444201"/>
    <w:rsid w:val="0044570E"/>
    <w:rsid w:val="00445D41"/>
    <w:rsid w:val="00446260"/>
    <w:rsid w:val="004466CB"/>
    <w:rsid w:val="0044683D"/>
    <w:rsid w:val="004521D6"/>
    <w:rsid w:val="004562B7"/>
    <w:rsid w:val="00457140"/>
    <w:rsid w:val="00457903"/>
    <w:rsid w:val="00464CB7"/>
    <w:rsid w:val="004679DA"/>
    <w:rsid w:val="00473A00"/>
    <w:rsid w:val="00477020"/>
    <w:rsid w:val="004803EE"/>
    <w:rsid w:val="00482D2D"/>
    <w:rsid w:val="00483547"/>
    <w:rsid w:val="00483AB4"/>
    <w:rsid w:val="0048560F"/>
    <w:rsid w:val="00486135"/>
    <w:rsid w:val="00486EB0"/>
    <w:rsid w:val="00492114"/>
    <w:rsid w:val="004959A2"/>
    <w:rsid w:val="0049616F"/>
    <w:rsid w:val="004A149D"/>
    <w:rsid w:val="004A33FD"/>
    <w:rsid w:val="004A5350"/>
    <w:rsid w:val="004A78CE"/>
    <w:rsid w:val="004B322A"/>
    <w:rsid w:val="004B5A31"/>
    <w:rsid w:val="004B5D2B"/>
    <w:rsid w:val="004B769E"/>
    <w:rsid w:val="004B7DD3"/>
    <w:rsid w:val="004C00CA"/>
    <w:rsid w:val="004C0F0C"/>
    <w:rsid w:val="004C14B1"/>
    <w:rsid w:val="004C737D"/>
    <w:rsid w:val="004C7F50"/>
    <w:rsid w:val="004D356B"/>
    <w:rsid w:val="004D3C70"/>
    <w:rsid w:val="004D59B1"/>
    <w:rsid w:val="004D72EC"/>
    <w:rsid w:val="004E0994"/>
    <w:rsid w:val="004E10EE"/>
    <w:rsid w:val="004E55E7"/>
    <w:rsid w:val="004F2E61"/>
    <w:rsid w:val="004F2F76"/>
    <w:rsid w:val="004F39D3"/>
    <w:rsid w:val="004F39DD"/>
    <w:rsid w:val="004F4492"/>
    <w:rsid w:val="004F6B67"/>
    <w:rsid w:val="004F7377"/>
    <w:rsid w:val="004F7E2A"/>
    <w:rsid w:val="00500509"/>
    <w:rsid w:val="00503B3F"/>
    <w:rsid w:val="00504102"/>
    <w:rsid w:val="00505278"/>
    <w:rsid w:val="0051080A"/>
    <w:rsid w:val="00512629"/>
    <w:rsid w:val="0051326E"/>
    <w:rsid w:val="00514DF8"/>
    <w:rsid w:val="005173D3"/>
    <w:rsid w:val="0052298A"/>
    <w:rsid w:val="0052351F"/>
    <w:rsid w:val="00524701"/>
    <w:rsid w:val="00524B12"/>
    <w:rsid w:val="00525C7A"/>
    <w:rsid w:val="0053060C"/>
    <w:rsid w:val="00530999"/>
    <w:rsid w:val="00531594"/>
    <w:rsid w:val="005325EB"/>
    <w:rsid w:val="00533456"/>
    <w:rsid w:val="00536153"/>
    <w:rsid w:val="00536E7F"/>
    <w:rsid w:val="005374AF"/>
    <w:rsid w:val="00541D45"/>
    <w:rsid w:val="00542683"/>
    <w:rsid w:val="00544B2E"/>
    <w:rsid w:val="00544CEB"/>
    <w:rsid w:val="00545853"/>
    <w:rsid w:val="00546637"/>
    <w:rsid w:val="00555A2E"/>
    <w:rsid w:val="005562D4"/>
    <w:rsid w:val="00560B41"/>
    <w:rsid w:val="00564B33"/>
    <w:rsid w:val="00565A43"/>
    <w:rsid w:val="00566D29"/>
    <w:rsid w:val="00566EA3"/>
    <w:rsid w:val="00571886"/>
    <w:rsid w:val="0057764B"/>
    <w:rsid w:val="00584736"/>
    <w:rsid w:val="00584E73"/>
    <w:rsid w:val="005864AA"/>
    <w:rsid w:val="0058712F"/>
    <w:rsid w:val="0058793A"/>
    <w:rsid w:val="00587C79"/>
    <w:rsid w:val="00590CCA"/>
    <w:rsid w:val="00593734"/>
    <w:rsid w:val="0059756D"/>
    <w:rsid w:val="005A0C9A"/>
    <w:rsid w:val="005A49A4"/>
    <w:rsid w:val="005A5880"/>
    <w:rsid w:val="005A5BC1"/>
    <w:rsid w:val="005A65AF"/>
    <w:rsid w:val="005A7363"/>
    <w:rsid w:val="005B791D"/>
    <w:rsid w:val="005C125A"/>
    <w:rsid w:val="005C1F54"/>
    <w:rsid w:val="005C35C5"/>
    <w:rsid w:val="005C40CF"/>
    <w:rsid w:val="005C6FFF"/>
    <w:rsid w:val="005D0085"/>
    <w:rsid w:val="005D109D"/>
    <w:rsid w:val="005D345A"/>
    <w:rsid w:val="005D42F8"/>
    <w:rsid w:val="005D5AE0"/>
    <w:rsid w:val="005D5C97"/>
    <w:rsid w:val="005E00E3"/>
    <w:rsid w:val="005E29DF"/>
    <w:rsid w:val="005E2EDF"/>
    <w:rsid w:val="005E6DA9"/>
    <w:rsid w:val="005E7072"/>
    <w:rsid w:val="005F217C"/>
    <w:rsid w:val="005F2A44"/>
    <w:rsid w:val="005F2A65"/>
    <w:rsid w:val="005F4813"/>
    <w:rsid w:val="005F6264"/>
    <w:rsid w:val="0060024E"/>
    <w:rsid w:val="006006EE"/>
    <w:rsid w:val="00601110"/>
    <w:rsid w:val="00601922"/>
    <w:rsid w:val="00607EC9"/>
    <w:rsid w:val="00611D54"/>
    <w:rsid w:val="006136CC"/>
    <w:rsid w:val="006139EE"/>
    <w:rsid w:val="00613A4E"/>
    <w:rsid w:val="006168A0"/>
    <w:rsid w:val="00620A75"/>
    <w:rsid w:val="00621C2C"/>
    <w:rsid w:val="00625AF9"/>
    <w:rsid w:val="006311FA"/>
    <w:rsid w:val="00637BBC"/>
    <w:rsid w:val="00641904"/>
    <w:rsid w:val="00642FBA"/>
    <w:rsid w:val="00646572"/>
    <w:rsid w:val="00646AEC"/>
    <w:rsid w:val="0064791F"/>
    <w:rsid w:val="00650575"/>
    <w:rsid w:val="00652941"/>
    <w:rsid w:val="00653F61"/>
    <w:rsid w:val="00654DAC"/>
    <w:rsid w:val="006563B0"/>
    <w:rsid w:val="0065766D"/>
    <w:rsid w:val="00657EEF"/>
    <w:rsid w:val="006600BB"/>
    <w:rsid w:val="00660202"/>
    <w:rsid w:val="0066081C"/>
    <w:rsid w:val="00665114"/>
    <w:rsid w:val="00666429"/>
    <w:rsid w:val="0066748D"/>
    <w:rsid w:val="00674775"/>
    <w:rsid w:val="00674B0A"/>
    <w:rsid w:val="0067558E"/>
    <w:rsid w:val="006772C5"/>
    <w:rsid w:val="00677650"/>
    <w:rsid w:val="00681600"/>
    <w:rsid w:val="00682295"/>
    <w:rsid w:val="00686FB0"/>
    <w:rsid w:val="0068754C"/>
    <w:rsid w:val="00691B8E"/>
    <w:rsid w:val="0069234A"/>
    <w:rsid w:val="006951DD"/>
    <w:rsid w:val="00695BBB"/>
    <w:rsid w:val="00695FB6"/>
    <w:rsid w:val="0069619D"/>
    <w:rsid w:val="006A50F4"/>
    <w:rsid w:val="006A5CA6"/>
    <w:rsid w:val="006A76FD"/>
    <w:rsid w:val="006A7DB4"/>
    <w:rsid w:val="006B08D6"/>
    <w:rsid w:val="006B2E58"/>
    <w:rsid w:val="006B32AC"/>
    <w:rsid w:val="006B44E4"/>
    <w:rsid w:val="006B4C3A"/>
    <w:rsid w:val="006B5A09"/>
    <w:rsid w:val="006C3218"/>
    <w:rsid w:val="006C5A25"/>
    <w:rsid w:val="006C6348"/>
    <w:rsid w:val="006C6610"/>
    <w:rsid w:val="006C7FD9"/>
    <w:rsid w:val="006D0148"/>
    <w:rsid w:val="006D202F"/>
    <w:rsid w:val="006D30B9"/>
    <w:rsid w:val="006D3C3B"/>
    <w:rsid w:val="006D406A"/>
    <w:rsid w:val="006D4076"/>
    <w:rsid w:val="006D440A"/>
    <w:rsid w:val="006D4704"/>
    <w:rsid w:val="006D5477"/>
    <w:rsid w:val="006E4EEE"/>
    <w:rsid w:val="006F1F0C"/>
    <w:rsid w:val="006F377D"/>
    <w:rsid w:val="006F583B"/>
    <w:rsid w:val="006F5B8F"/>
    <w:rsid w:val="006F5E5C"/>
    <w:rsid w:val="00700042"/>
    <w:rsid w:val="00700F46"/>
    <w:rsid w:val="00701254"/>
    <w:rsid w:val="00706B7C"/>
    <w:rsid w:val="00707D26"/>
    <w:rsid w:val="007101D2"/>
    <w:rsid w:val="007136B1"/>
    <w:rsid w:val="007163A5"/>
    <w:rsid w:val="007168BE"/>
    <w:rsid w:val="00720A2E"/>
    <w:rsid w:val="00721AF9"/>
    <w:rsid w:val="007221F2"/>
    <w:rsid w:val="007245AB"/>
    <w:rsid w:val="007267BE"/>
    <w:rsid w:val="00730E62"/>
    <w:rsid w:val="00731F74"/>
    <w:rsid w:val="007339BC"/>
    <w:rsid w:val="007342B2"/>
    <w:rsid w:val="00734C5A"/>
    <w:rsid w:val="00735F48"/>
    <w:rsid w:val="00736AFF"/>
    <w:rsid w:val="00742FD8"/>
    <w:rsid w:val="00745D0A"/>
    <w:rsid w:val="00746895"/>
    <w:rsid w:val="00746B1F"/>
    <w:rsid w:val="007501C4"/>
    <w:rsid w:val="0075178B"/>
    <w:rsid w:val="0075204B"/>
    <w:rsid w:val="00752A8F"/>
    <w:rsid w:val="00756606"/>
    <w:rsid w:val="007623B0"/>
    <w:rsid w:val="00762A91"/>
    <w:rsid w:val="00762E94"/>
    <w:rsid w:val="00763F88"/>
    <w:rsid w:val="007649D8"/>
    <w:rsid w:val="007653CB"/>
    <w:rsid w:val="00776780"/>
    <w:rsid w:val="007777A3"/>
    <w:rsid w:val="0078044E"/>
    <w:rsid w:val="0078385A"/>
    <w:rsid w:val="0078691E"/>
    <w:rsid w:val="00790898"/>
    <w:rsid w:val="00791BB2"/>
    <w:rsid w:val="00791C82"/>
    <w:rsid w:val="00791CF1"/>
    <w:rsid w:val="00793A7E"/>
    <w:rsid w:val="00793CBB"/>
    <w:rsid w:val="00793F8C"/>
    <w:rsid w:val="00796923"/>
    <w:rsid w:val="00796B86"/>
    <w:rsid w:val="007A2BB1"/>
    <w:rsid w:val="007A4DB0"/>
    <w:rsid w:val="007A5E7C"/>
    <w:rsid w:val="007A7853"/>
    <w:rsid w:val="007B2314"/>
    <w:rsid w:val="007B3A86"/>
    <w:rsid w:val="007B6728"/>
    <w:rsid w:val="007B6E70"/>
    <w:rsid w:val="007C04BE"/>
    <w:rsid w:val="007C3806"/>
    <w:rsid w:val="007C5A62"/>
    <w:rsid w:val="007C65F6"/>
    <w:rsid w:val="007C6EE3"/>
    <w:rsid w:val="007D01F3"/>
    <w:rsid w:val="007D09DF"/>
    <w:rsid w:val="007D112D"/>
    <w:rsid w:val="007D2614"/>
    <w:rsid w:val="007D29BC"/>
    <w:rsid w:val="007D3686"/>
    <w:rsid w:val="007D3F84"/>
    <w:rsid w:val="007D4728"/>
    <w:rsid w:val="007D4F8F"/>
    <w:rsid w:val="007D663D"/>
    <w:rsid w:val="007D6B05"/>
    <w:rsid w:val="007E01DA"/>
    <w:rsid w:val="007E133C"/>
    <w:rsid w:val="007E1806"/>
    <w:rsid w:val="007E298C"/>
    <w:rsid w:val="007E2EEB"/>
    <w:rsid w:val="007E3BAA"/>
    <w:rsid w:val="007E4527"/>
    <w:rsid w:val="007E58B2"/>
    <w:rsid w:val="007F3108"/>
    <w:rsid w:val="007F60B3"/>
    <w:rsid w:val="007F7404"/>
    <w:rsid w:val="0080009B"/>
    <w:rsid w:val="00801EF5"/>
    <w:rsid w:val="00803224"/>
    <w:rsid w:val="008033B9"/>
    <w:rsid w:val="00803875"/>
    <w:rsid w:val="0080397B"/>
    <w:rsid w:val="008044EF"/>
    <w:rsid w:val="00806526"/>
    <w:rsid w:val="00806E18"/>
    <w:rsid w:val="00807AA7"/>
    <w:rsid w:val="00811537"/>
    <w:rsid w:val="00811B0F"/>
    <w:rsid w:val="00812716"/>
    <w:rsid w:val="00815AD1"/>
    <w:rsid w:val="00820BD0"/>
    <w:rsid w:val="00823015"/>
    <w:rsid w:val="00825934"/>
    <w:rsid w:val="00826289"/>
    <w:rsid w:val="0082761B"/>
    <w:rsid w:val="0082788A"/>
    <w:rsid w:val="0083373F"/>
    <w:rsid w:val="00834BCB"/>
    <w:rsid w:val="008352EB"/>
    <w:rsid w:val="00835799"/>
    <w:rsid w:val="008360A4"/>
    <w:rsid w:val="00836D83"/>
    <w:rsid w:val="00836E12"/>
    <w:rsid w:val="00837833"/>
    <w:rsid w:val="0083796C"/>
    <w:rsid w:val="00840D80"/>
    <w:rsid w:val="00841DC7"/>
    <w:rsid w:val="00844C3A"/>
    <w:rsid w:val="00845CA8"/>
    <w:rsid w:val="00850614"/>
    <w:rsid w:val="00850DD5"/>
    <w:rsid w:val="00851CDA"/>
    <w:rsid w:val="0085274C"/>
    <w:rsid w:val="00853A97"/>
    <w:rsid w:val="00854EFF"/>
    <w:rsid w:val="008550F4"/>
    <w:rsid w:val="00856A15"/>
    <w:rsid w:val="0085791C"/>
    <w:rsid w:val="008619D9"/>
    <w:rsid w:val="008640C0"/>
    <w:rsid w:val="00865635"/>
    <w:rsid w:val="00870E49"/>
    <w:rsid w:val="00871350"/>
    <w:rsid w:val="008725EE"/>
    <w:rsid w:val="0087651C"/>
    <w:rsid w:val="00877E16"/>
    <w:rsid w:val="0088112D"/>
    <w:rsid w:val="008823C4"/>
    <w:rsid w:val="00885D36"/>
    <w:rsid w:val="00886208"/>
    <w:rsid w:val="008863BE"/>
    <w:rsid w:val="0088731A"/>
    <w:rsid w:val="0088754D"/>
    <w:rsid w:val="00887DC4"/>
    <w:rsid w:val="008908A7"/>
    <w:rsid w:val="00890B66"/>
    <w:rsid w:val="008912F8"/>
    <w:rsid w:val="00893612"/>
    <w:rsid w:val="00893C03"/>
    <w:rsid w:val="00896FB1"/>
    <w:rsid w:val="00897720"/>
    <w:rsid w:val="00897CC6"/>
    <w:rsid w:val="008A0874"/>
    <w:rsid w:val="008A227C"/>
    <w:rsid w:val="008A4871"/>
    <w:rsid w:val="008A4BC1"/>
    <w:rsid w:val="008A4EA0"/>
    <w:rsid w:val="008B6AC2"/>
    <w:rsid w:val="008B78B8"/>
    <w:rsid w:val="008B7A73"/>
    <w:rsid w:val="008C0D30"/>
    <w:rsid w:val="008C240D"/>
    <w:rsid w:val="008C62D7"/>
    <w:rsid w:val="008C77A6"/>
    <w:rsid w:val="008D048E"/>
    <w:rsid w:val="008D2272"/>
    <w:rsid w:val="008D4683"/>
    <w:rsid w:val="008D6B59"/>
    <w:rsid w:val="008D7011"/>
    <w:rsid w:val="008D7637"/>
    <w:rsid w:val="008D7756"/>
    <w:rsid w:val="008E061A"/>
    <w:rsid w:val="008E1042"/>
    <w:rsid w:val="008E4783"/>
    <w:rsid w:val="008E666F"/>
    <w:rsid w:val="008F2C4F"/>
    <w:rsid w:val="008F34AC"/>
    <w:rsid w:val="008F45DD"/>
    <w:rsid w:val="00900415"/>
    <w:rsid w:val="0090322A"/>
    <w:rsid w:val="00904668"/>
    <w:rsid w:val="00911CC3"/>
    <w:rsid w:val="009124A1"/>
    <w:rsid w:val="00916854"/>
    <w:rsid w:val="009168ED"/>
    <w:rsid w:val="009235E3"/>
    <w:rsid w:val="00923CF3"/>
    <w:rsid w:val="00924BB9"/>
    <w:rsid w:val="0092796A"/>
    <w:rsid w:val="00932BD3"/>
    <w:rsid w:val="009333BF"/>
    <w:rsid w:val="00933790"/>
    <w:rsid w:val="00935491"/>
    <w:rsid w:val="00940384"/>
    <w:rsid w:val="009431CA"/>
    <w:rsid w:val="00946470"/>
    <w:rsid w:val="00953A93"/>
    <w:rsid w:val="00953E81"/>
    <w:rsid w:val="009552DA"/>
    <w:rsid w:val="009561D6"/>
    <w:rsid w:val="0096226A"/>
    <w:rsid w:val="00963FBC"/>
    <w:rsid w:val="00965D32"/>
    <w:rsid w:val="00971B87"/>
    <w:rsid w:val="00971BC6"/>
    <w:rsid w:val="00972769"/>
    <w:rsid w:val="009802D7"/>
    <w:rsid w:val="0098038F"/>
    <w:rsid w:val="00982CAB"/>
    <w:rsid w:val="00985529"/>
    <w:rsid w:val="00986F1E"/>
    <w:rsid w:val="009902F0"/>
    <w:rsid w:val="0099253B"/>
    <w:rsid w:val="00994A39"/>
    <w:rsid w:val="00994C7A"/>
    <w:rsid w:val="00996E0A"/>
    <w:rsid w:val="009A2A7C"/>
    <w:rsid w:val="009A489E"/>
    <w:rsid w:val="009AF5C9"/>
    <w:rsid w:val="009B10FF"/>
    <w:rsid w:val="009B244E"/>
    <w:rsid w:val="009B3D0F"/>
    <w:rsid w:val="009C097B"/>
    <w:rsid w:val="009C373A"/>
    <w:rsid w:val="009C5271"/>
    <w:rsid w:val="009C5531"/>
    <w:rsid w:val="009D0CB9"/>
    <w:rsid w:val="009D2615"/>
    <w:rsid w:val="009D6833"/>
    <w:rsid w:val="009E115D"/>
    <w:rsid w:val="009E2CF9"/>
    <w:rsid w:val="009E3377"/>
    <w:rsid w:val="009E432A"/>
    <w:rsid w:val="009E4CB8"/>
    <w:rsid w:val="009E7DA1"/>
    <w:rsid w:val="009F2E4B"/>
    <w:rsid w:val="009F43D3"/>
    <w:rsid w:val="009F52B2"/>
    <w:rsid w:val="009F7C9E"/>
    <w:rsid w:val="00A0036F"/>
    <w:rsid w:val="00A0514B"/>
    <w:rsid w:val="00A07605"/>
    <w:rsid w:val="00A0777A"/>
    <w:rsid w:val="00A079E8"/>
    <w:rsid w:val="00A120F8"/>
    <w:rsid w:val="00A12DFF"/>
    <w:rsid w:val="00A12E5B"/>
    <w:rsid w:val="00A152A1"/>
    <w:rsid w:val="00A15928"/>
    <w:rsid w:val="00A1682B"/>
    <w:rsid w:val="00A16EDE"/>
    <w:rsid w:val="00A23FB4"/>
    <w:rsid w:val="00A24E9C"/>
    <w:rsid w:val="00A24FD6"/>
    <w:rsid w:val="00A2552C"/>
    <w:rsid w:val="00A2684F"/>
    <w:rsid w:val="00A34B5F"/>
    <w:rsid w:val="00A40808"/>
    <w:rsid w:val="00A41088"/>
    <w:rsid w:val="00A450E5"/>
    <w:rsid w:val="00A46444"/>
    <w:rsid w:val="00A56124"/>
    <w:rsid w:val="00A606C9"/>
    <w:rsid w:val="00A60B62"/>
    <w:rsid w:val="00A61616"/>
    <w:rsid w:val="00A62FF3"/>
    <w:rsid w:val="00A66556"/>
    <w:rsid w:val="00A71DDA"/>
    <w:rsid w:val="00A73FF4"/>
    <w:rsid w:val="00A757FC"/>
    <w:rsid w:val="00A758D0"/>
    <w:rsid w:val="00A76CD3"/>
    <w:rsid w:val="00A77044"/>
    <w:rsid w:val="00A7744B"/>
    <w:rsid w:val="00A82AA4"/>
    <w:rsid w:val="00A83F94"/>
    <w:rsid w:val="00A85DB8"/>
    <w:rsid w:val="00A862B2"/>
    <w:rsid w:val="00A87285"/>
    <w:rsid w:val="00A8755C"/>
    <w:rsid w:val="00A8756A"/>
    <w:rsid w:val="00A90A0F"/>
    <w:rsid w:val="00A92EEF"/>
    <w:rsid w:val="00A96019"/>
    <w:rsid w:val="00AB105B"/>
    <w:rsid w:val="00AB12AC"/>
    <w:rsid w:val="00AB1491"/>
    <w:rsid w:val="00AB1EA0"/>
    <w:rsid w:val="00AB2299"/>
    <w:rsid w:val="00AB2E39"/>
    <w:rsid w:val="00AB4C7E"/>
    <w:rsid w:val="00AB59FF"/>
    <w:rsid w:val="00AB6D49"/>
    <w:rsid w:val="00AC1CB5"/>
    <w:rsid w:val="00AC54F4"/>
    <w:rsid w:val="00AC5BE9"/>
    <w:rsid w:val="00AC6202"/>
    <w:rsid w:val="00AC6A38"/>
    <w:rsid w:val="00AD26FA"/>
    <w:rsid w:val="00AD2C41"/>
    <w:rsid w:val="00AD3322"/>
    <w:rsid w:val="00AD3459"/>
    <w:rsid w:val="00AD3CAC"/>
    <w:rsid w:val="00AE2A13"/>
    <w:rsid w:val="00AE2B4E"/>
    <w:rsid w:val="00AE3057"/>
    <w:rsid w:val="00AE570E"/>
    <w:rsid w:val="00AE728B"/>
    <w:rsid w:val="00AE7FE8"/>
    <w:rsid w:val="00AF1EDB"/>
    <w:rsid w:val="00AF6521"/>
    <w:rsid w:val="00AF7CE3"/>
    <w:rsid w:val="00B00966"/>
    <w:rsid w:val="00B00DF0"/>
    <w:rsid w:val="00B01BD2"/>
    <w:rsid w:val="00B03502"/>
    <w:rsid w:val="00B03920"/>
    <w:rsid w:val="00B06841"/>
    <w:rsid w:val="00B0747B"/>
    <w:rsid w:val="00B13070"/>
    <w:rsid w:val="00B156E4"/>
    <w:rsid w:val="00B230C9"/>
    <w:rsid w:val="00B23481"/>
    <w:rsid w:val="00B2439B"/>
    <w:rsid w:val="00B3061B"/>
    <w:rsid w:val="00B318B2"/>
    <w:rsid w:val="00B325EF"/>
    <w:rsid w:val="00B34D21"/>
    <w:rsid w:val="00B34ED7"/>
    <w:rsid w:val="00B37F70"/>
    <w:rsid w:val="00B40BD1"/>
    <w:rsid w:val="00B41661"/>
    <w:rsid w:val="00B418F9"/>
    <w:rsid w:val="00B47D24"/>
    <w:rsid w:val="00B5186A"/>
    <w:rsid w:val="00B519C7"/>
    <w:rsid w:val="00B52CAC"/>
    <w:rsid w:val="00B6313F"/>
    <w:rsid w:val="00B63187"/>
    <w:rsid w:val="00B63374"/>
    <w:rsid w:val="00B639A9"/>
    <w:rsid w:val="00B63EA2"/>
    <w:rsid w:val="00B66808"/>
    <w:rsid w:val="00B704E2"/>
    <w:rsid w:val="00B709BF"/>
    <w:rsid w:val="00B70E75"/>
    <w:rsid w:val="00B710D3"/>
    <w:rsid w:val="00B71489"/>
    <w:rsid w:val="00B75EDC"/>
    <w:rsid w:val="00B76FFB"/>
    <w:rsid w:val="00B776BC"/>
    <w:rsid w:val="00B80136"/>
    <w:rsid w:val="00B814F8"/>
    <w:rsid w:val="00B81F53"/>
    <w:rsid w:val="00B82476"/>
    <w:rsid w:val="00B82A4F"/>
    <w:rsid w:val="00B87A5F"/>
    <w:rsid w:val="00B87C87"/>
    <w:rsid w:val="00B928F6"/>
    <w:rsid w:val="00B937CF"/>
    <w:rsid w:val="00B93CC9"/>
    <w:rsid w:val="00B96FC7"/>
    <w:rsid w:val="00B97412"/>
    <w:rsid w:val="00BA08B8"/>
    <w:rsid w:val="00BA27BC"/>
    <w:rsid w:val="00BA28F3"/>
    <w:rsid w:val="00BA29FB"/>
    <w:rsid w:val="00BA2E52"/>
    <w:rsid w:val="00BA4948"/>
    <w:rsid w:val="00BA6131"/>
    <w:rsid w:val="00BA6B8E"/>
    <w:rsid w:val="00BA7DD8"/>
    <w:rsid w:val="00BB40C7"/>
    <w:rsid w:val="00BB534D"/>
    <w:rsid w:val="00BB56AA"/>
    <w:rsid w:val="00BB5A84"/>
    <w:rsid w:val="00BB7186"/>
    <w:rsid w:val="00BC1E4A"/>
    <w:rsid w:val="00BC365F"/>
    <w:rsid w:val="00BC419F"/>
    <w:rsid w:val="00BC7B53"/>
    <w:rsid w:val="00BD2B07"/>
    <w:rsid w:val="00BE0ECA"/>
    <w:rsid w:val="00BE1A8C"/>
    <w:rsid w:val="00BE2B16"/>
    <w:rsid w:val="00BE397F"/>
    <w:rsid w:val="00BE4A68"/>
    <w:rsid w:val="00BE5B01"/>
    <w:rsid w:val="00BF0323"/>
    <w:rsid w:val="00BF256B"/>
    <w:rsid w:val="00BF6317"/>
    <w:rsid w:val="00C01B7A"/>
    <w:rsid w:val="00C01D6B"/>
    <w:rsid w:val="00C02AA5"/>
    <w:rsid w:val="00C04E62"/>
    <w:rsid w:val="00C05BA2"/>
    <w:rsid w:val="00C05E58"/>
    <w:rsid w:val="00C07185"/>
    <w:rsid w:val="00C074B8"/>
    <w:rsid w:val="00C0779F"/>
    <w:rsid w:val="00C078D9"/>
    <w:rsid w:val="00C10BA5"/>
    <w:rsid w:val="00C1447E"/>
    <w:rsid w:val="00C14742"/>
    <w:rsid w:val="00C16FFC"/>
    <w:rsid w:val="00C2073E"/>
    <w:rsid w:val="00C2377C"/>
    <w:rsid w:val="00C30327"/>
    <w:rsid w:val="00C309DB"/>
    <w:rsid w:val="00C30A1C"/>
    <w:rsid w:val="00C37CE6"/>
    <w:rsid w:val="00C4194A"/>
    <w:rsid w:val="00C422A9"/>
    <w:rsid w:val="00C43425"/>
    <w:rsid w:val="00C43A31"/>
    <w:rsid w:val="00C447CD"/>
    <w:rsid w:val="00C448AA"/>
    <w:rsid w:val="00C45BD3"/>
    <w:rsid w:val="00C50B93"/>
    <w:rsid w:val="00C51C59"/>
    <w:rsid w:val="00C55466"/>
    <w:rsid w:val="00C63D4E"/>
    <w:rsid w:val="00C70632"/>
    <w:rsid w:val="00C7350A"/>
    <w:rsid w:val="00C73639"/>
    <w:rsid w:val="00C74B06"/>
    <w:rsid w:val="00C76A26"/>
    <w:rsid w:val="00C77DC7"/>
    <w:rsid w:val="00C808CE"/>
    <w:rsid w:val="00C82698"/>
    <w:rsid w:val="00C82E33"/>
    <w:rsid w:val="00C8362C"/>
    <w:rsid w:val="00C87D5C"/>
    <w:rsid w:val="00C91393"/>
    <w:rsid w:val="00C92267"/>
    <w:rsid w:val="00C92E3F"/>
    <w:rsid w:val="00C933DD"/>
    <w:rsid w:val="00C94234"/>
    <w:rsid w:val="00C95928"/>
    <w:rsid w:val="00CA2849"/>
    <w:rsid w:val="00CA2E4B"/>
    <w:rsid w:val="00CA46CA"/>
    <w:rsid w:val="00CA5B8C"/>
    <w:rsid w:val="00CA6279"/>
    <w:rsid w:val="00CA784E"/>
    <w:rsid w:val="00CB1BD3"/>
    <w:rsid w:val="00CB2BEC"/>
    <w:rsid w:val="00CB2F8A"/>
    <w:rsid w:val="00CB4333"/>
    <w:rsid w:val="00CB5F26"/>
    <w:rsid w:val="00CC03CD"/>
    <w:rsid w:val="00CC5706"/>
    <w:rsid w:val="00CC6D0F"/>
    <w:rsid w:val="00CD2BC2"/>
    <w:rsid w:val="00CD6926"/>
    <w:rsid w:val="00CE13E3"/>
    <w:rsid w:val="00CE58CD"/>
    <w:rsid w:val="00CE5BB2"/>
    <w:rsid w:val="00CE733F"/>
    <w:rsid w:val="00CE78C0"/>
    <w:rsid w:val="00CF04C4"/>
    <w:rsid w:val="00CF21BB"/>
    <w:rsid w:val="00CF63C6"/>
    <w:rsid w:val="00D0195E"/>
    <w:rsid w:val="00D039AF"/>
    <w:rsid w:val="00D04019"/>
    <w:rsid w:val="00D04DA8"/>
    <w:rsid w:val="00D04F5B"/>
    <w:rsid w:val="00D066B5"/>
    <w:rsid w:val="00D066C3"/>
    <w:rsid w:val="00D07B1B"/>
    <w:rsid w:val="00D10224"/>
    <w:rsid w:val="00D108E8"/>
    <w:rsid w:val="00D12F46"/>
    <w:rsid w:val="00D14339"/>
    <w:rsid w:val="00D16501"/>
    <w:rsid w:val="00D1700F"/>
    <w:rsid w:val="00D17832"/>
    <w:rsid w:val="00D21270"/>
    <w:rsid w:val="00D225A2"/>
    <w:rsid w:val="00D22FB7"/>
    <w:rsid w:val="00D25F73"/>
    <w:rsid w:val="00D26FD0"/>
    <w:rsid w:val="00D30CC3"/>
    <w:rsid w:val="00D33ABD"/>
    <w:rsid w:val="00D4288C"/>
    <w:rsid w:val="00D4310E"/>
    <w:rsid w:val="00D46874"/>
    <w:rsid w:val="00D46B29"/>
    <w:rsid w:val="00D52D9A"/>
    <w:rsid w:val="00D52FEB"/>
    <w:rsid w:val="00D53CD2"/>
    <w:rsid w:val="00D5472F"/>
    <w:rsid w:val="00D65EAC"/>
    <w:rsid w:val="00D72040"/>
    <w:rsid w:val="00D7237E"/>
    <w:rsid w:val="00D7279F"/>
    <w:rsid w:val="00D734D2"/>
    <w:rsid w:val="00D75192"/>
    <w:rsid w:val="00D76ECC"/>
    <w:rsid w:val="00D83BBF"/>
    <w:rsid w:val="00D843E2"/>
    <w:rsid w:val="00D85FB8"/>
    <w:rsid w:val="00D870A4"/>
    <w:rsid w:val="00D93B05"/>
    <w:rsid w:val="00D96F68"/>
    <w:rsid w:val="00DA03AC"/>
    <w:rsid w:val="00DA112E"/>
    <w:rsid w:val="00DA2C01"/>
    <w:rsid w:val="00DA3362"/>
    <w:rsid w:val="00DA33E0"/>
    <w:rsid w:val="00DA6E28"/>
    <w:rsid w:val="00DB0E05"/>
    <w:rsid w:val="00DB446C"/>
    <w:rsid w:val="00DB55CA"/>
    <w:rsid w:val="00DB6CC3"/>
    <w:rsid w:val="00DB71DF"/>
    <w:rsid w:val="00DB75CA"/>
    <w:rsid w:val="00DC0F06"/>
    <w:rsid w:val="00DC2759"/>
    <w:rsid w:val="00DD019D"/>
    <w:rsid w:val="00DD4355"/>
    <w:rsid w:val="00DD5A3B"/>
    <w:rsid w:val="00DD5E81"/>
    <w:rsid w:val="00DD6A02"/>
    <w:rsid w:val="00DE220F"/>
    <w:rsid w:val="00DE3E37"/>
    <w:rsid w:val="00DE42BE"/>
    <w:rsid w:val="00DF2BAF"/>
    <w:rsid w:val="00DF6276"/>
    <w:rsid w:val="00E01510"/>
    <w:rsid w:val="00E018C3"/>
    <w:rsid w:val="00E01EA4"/>
    <w:rsid w:val="00E0293D"/>
    <w:rsid w:val="00E04371"/>
    <w:rsid w:val="00E067B6"/>
    <w:rsid w:val="00E10FA6"/>
    <w:rsid w:val="00E11AF5"/>
    <w:rsid w:val="00E11FD2"/>
    <w:rsid w:val="00E12479"/>
    <w:rsid w:val="00E13A26"/>
    <w:rsid w:val="00E14963"/>
    <w:rsid w:val="00E1517A"/>
    <w:rsid w:val="00E15351"/>
    <w:rsid w:val="00E170EC"/>
    <w:rsid w:val="00E20037"/>
    <w:rsid w:val="00E20605"/>
    <w:rsid w:val="00E20D57"/>
    <w:rsid w:val="00E20D81"/>
    <w:rsid w:val="00E22A81"/>
    <w:rsid w:val="00E271A9"/>
    <w:rsid w:val="00E2733C"/>
    <w:rsid w:val="00E27F4B"/>
    <w:rsid w:val="00E31DCC"/>
    <w:rsid w:val="00E32268"/>
    <w:rsid w:val="00E32F6E"/>
    <w:rsid w:val="00E40466"/>
    <w:rsid w:val="00E43F44"/>
    <w:rsid w:val="00E455D0"/>
    <w:rsid w:val="00E463E3"/>
    <w:rsid w:val="00E46984"/>
    <w:rsid w:val="00E47134"/>
    <w:rsid w:val="00E477BB"/>
    <w:rsid w:val="00E4792F"/>
    <w:rsid w:val="00E503FE"/>
    <w:rsid w:val="00E50638"/>
    <w:rsid w:val="00E62794"/>
    <w:rsid w:val="00E65668"/>
    <w:rsid w:val="00E65DF6"/>
    <w:rsid w:val="00E66421"/>
    <w:rsid w:val="00E675B2"/>
    <w:rsid w:val="00E67815"/>
    <w:rsid w:val="00E7172F"/>
    <w:rsid w:val="00E71919"/>
    <w:rsid w:val="00E7193D"/>
    <w:rsid w:val="00E72CF8"/>
    <w:rsid w:val="00E733AC"/>
    <w:rsid w:val="00E75D82"/>
    <w:rsid w:val="00E760D7"/>
    <w:rsid w:val="00E7652D"/>
    <w:rsid w:val="00E76960"/>
    <w:rsid w:val="00E7715D"/>
    <w:rsid w:val="00E776D9"/>
    <w:rsid w:val="00E77881"/>
    <w:rsid w:val="00E81143"/>
    <w:rsid w:val="00E82A98"/>
    <w:rsid w:val="00E840FC"/>
    <w:rsid w:val="00E844F5"/>
    <w:rsid w:val="00E8557A"/>
    <w:rsid w:val="00E855BD"/>
    <w:rsid w:val="00E8701B"/>
    <w:rsid w:val="00E87E5A"/>
    <w:rsid w:val="00E943AD"/>
    <w:rsid w:val="00E94F2E"/>
    <w:rsid w:val="00E9555F"/>
    <w:rsid w:val="00E9790E"/>
    <w:rsid w:val="00EA0954"/>
    <w:rsid w:val="00EA5308"/>
    <w:rsid w:val="00EA6D5B"/>
    <w:rsid w:val="00EB0F12"/>
    <w:rsid w:val="00EB1005"/>
    <w:rsid w:val="00EB1A83"/>
    <w:rsid w:val="00EB35C8"/>
    <w:rsid w:val="00EB50AA"/>
    <w:rsid w:val="00EB68D3"/>
    <w:rsid w:val="00EC1ADA"/>
    <w:rsid w:val="00EC28DB"/>
    <w:rsid w:val="00EC3BC1"/>
    <w:rsid w:val="00ED02CF"/>
    <w:rsid w:val="00ED0C8C"/>
    <w:rsid w:val="00ED5838"/>
    <w:rsid w:val="00EE03C5"/>
    <w:rsid w:val="00EE165B"/>
    <w:rsid w:val="00EE2D05"/>
    <w:rsid w:val="00EF08CB"/>
    <w:rsid w:val="00EF5295"/>
    <w:rsid w:val="00EF5B81"/>
    <w:rsid w:val="00EF5FB1"/>
    <w:rsid w:val="00EF7F6E"/>
    <w:rsid w:val="00F01607"/>
    <w:rsid w:val="00F016C4"/>
    <w:rsid w:val="00F02FF8"/>
    <w:rsid w:val="00F0375C"/>
    <w:rsid w:val="00F043B8"/>
    <w:rsid w:val="00F0484E"/>
    <w:rsid w:val="00F11822"/>
    <w:rsid w:val="00F12114"/>
    <w:rsid w:val="00F13DDD"/>
    <w:rsid w:val="00F14AA2"/>
    <w:rsid w:val="00F15DF8"/>
    <w:rsid w:val="00F21354"/>
    <w:rsid w:val="00F218C3"/>
    <w:rsid w:val="00F2482F"/>
    <w:rsid w:val="00F31610"/>
    <w:rsid w:val="00F31C9B"/>
    <w:rsid w:val="00F32CCF"/>
    <w:rsid w:val="00F32E97"/>
    <w:rsid w:val="00F41E4E"/>
    <w:rsid w:val="00F46C84"/>
    <w:rsid w:val="00F50355"/>
    <w:rsid w:val="00F50E45"/>
    <w:rsid w:val="00F521D0"/>
    <w:rsid w:val="00F52AF1"/>
    <w:rsid w:val="00F53242"/>
    <w:rsid w:val="00F570BC"/>
    <w:rsid w:val="00F706BD"/>
    <w:rsid w:val="00F75D85"/>
    <w:rsid w:val="00F76271"/>
    <w:rsid w:val="00F77EEB"/>
    <w:rsid w:val="00F8054A"/>
    <w:rsid w:val="00F81291"/>
    <w:rsid w:val="00F83915"/>
    <w:rsid w:val="00F85B31"/>
    <w:rsid w:val="00F85D90"/>
    <w:rsid w:val="00F86489"/>
    <w:rsid w:val="00F864FD"/>
    <w:rsid w:val="00F9181A"/>
    <w:rsid w:val="00F921C7"/>
    <w:rsid w:val="00F93811"/>
    <w:rsid w:val="00F93EE7"/>
    <w:rsid w:val="00F95708"/>
    <w:rsid w:val="00F969D9"/>
    <w:rsid w:val="00F96D5B"/>
    <w:rsid w:val="00F97C79"/>
    <w:rsid w:val="00FA0977"/>
    <w:rsid w:val="00FA119A"/>
    <w:rsid w:val="00FA44B8"/>
    <w:rsid w:val="00FA612C"/>
    <w:rsid w:val="00FB0EA1"/>
    <w:rsid w:val="00FB404F"/>
    <w:rsid w:val="00FB5E12"/>
    <w:rsid w:val="00FB731F"/>
    <w:rsid w:val="00FC00D9"/>
    <w:rsid w:val="00FC0B95"/>
    <w:rsid w:val="00FC2457"/>
    <w:rsid w:val="00FC29A9"/>
    <w:rsid w:val="00FC63D0"/>
    <w:rsid w:val="00FC6AAB"/>
    <w:rsid w:val="00FD0036"/>
    <w:rsid w:val="00FD16D5"/>
    <w:rsid w:val="00FD1A68"/>
    <w:rsid w:val="00FD1EB4"/>
    <w:rsid w:val="00FE0628"/>
    <w:rsid w:val="00FE36D9"/>
    <w:rsid w:val="00FE3D10"/>
    <w:rsid w:val="00FE3E70"/>
    <w:rsid w:val="00FE4B8B"/>
    <w:rsid w:val="00FF2F95"/>
    <w:rsid w:val="00FF3BB1"/>
    <w:rsid w:val="00FF5C83"/>
    <w:rsid w:val="00FF6DC5"/>
    <w:rsid w:val="01080D2C"/>
    <w:rsid w:val="01ADBF3B"/>
    <w:rsid w:val="01AF0A96"/>
    <w:rsid w:val="030B0D58"/>
    <w:rsid w:val="03195872"/>
    <w:rsid w:val="03716DB2"/>
    <w:rsid w:val="0423D53B"/>
    <w:rsid w:val="054B5BED"/>
    <w:rsid w:val="055A1993"/>
    <w:rsid w:val="05EB4BE1"/>
    <w:rsid w:val="071D25EF"/>
    <w:rsid w:val="0803D862"/>
    <w:rsid w:val="09C8E89A"/>
    <w:rsid w:val="09DA8818"/>
    <w:rsid w:val="0A4FA3B7"/>
    <w:rsid w:val="0A68CC14"/>
    <w:rsid w:val="0ACCA149"/>
    <w:rsid w:val="0AF7293F"/>
    <w:rsid w:val="0BA880FA"/>
    <w:rsid w:val="0BE28B6E"/>
    <w:rsid w:val="0E73421F"/>
    <w:rsid w:val="0E7C73C5"/>
    <w:rsid w:val="0E833160"/>
    <w:rsid w:val="0F536E4E"/>
    <w:rsid w:val="0F85B33A"/>
    <w:rsid w:val="1039F1F0"/>
    <w:rsid w:val="115E09FF"/>
    <w:rsid w:val="11ABF013"/>
    <w:rsid w:val="122901F6"/>
    <w:rsid w:val="12F0278D"/>
    <w:rsid w:val="131E53DF"/>
    <w:rsid w:val="13CF09AF"/>
    <w:rsid w:val="13E32AAF"/>
    <w:rsid w:val="14F80584"/>
    <w:rsid w:val="150E358F"/>
    <w:rsid w:val="15B7843F"/>
    <w:rsid w:val="15BE6259"/>
    <w:rsid w:val="15EC499E"/>
    <w:rsid w:val="1883DAD1"/>
    <w:rsid w:val="18B4F30B"/>
    <w:rsid w:val="18E0FFA6"/>
    <w:rsid w:val="19187843"/>
    <w:rsid w:val="19684DE8"/>
    <w:rsid w:val="1BDF86DB"/>
    <w:rsid w:val="1C8CDCA0"/>
    <w:rsid w:val="1CB4BA04"/>
    <w:rsid w:val="1DBFC09B"/>
    <w:rsid w:val="1E4B9416"/>
    <w:rsid w:val="20B2F7FE"/>
    <w:rsid w:val="224EC85F"/>
    <w:rsid w:val="2267F0BC"/>
    <w:rsid w:val="2350ECD1"/>
    <w:rsid w:val="23EA98C0"/>
    <w:rsid w:val="255294F2"/>
    <w:rsid w:val="25866921"/>
    <w:rsid w:val="2650EFBE"/>
    <w:rsid w:val="268314BE"/>
    <w:rsid w:val="271674A0"/>
    <w:rsid w:val="2844F321"/>
    <w:rsid w:val="286AFF4B"/>
    <w:rsid w:val="28A1BB53"/>
    <w:rsid w:val="29888A2E"/>
    <w:rsid w:val="29AEDC10"/>
    <w:rsid w:val="29BAB580"/>
    <w:rsid w:val="2B2F556E"/>
    <w:rsid w:val="2B75DFF4"/>
    <w:rsid w:val="2BE4FBB3"/>
    <w:rsid w:val="2CAA8595"/>
    <w:rsid w:val="2DC52B8B"/>
    <w:rsid w:val="2DCC18B9"/>
    <w:rsid w:val="2DE7858E"/>
    <w:rsid w:val="2E8DE93A"/>
    <w:rsid w:val="2ED94F48"/>
    <w:rsid w:val="2FF91183"/>
    <w:rsid w:val="30A5DBD1"/>
    <w:rsid w:val="30E728DD"/>
    <w:rsid w:val="30FCCC4D"/>
    <w:rsid w:val="3264EC29"/>
    <w:rsid w:val="341E1CB4"/>
    <w:rsid w:val="35794CF4"/>
    <w:rsid w:val="35E35FF7"/>
    <w:rsid w:val="36A1260E"/>
    <w:rsid w:val="378CBE12"/>
    <w:rsid w:val="391B239D"/>
    <w:rsid w:val="39801936"/>
    <w:rsid w:val="3990E13D"/>
    <w:rsid w:val="3B1E77B9"/>
    <w:rsid w:val="3B3F7A53"/>
    <w:rsid w:val="3D045CF7"/>
    <w:rsid w:val="3D5C5985"/>
    <w:rsid w:val="3D95C4FA"/>
    <w:rsid w:val="3DC58C8A"/>
    <w:rsid w:val="3DF9B7E1"/>
    <w:rsid w:val="3F97997C"/>
    <w:rsid w:val="4001BB37"/>
    <w:rsid w:val="40FD6E45"/>
    <w:rsid w:val="4143F53B"/>
    <w:rsid w:val="415DE6E6"/>
    <w:rsid w:val="425DB9B1"/>
    <w:rsid w:val="43F658C4"/>
    <w:rsid w:val="44F17AEA"/>
    <w:rsid w:val="45BB922B"/>
    <w:rsid w:val="46FB11D7"/>
    <w:rsid w:val="47CDE720"/>
    <w:rsid w:val="48792659"/>
    <w:rsid w:val="487F2634"/>
    <w:rsid w:val="49726BE7"/>
    <w:rsid w:val="497EBB6F"/>
    <w:rsid w:val="49EF888D"/>
    <w:rsid w:val="4A1A3A46"/>
    <w:rsid w:val="4B68A9F4"/>
    <w:rsid w:val="4BCF3BFD"/>
    <w:rsid w:val="4CA7A9B5"/>
    <w:rsid w:val="4F8C2023"/>
    <w:rsid w:val="50CDE727"/>
    <w:rsid w:val="518348CC"/>
    <w:rsid w:val="5235D261"/>
    <w:rsid w:val="5280A8B7"/>
    <w:rsid w:val="541F6E72"/>
    <w:rsid w:val="550F8C3A"/>
    <w:rsid w:val="55620106"/>
    <w:rsid w:val="560BFA6E"/>
    <w:rsid w:val="56E01B64"/>
    <w:rsid w:val="56E0E9B1"/>
    <w:rsid w:val="58719C2A"/>
    <w:rsid w:val="58CBFA73"/>
    <w:rsid w:val="5A3E6EA4"/>
    <w:rsid w:val="5A4AA763"/>
    <w:rsid w:val="5A64BF8D"/>
    <w:rsid w:val="5AF3C3F2"/>
    <w:rsid w:val="5BAD88AB"/>
    <w:rsid w:val="5BC8B31E"/>
    <w:rsid w:val="5BCB7E67"/>
    <w:rsid w:val="5C78F43D"/>
    <w:rsid w:val="5D1A9E1F"/>
    <w:rsid w:val="5D409FA2"/>
    <w:rsid w:val="5D4E4EA4"/>
    <w:rsid w:val="5E1749BC"/>
    <w:rsid w:val="5E4F668A"/>
    <w:rsid w:val="5F0ACF46"/>
    <w:rsid w:val="5F13C361"/>
    <w:rsid w:val="5F910916"/>
    <w:rsid w:val="5FF985E1"/>
    <w:rsid w:val="605D6E84"/>
    <w:rsid w:val="608D3445"/>
    <w:rsid w:val="60A69FA7"/>
    <w:rsid w:val="60E29D0B"/>
    <w:rsid w:val="60F49E1C"/>
    <w:rsid w:val="6187074C"/>
    <w:rsid w:val="6189C9D3"/>
    <w:rsid w:val="61BA9093"/>
    <w:rsid w:val="622AF16D"/>
    <w:rsid w:val="635468B6"/>
    <w:rsid w:val="63B962EA"/>
    <w:rsid w:val="63CCAD88"/>
    <w:rsid w:val="64192D4B"/>
    <w:rsid w:val="643664AE"/>
    <w:rsid w:val="64F03917"/>
    <w:rsid w:val="6521F4D8"/>
    <w:rsid w:val="65577B94"/>
    <w:rsid w:val="65E6F067"/>
    <w:rsid w:val="6652C852"/>
    <w:rsid w:val="66CCD187"/>
    <w:rsid w:val="68EA0BC3"/>
    <w:rsid w:val="699BC72C"/>
    <w:rsid w:val="69B23CDC"/>
    <w:rsid w:val="69E5F1D2"/>
    <w:rsid w:val="6A0F61B1"/>
    <w:rsid w:val="6A3A6408"/>
    <w:rsid w:val="6B484A7C"/>
    <w:rsid w:val="6C5663C1"/>
    <w:rsid w:val="6CC5BD8B"/>
    <w:rsid w:val="6D856018"/>
    <w:rsid w:val="6D9A2D0E"/>
    <w:rsid w:val="6E90F022"/>
    <w:rsid w:val="6F213079"/>
    <w:rsid w:val="6F8C6488"/>
    <w:rsid w:val="6FA96B51"/>
    <w:rsid w:val="6FF405C2"/>
    <w:rsid w:val="6FF69035"/>
    <w:rsid w:val="70E90CD5"/>
    <w:rsid w:val="7157502B"/>
    <w:rsid w:val="7178D8D5"/>
    <w:rsid w:val="719FC564"/>
    <w:rsid w:val="723F6B75"/>
    <w:rsid w:val="72893DEC"/>
    <w:rsid w:val="72D25BA6"/>
    <w:rsid w:val="73083F4F"/>
    <w:rsid w:val="751D50B7"/>
    <w:rsid w:val="75C0DEAE"/>
    <w:rsid w:val="77028939"/>
    <w:rsid w:val="7741646F"/>
    <w:rsid w:val="77776E9A"/>
    <w:rsid w:val="77E6B8B9"/>
    <w:rsid w:val="792ACF2F"/>
    <w:rsid w:val="795812F4"/>
    <w:rsid w:val="7B064625"/>
    <w:rsid w:val="7B4652C1"/>
    <w:rsid w:val="7CB9606D"/>
    <w:rsid w:val="7DA4E023"/>
    <w:rsid w:val="7ED126BB"/>
    <w:rsid w:val="7F40843E"/>
    <w:rsid w:val="7F68F7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2CDE2C"/>
  <w15:docId w15:val="{FA7DCF3C-B402-4F82-87C1-AA6EC56A0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outlineLvl w:val="0"/>
    </w:pPr>
    <w:rPr>
      <w:b/>
      <w:bCs/>
      <w:sz w:val="24"/>
      <w:szCs w:val="24"/>
    </w:rPr>
  </w:style>
  <w:style w:type="paragraph" w:styleId="Heading2">
    <w:name w:val="heading 2"/>
    <w:basedOn w:val="Normal"/>
    <w:next w:val="Normal"/>
    <w:link w:val="Heading2Char"/>
    <w:uiPriority w:val="9"/>
    <w:unhideWhenUsed/>
    <w:qFormat/>
    <w:rsid w:val="00354702"/>
    <w:pPr>
      <w:keepNext/>
      <w:keepLines/>
      <w:numPr>
        <w:ilvl w:val="1"/>
        <w:numId w:val="3"/>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54702"/>
    <w:pPr>
      <w:keepNext/>
      <w:keepLines/>
      <w:numPr>
        <w:ilvl w:val="2"/>
        <w:numId w:val="3"/>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354702"/>
    <w:pPr>
      <w:keepNext/>
      <w:keepLines/>
      <w:numPr>
        <w:ilvl w:val="3"/>
        <w:numId w:val="3"/>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354702"/>
    <w:pPr>
      <w:keepNext/>
      <w:keepLines/>
      <w:numPr>
        <w:ilvl w:val="4"/>
        <w:numId w:val="3"/>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54702"/>
    <w:pPr>
      <w:keepNext/>
      <w:keepLines/>
      <w:numPr>
        <w:ilvl w:val="5"/>
        <w:numId w:val="3"/>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54702"/>
    <w:pPr>
      <w:keepNext/>
      <w:keepLines/>
      <w:numPr>
        <w:ilvl w:val="6"/>
        <w:numId w:val="3"/>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54702"/>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54702"/>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rsid w:val="005173D3"/>
    <w:pPr>
      <w:numPr>
        <w:ilvl w:val="2"/>
        <w:numId w:val="17"/>
      </w:numPr>
      <w:spacing w:before="1"/>
    </w:pPr>
    <w:rPr>
      <w:sz w:val="24"/>
    </w:rPr>
  </w:style>
  <w:style w:type="paragraph" w:customStyle="1" w:styleId="TableParagraph">
    <w:name w:val="Table Paragraph"/>
    <w:basedOn w:val="Normal"/>
    <w:uiPriority w:val="1"/>
    <w:qFormat/>
  </w:style>
  <w:style w:type="paragraph" w:styleId="Revision">
    <w:name w:val="Revision"/>
    <w:hidden/>
    <w:uiPriority w:val="99"/>
    <w:semiHidden/>
    <w:rsid w:val="009B10FF"/>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306D11"/>
    <w:pPr>
      <w:tabs>
        <w:tab w:val="center" w:pos="4680"/>
        <w:tab w:val="right" w:pos="9360"/>
      </w:tabs>
    </w:pPr>
  </w:style>
  <w:style w:type="character" w:customStyle="1" w:styleId="HeaderChar">
    <w:name w:val="Header Char"/>
    <w:basedOn w:val="DefaultParagraphFont"/>
    <w:link w:val="Header"/>
    <w:uiPriority w:val="99"/>
    <w:rsid w:val="00306D11"/>
    <w:rPr>
      <w:rFonts w:ascii="Times New Roman" w:eastAsia="Times New Roman" w:hAnsi="Times New Roman" w:cs="Times New Roman"/>
    </w:rPr>
  </w:style>
  <w:style w:type="paragraph" w:styleId="Footer">
    <w:name w:val="footer"/>
    <w:basedOn w:val="Normal"/>
    <w:link w:val="FooterChar"/>
    <w:uiPriority w:val="99"/>
    <w:unhideWhenUsed/>
    <w:rsid w:val="00306D11"/>
    <w:pPr>
      <w:tabs>
        <w:tab w:val="center" w:pos="4680"/>
        <w:tab w:val="right" w:pos="9360"/>
      </w:tabs>
    </w:pPr>
  </w:style>
  <w:style w:type="character" w:customStyle="1" w:styleId="FooterChar">
    <w:name w:val="Footer Char"/>
    <w:basedOn w:val="DefaultParagraphFont"/>
    <w:link w:val="Footer"/>
    <w:uiPriority w:val="99"/>
    <w:rsid w:val="00306D11"/>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2A3E30"/>
    <w:rPr>
      <w:sz w:val="20"/>
      <w:szCs w:val="20"/>
    </w:rPr>
  </w:style>
  <w:style w:type="character" w:customStyle="1" w:styleId="FootnoteTextChar">
    <w:name w:val="Footnote Text Char"/>
    <w:basedOn w:val="DefaultParagraphFont"/>
    <w:link w:val="FootnoteText"/>
    <w:uiPriority w:val="99"/>
    <w:semiHidden/>
    <w:rsid w:val="002A3E3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A3E30"/>
    <w:rPr>
      <w:vertAlign w:val="superscript"/>
    </w:rPr>
  </w:style>
  <w:style w:type="character" w:styleId="LineNumber">
    <w:name w:val="line number"/>
    <w:basedOn w:val="DefaultParagraphFont"/>
    <w:uiPriority w:val="99"/>
    <w:semiHidden/>
    <w:unhideWhenUsed/>
    <w:rsid w:val="00337815"/>
  </w:style>
  <w:style w:type="character" w:customStyle="1" w:styleId="Heading2Char">
    <w:name w:val="Heading 2 Char"/>
    <w:basedOn w:val="DefaultParagraphFont"/>
    <w:link w:val="Heading2"/>
    <w:uiPriority w:val="9"/>
    <w:rsid w:val="0035470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35470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354702"/>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354702"/>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354702"/>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354702"/>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35470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54702"/>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B82A4F"/>
    <w:rPr>
      <w:color w:val="0000FF" w:themeColor="hyperlink"/>
      <w:u w:val="single"/>
    </w:rPr>
  </w:style>
  <w:style w:type="character" w:styleId="UnresolvedMention">
    <w:name w:val="Unresolved Mention"/>
    <w:basedOn w:val="DefaultParagraphFont"/>
    <w:uiPriority w:val="99"/>
    <w:semiHidden/>
    <w:unhideWhenUsed/>
    <w:rsid w:val="00B82A4F"/>
    <w:rPr>
      <w:color w:val="605E5C"/>
      <w:shd w:val="clear" w:color="auto" w:fill="E1DFDD"/>
    </w:rPr>
  </w:style>
  <w:style w:type="numbering" w:customStyle="1" w:styleId="Style1">
    <w:name w:val="Style1"/>
    <w:uiPriority w:val="99"/>
    <w:rsid w:val="005D0085"/>
    <w:pPr>
      <w:numPr>
        <w:numId w:val="2"/>
      </w:numPr>
    </w:pPr>
  </w:style>
  <w:style w:type="paragraph" w:styleId="NoSpacing">
    <w:name w:val="No Spacing"/>
    <w:uiPriority w:val="1"/>
    <w:qFormat/>
    <w:rsid w:val="00E14963"/>
    <w:rPr>
      <w:rFonts w:ascii="Times New Roman" w:eastAsia="Times New Roman" w:hAnsi="Times New Roman" w:cs="Times New Roman"/>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BodyTextChar">
    <w:name w:val="Body Text Char"/>
    <w:basedOn w:val="DefaultParagraphFont"/>
    <w:link w:val="BodyText"/>
    <w:uiPriority w:val="1"/>
    <w:rsid w:val="00F76271"/>
    <w:rPr>
      <w:rFonts w:ascii="Times New Roman" w:eastAsia="Times New Roman" w:hAnsi="Times New Roman" w:cs="Times New Roman"/>
      <w:sz w:val="24"/>
      <w:szCs w:val="24"/>
    </w:rPr>
  </w:style>
  <w:style w:type="paragraph" w:styleId="TOC1">
    <w:name w:val="toc 1"/>
    <w:basedOn w:val="Normal"/>
    <w:uiPriority w:val="1"/>
    <w:qFormat/>
    <w:rsid w:val="00FB731F"/>
    <w:pPr>
      <w:ind w:left="799" w:hanging="539"/>
    </w:pPr>
    <w:rPr>
      <w:b/>
      <w:bCs/>
      <w:sz w:val="24"/>
      <w:szCs w:val="24"/>
    </w:rPr>
  </w:style>
  <w:style w:type="character" w:styleId="Strong">
    <w:name w:val="Strong"/>
    <w:basedOn w:val="DefaultParagraphFont"/>
    <w:uiPriority w:val="22"/>
    <w:qFormat/>
    <w:rsid w:val="00D7237E"/>
    <w:rPr>
      <w:rFonts w:ascii="Times New Roman" w:hAnsi="Times New Roman"/>
      <w:b/>
      <w:bCs/>
      <w:sz w:val="24"/>
    </w:rPr>
  </w:style>
  <w:style w:type="numbering" w:customStyle="1" w:styleId="Style2">
    <w:name w:val="Style2"/>
    <w:uiPriority w:val="99"/>
    <w:rsid w:val="00965D32"/>
    <w:pPr>
      <w:numPr>
        <w:numId w:val="16"/>
      </w:numPr>
    </w:pPr>
  </w:style>
  <w:style w:type="paragraph" w:styleId="CommentSubject">
    <w:name w:val="annotation subject"/>
    <w:basedOn w:val="CommentText"/>
    <w:next w:val="CommentText"/>
    <w:link w:val="CommentSubjectChar"/>
    <w:uiPriority w:val="99"/>
    <w:semiHidden/>
    <w:unhideWhenUsed/>
    <w:rsid w:val="00C2377C"/>
    <w:rPr>
      <w:b/>
      <w:bCs/>
    </w:rPr>
  </w:style>
  <w:style w:type="character" w:customStyle="1" w:styleId="CommentSubjectChar">
    <w:name w:val="Comment Subject Char"/>
    <w:basedOn w:val="CommentTextChar"/>
    <w:link w:val="CommentSubject"/>
    <w:uiPriority w:val="99"/>
    <w:semiHidden/>
    <w:rsid w:val="00C2377C"/>
    <w:rPr>
      <w:rFonts w:ascii="Times New Roman" w:eastAsia="Times New Roman" w:hAnsi="Times New Roman" w:cs="Times New Roman"/>
      <w:b/>
      <w:bCs/>
      <w:sz w:val="20"/>
      <w:szCs w:val="20"/>
    </w:rPr>
  </w:style>
  <w:style w:type="table" w:styleId="TableGrid">
    <w:name w:val="Table Grid"/>
    <w:basedOn w:val="TableNormal"/>
    <w:rsid w:val="00AE7FE8"/>
    <w:pPr>
      <w:widowControl/>
      <w:autoSpaceDE/>
      <w:autoSpaceDN/>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D00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143439">
      <w:bodyDiv w:val="1"/>
      <w:marLeft w:val="0"/>
      <w:marRight w:val="0"/>
      <w:marTop w:val="0"/>
      <w:marBottom w:val="0"/>
      <w:divBdr>
        <w:top w:val="none" w:sz="0" w:space="0" w:color="auto"/>
        <w:left w:val="none" w:sz="0" w:space="0" w:color="auto"/>
        <w:bottom w:val="none" w:sz="0" w:space="0" w:color="auto"/>
        <w:right w:val="none" w:sz="0" w:space="0" w:color="auto"/>
      </w:divBdr>
    </w:div>
    <w:div w:id="1235819698">
      <w:bodyDiv w:val="1"/>
      <w:marLeft w:val="0"/>
      <w:marRight w:val="0"/>
      <w:marTop w:val="0"/>
      <w:marBottom w:val="0"/>
      <w:divBdr>
        <w:top w:val="none" w:sz="0" w:space="0" w:color="auto"/>
        <w:left w:val="none" w:sz="0" w:space="0" w:color="auto"/>
        <w:bottom w:val="none" w:sz="0" w:space="0" w:color="auto"/>
        <w:right w:val="none" w:sz="0" w:space="0" w:color="auto"/>
      </w:divBdr>
    </w:div>
    <w:div w:id="1909070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broadbandusa.ntia.doc.gov/node/8175"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broadbandusa.ntia.doc.gov/node/8176" TargetMode="External"/><Relationship Id="rId2" Type="http://schemas.openxmlformats.org/officeDocument/2006/relationships/customXml" Target="../customXml/item2.xml"/><Relationship Id="rId16" Type="http://schemas.openxmlformats.org/officeDocument/2006/relationships/hyperlink" Target="https://broadbandusa.ntia.gov/news/latest-news/biden-harris-administration-announces-state-allocations-4245-billion-high-spee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broadbandusa.ntia.doc.gov/funding-programs/broadband-equity-access-and-deployment-bead-progra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0d45850-cdab-4335-bbe4-3503319b96c0">
      <Terms xmlns="http://schemas.microsoft.com/office/infopath/2007/PartnerControls"/>
    </lcf76f155ced4ddcb4097134ff3c332f>
    <TaxCatchAll xmlns="9c130270-ac7c-4497-90d6-17a43cdb195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AD02651D74EB44996A62AA680831119" ma:contentTypeVersion="13" ma:contentTypeDescription="Create a new document." ma:contentTypeScope="" ma:versionID="383dbdcf9d017a0404f4e8f78ef9b57e">
  <xsd:schema xmlns:xsd="http://www.w3.org/2001/XMLSchema" xmlns:xs="http://www.w3.org/2001/XMLSchema" xmlns:p="http://schemas.microsoft.com/office/2006/metadata/properties" xmlns:ns2="30d45850-cdab-4335-bbe4-3503319b96c0" xmlns:ns3="9c130270-ac7c-4497-90d6-17a43cdb195d" targetNamespace="http://schemas.microsoft.com/office/2006/metadata/properties" ma:root="true" ma:fieldsID="16b8b564a7e992c9a1fca0aa617e9c09" ns2:_="" ns3:_="">
    <xsd:import namespace="30d45850-cdab-4335-bbe4-3503319b96c0"/>
    <xsd:import namespace="9c130270-ac7c-4497-90d6-17a43cdb19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45850-cdab-4335-bbe4-3503319b96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0d4ad75-a42b-4783-84ed-a698db182b0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130270-ac7c-4497-90d6-17a43cdb19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3607ede-c9cd-4d89-8ab7-e45b9720c687}" ma:internalName="TaxCatchAll" ma:showField="CatchAllData" ma:web="9c130270-ac7c-4497-90d6-17a43cdb195d">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165D23-DA73-4CA2-B2A5-6ACE82F145D4}">
  <ds:schemaRefs>
    <ds:schemaRef ds:uri="http://schemas.microsoft.com/office/2006/metadata/properties"/>
    <ds:schemaRef ds:uri="http://schemas.microsoft.com/office/infopath/2007/PartnerControls"/>
    <ds:schemaRef ds:uri="30d45850-cdab-4335-bbe4-3503319b96c0"/>
    <ds:schemaRef ds:uri="9c130270-ac7c-4497-90d6-17a43cdb195d"/>
  </ds:schemaRefs>
</ds:datastoreItem>
</file>

<file path=customXml/itemProps2.xml><?xml version="1.0" encoding="utf-8"?>
<ds:datastoreItem xmlns:ds="http://schemas.openxmlformats.org/officeDocument/2006/customXml" ds:itemID="{D3007AC7-EE43-414B-87CB-05C391DA0344}">
  <ds:schemaRefs>
    <ds:schemaRef ds:uri="http://schemas.openxmlformats.org/officeDocument/2006/bibliography"/>
  </ds:schemaRefs>
</ds:datastoreItem>
</file>

<file path=customXml/itemProps3.xml><?xml version="1.0" encoding="utf-8"?>
<ds:datastoreItem xmlns:ds="http://schemas.openxmlformats.org/officeDocument/2006/customXml" ds:itemID="{78CF9F01-34B5-4D64-9DE0-2D90762369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d45850-cdab-4335-bbe4-3503319b96c0"/>
    <ds:schemaRef ds:uri="9c130270-ac7c-4497-90d6-17a43cdb19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FF3C38-D433-43B3-B69F-57A98BD84A97}">
  <ds:schemaRefs>
    <ds:schemaRef ds:uri="http://schemas.microsoft.com/sharepoint/v3/contenttype/forms"/>
  </ds:schemaRefs>
</ds:datastoreItem>
</file>

<file path=docMetadata/LabelInfo.xml><?xml version="1.0" encoding="utf-8"?>
<clbl:labelList xmlns:clbl="http://schemas.microsoft.com/office/2020/mipLabelMetadata">
  <clbl:label id="{d6cff1bd-67dd-4ce8-945d-d07dc775672f}" enabled="0" method="" siteId="{d6cff1bd-67dd-4ce8-945d-d07dc775672f}" removed="1"/>
</clbl:labelList>
</file>

<file path=docProps/app.xml><?xml version="1.0" encoding="utf-8"?>
<Properties xmlns="http://schemas.openxmlformats.org/officeDocument/2006/extended-properties" xmlns:vt="http://schemas.openxmlformats.org/officeDocument/2006/docPropsVTypes">
  <Template>Normal</Template>
  <TotalTime>14</TotalTime>
  <Pages>13</Pages>
  <Words>4784</Words>
  <Characters>27270</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Part 4 - Department of Commerce</vt:lpstr>
    </vt:vector>
  </TitlesOfParts>
  <Company/>
  <LinksUpToDate>false</LinksUpToDate>
  <CharactersWithSpaces>31991</CharactersWithSpaces>
  <SharedDoc>false</SharedDoc>
  <HLinks>
    <vt:vector size="24" baseType="variant">
      <vt:variant>
        <vt:i4>7798890</vt:i4>
      </vt:variant>
      <vt:variant>
        <vt:i4>9</vt:i4>
      </vt:variant>
      <vt:variant>
        <vt:i4>0</vt:i4>
      </vt:variant>
      <vt:variant>
        <vt:i4>5</vt:i4>
      </vt:variant>
      <vt:variant>
        <vt:lpwstr>https://broadbandusa.ntia.gov/news/latest-news/biden-harris-administration-announces-state-allocations-4245-billion-high-speed</vt:lpwstr>
      </vt:variant>
      <vt:variant>
        <vt:lpwstr/>
      </vt:variant>
      <vt:variant>
        <vt:i4>2162769</vt:i4>
      </vt:variant>
      <vt:variant>
        <vt:i4>6</vt:i4>
      </vt:variant>
      <vt:variant>
        <vt:i4>0</vt:i4>
      </vt:variant>
      <vt:variant>
        <vt:i4>5</vt:i4>
      </vt:variant>
      <vt:variant>
        <vt:lpwstr/>
      </vt:variant>
      <vt:variant>
        <vt:lpwstr>_bookmark33</vt:lpwstr>
      </vt:variant>
      <vt:variant>
        <vt:i4>1572942</vt:i4>
      </vt:variant>
      <vt:variant>
        <vt:i4>3</vt:i4>
      </vt:variant>
      <vt:variant>
        <vt:i4>0</vt:i4>
      </vt:variant>
      <vt:variant>
        <vt:i4>5</vt:i4>
      </vt:variant>
      <vt:variant>
        <vt:lpwstr>https://broadbandusa.ntia.gov/funding-programs/broadband-equity-access-and-deployment-bead-program/BEAD-BABA-RFC</vt:lpwstr>
      </vt:variant>
      <vt:variant>
        <vt:lpwstr/>
      </vt:variant>
      <vt:variant>
        <vt:i4>6684716</vt:i4>
      </vt:variant>
      <vt:variant>
        <vt:i4>0</vt:i4>
      </vt:variant>
      <vt:variant>
        <vt:i4>0</vt:i4>
      </vt:variant>
      <vt:variant>
        <vt:i4>5</vt:i4>
      </vt:variant>
      <vt:variant>
        <vt:lpwstr>https://broadbandusa.ntia.doc.gov/funding-programs/broadband-equity-access-and-deployment-bead-program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4 - Department of Commerce</dc:title>
  <dc:subject/>
  <dc:creator>Caswell, Teri</dc:creator>
  <cp:keywords/>
  <cp:lastModifiedBy>Mayer, Mitzi K. EOP/OMB</cp:lastModifiedBy>
  <cp:revision>4</cp:revision>
  <cp:lastPrinted>2023-09-26T20:26:00Z</cp:lastPrinted>
  <dcterms:created xsi:type="dcterms:W3CDTF">2023-11-28T23:09:00Z</dcterms:created>
  <dcterms:modified xsi:type="dcterms:W3CDTF">2023-11-29T19:27:00Z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2023-05-12T00:00:00Z</vt:filetime>
  </property>
  <property fmtid="{D5CDD505-2E9C-101B-9397-08002B2CF9AE}" pid="3" name="Creator">
    <vt:lpwstr>Adobe Acrobat Pro (64-bit) 22.3.20263</vt:lpwstr>
  </property>
  <property fmtid="{D5CDD505-2E9C-101B-9397-08002B2CF9AE}" pid="4" name="LastSaved">
    <vt:filetime>2023-08-25T00:00:00Z</vt:filetime>
  </property>
  <property fmtid="{D5CDD505-2E9C-101B-9397-08002B2CF9AE}" pid="5" name="Producer">
    <vt:lpwstr>Adobe Acrobat Pro (64-bit) 23 Paper Capture Plug-in</vt:lpwstr>
  </property>
  <property fmtid="{D5CDD505-2E9C-101B-9397-08002B2CF9AE}" pid="6" name="ContentTypeId">
    <vt:lpwstr>0x0101008707B6CCDFAD3E458924D728FEAA6BE0</vt:lpwstr>
  </property>
  <property fmtid="{D5CDD505-2E9C-101B-9397-08002B2CF9AE}" pid="7" name="MediaServiceImageTags">
    <vt:lpwstr/>
  </property>
</Properties>
</file>