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1980"/>
        <w:gridCol w:w="3870"/>
        <w:gridCol w:w="4140"/>
        <w:gridCol w:w="3960"/>
      </w:tblGrid>
      <w:tr w:rsidR="00C077BD" w:rsidRPr="00E80413" w:rsidTr="007F2317">
        <w:trPr>
          <w:trHeight w:val="710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CC" w:rsidRPr="00E80413" w:rsidRDefault="00924818" w:rsidP="00B06DE0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28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8"/>
              </w:rPr>
              <w:drawing>
                <wp:anchor distT="0" distB="0" distL="114300" distR="114300" simplePos="0" relativeHeight="251658240" behindDoc="1" locked="0" layoutInCell="1" allowOverlap="1" wp14:anchorId="5F3F51D1" wp14:editId="1B32AF8C">
                  <wp:simplePos x="0" y="0"/>
                  <wp:positionH relativeFrom="column">
                    <wp:posOffset>1580820</wp:posOffset>
                  </wp:positionH>
                  <wp:positionV relativeFrom="paragraph">
                    <wp:posOffset>-6350</wp:posOffset>
                  </wp:positionV>
                  <wp:extent cx="7623312" cy="447262"/>
                  <wp:effectExtent l="0" t="0" r="0" b="0"/>
                  <wp:wrapNone/>
                  <wp:docPr id="2" name="Di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BD" w:rsidRPr="00444584" w:rsidRDefault="00924818" w:rsidP="00B06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Developing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BD" w:rsidRPr="00444584" w:rsidRDefault="00C077BD" w:rsidP="00B06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44458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Approaching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BD" w:rsidRPr="00444584" w:rsidRDefault="00C077BD" w:rsidP="00B06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44458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Demonstrating &amp; Above </w:t>
            </w:r>
          </w:p>
        </w:tc>
      </w:tr>
      <w:tr w:rsidR="00C077BD" w:rsidRPr="00E80413" w:rsidTr="007F2317">
        <w:trPr>
          <w:trHeight w:val="278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extDirection w:val="tbRl"/>
            <w:vAlign w:val="center"/>
          </w:tcPr>
          <w:p w:rsidR="00C077BD" w:rsidRPr="00E80413" w:rsidRDefault="00C077BD" w:rsidP="00B06DE0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32"/>
              </w:rPr>
              <w:t>Child Behavior Rating Scale (Teacher Observation)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7BD" w:rsidRPr="00E80413" w:rsidRDefault="00C077BD" w:rsidP="00B06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32"/>
              </w:rPr>
            </w:pPr>
            <w:r w:rsidRPr="00E8041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32"/>
              </w:rPr>
              <w:t>Self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32"/>
              </w:rPr>
              <w:t>-</w:t>
            </w:r>
            <w:r w:rsidRPr="00E8041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32"/>
              </w:rPr>
              <w:t xml:space="preserve"> Regulation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3A" w:rsidRPr="00E4277C" w:rsidRDefault="00F3263A" w:rsidP="00B06DE0">
            <w:pPr>
              <w:pStyle w:val="ListParagraph"/>
              <w:spacing w:after="0" w:line="240" w:lineRule="auto"/>
              <w:ind w:left="364"/>
              <w:jc w:val="center"/>
              <w:rPr>
                <w:rFonts w:ascii="Calibri" w:eastAsia="Times New Roman" w:hAnsi="Calibri" w:cs="Times New Roman"/>
                <w:color w:val="000000"/>
                <w:sz w:val="34"/>
                <w:szCs w:val="34"/>
              </w:rPr>
            </w:pPr>
            <w:r w:rsidRPr="00E4277C">
              <w:rPr>
                <w:rFonts w:ascii="Calibri" w:eastAsia="Times New Roman" w:hAnsi="Calibri" w:cs="Times New Roman"/>
                <w:b/>
                <w:color w:val="000000"/>
                <w:sz w:val="34"/>
                <w:szCs w:val="34"/>
              </w:rPr>
              <w:t>1.0</w:t>
            </w:r>
            <w:r w:rsidR="00EF5ABE" w:rsidRPr="00E4277C">
              <w:rPr>
                <w:rFonts w:ascii="Calibri" w:eastAsia="Times New Roman" w:hAnsi="Calibri" w:cs="Times New Roman"/>
                <w:b/>
                <w:color w:val="000000"/>
                <w:sz w:val="34"/>
                <w:szCs w:val="34"/>
              </w:rPr>
              <w:t>-2.90</w:t>
            </w:r>
          </w:p>
          <w:p w:rsidR="00B73E08" w:rsidRPr="00C13B0A" w:rsidRDefault="00B73E08" w:rsidP="00B06DE0">
            <w:pPr>
              <w:pStyle w:val="ListParagraph"/>
              <w:spacing w:after="0" w:line="240" w:lineRule="auto"/>
              <w:ind w:left="364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3B0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Students</w:t>
            </w:r>
            <w:r w:rsidRPr="00C13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</w:t>
            </w:r>
          </w:p>
          <w:p w:rsidR="00C077BD" w:rsidRPr="004E29C4" w:rsidRDefault="000A0172" w:rsidP="00B06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4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</w:t>
            </w:r>
            <w:r w:rsidR="00C077BD" w:rsidRPr="004E29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ollow direction</w:t>
            </w:r>
            <w:r w:rsidR="005632D1" w:rsidRPr="004E29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</w:t>
            </w:r>
            <w:r w:rsidR="00C077BD" w:rsidRPr="004E29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and complete tasks</w:t>
            </w:r>
            <w:r w:rsidR="005632D1" w:rsidRPr="004E29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with intensive adult support</w:t>
            </w:r>
          </w:p>
          <w:p w:rsidR="00C077BD" w:rsidRPr="004E29C4" w:rsidRDefault="000A0172" w:rsidP="00B06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4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</w:t>
            </w:r>
            <w:r w:rsidR="00E70680" w:rsidRPr="004E29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ry new tasks with intensive adult support</w:t>
            </w:r>
            <w:r w:rsidR="00C077BD" w:rsidRPr="004E29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  <w:p w:rsidR="00616521" w:rsidRPr="00126BAF" w:rsidRDefault="000A0172" w:rsidP="00B06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4"/>
              <w:rPr>
                <w:rFonts w:ascii="Calibri" w:eastAsia="Times New Roman" w:hAnsi="Calibri" w:cs="Times New Roman"/>
                <w:color w:val="000000"/>
                <w:sz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</w:t>
            </w:r>
            <w:r w:rsidR="00E70680" w:rsidRPr="004E29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ocus on a task with intensive adult support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3A" w:rsidRPr="00B06DE0" w:rsidRDefault="00EF5ABE" w:rsidP="00B06DE0">
            <w:pPr>
              <w:pStyle w:val="ListParagraph"/>
              <w:spacing w:after="0" w:line="240" w:lineRule="auto"/>
              <w:ind w:left="364"/>
              <w:jc w:val="center"/>
              <w:rPr>
                <w:rFonts w:ascii="Calibri" w:eastAsia="Times New Roman" w:hAnsi="Calibri" w:cs="Times New Roman"/>
                <w:b/>
                <w:color w:val="000000"/>
                <w:sz w:val="34"/>
                <w:szCs w:val="34"/>
              </w:rPr>
            </w:pPr>
            <w:r w:rsidRPr="00B06DE0">
              <w:rPr>
                <w:rFonts w:ascii="Calibri" w:eastAsia="Times New Roman" w:hAnsi="Calibri" w:cs="Times New Roman"/>
                <w:b/>
                <w:color w:val="000000"/>
                <w:sz w:val="34"/>
                <w:szCs w:val="34"/>
              </w:rPr>
              <w:t>2.9</w:t>
            </w:r>
            <w:r w:rsidR="009A4EEE" w:rsidRPr="00B06DE0">
              <w:rPr>
                <w:rFonts w:ascii="Calibri" w:eastAsia="Times New Roman" w:hAnsi="Calibri" w:cs="Times New Roman"/>
                <w:b/>
                <w:color w:val="000000"/>
                <w:sz w:val="34"/>
                <w:szCs w:val="34"/>
              </w:rPr>
              <w:t>1</w:t>
            </w:r>
            <w:r w:rsidR="00F3263A" w:rsidRPr="00B06DE0">
              <w:rPr>
                <w:rFonts w:ascii="Calibri" w:eastAsia="Times New Roman" w:hAnsi="Calibri" w:cs="Times New Roman"/>
                <w:b/>
                <w:color w:val="000000"/>
                <w:sz w:val="34"/>
                <w:szCs w:val="34"/>
              </w:rPr>
              <w:t>-3.9</w:t>
            </w:r>
            <w:r w:rsidR="00715D13" w:rsidRPr="00B06DE0">
              <w:rPr>
                <w:rFonts w:ascii="Calibri" w:eastAsia="Times New Roman" w:hAnsi="Calibri" w:cs="Times New Roman"/>
                <w:b/>
                <w:color w:val="000000"/>
                <w:sz w:val="34"/>
                <w:szCs w:val="34"/>
              </w:rPr>
              <w:t>9</w:t>
            </w:r>
          </w:p>
          <w:p w:rsidR="000A0172" w:rsidRPr="00C13B0A" w:rsidRDefault="000A0172" w:rsidP="00B06DE0">
            <w:pPr>
              <w:pStyle w:val="ListParagraph"/>
              <w:spacing w:after="0" w:line="240" w:lineRule="auto"/>
              <w:ind w:left="364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C13B0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Students:</w:t>
            </w:r>
          </w:p>
          <w:p w:rsidR="00C077BD" w:rsidRPr="004E29C4" w:rsidRDefault="000A0172" w:rsidP="00B06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4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</w:t>
            </w:r>
            <w:r w:rsidR="004232FF" w:rsidRPr="004E29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ollow directions and complete tasks with</w:t>
            </w:r>
            <w:r w:rsidR="00C077BD" w:rsidRPr="004E29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some adult suppor</w:t>
            </w:r>
            <w:r w:rsidR="004232FF" w:rsidRPr="004E29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t/redirection </w:t>
            </w:r>
          </w:p>
          <w:p w:rsidR="00C077BD" w:rsidRPr="004E29C4" w:rsidRDefault="000A0172" w:rsidP="00B06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4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</w:t>
            </w:r>
            <w:r w:rsidR="004232FF" w:rsidRPr="004E29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ry new tasks with some adult support and guidance</w:t>
            </w:r>
            <w:r w:rsidR="00C077BD" w:rsidRPr="004E29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  <w:p w:rsidR="00616521" w:rsidRPr="00126BAF" w:rsidRDefault="000A0172" w:rsidP="00B06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4"/>
              <w:rPr>
                <w:rFonts w:ascii="Calibri" w:eastAsia="Times New Roman" w:hAnsi="Calibri" w:cs="Times New Roman"/>
                <w:color w:val="000000"/>
                <w:sz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Focus on a task </w:t>
            </w:r>
            <w:r w:rsidR="00126BAF" w:rsidRPr="004E29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with a few reminders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from adults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3A" w:rsidRPr="00B06DE0" w:rsidRDefault="00715D13" w:rsidP="00B06DE0">
            <w:pPr>
              <w:pStyle w:val="ListParagraph"/>
              <w:spacing w:after="0" w:line="240" w:lineRule="auto"/>
              <w:ind w:left="364"/>
              <w:jc w:val="center"/>
              <w:rPr>
                <w:rFonts w:ascii="Calibri" w:eastAsia="Times New Roman" w:hAnsi="Calibri" w:cs="Times New Roman"/>
                <w:b/>
                <w:color w:val="000000"/>
                <w:sz w:val="34"/>
                <w:szCs w:val="34"/>
              </w:rPr>
            </w:pPr>
            <w:r w:rsidRPr="00B06DE0">
              <w:rPr>
                <w:rFonts w:ascii="Calibri" w:eastAsia="Times New Roman" w:hAnsi="Calibri" w:cs="Times New Roman"/>
                <w:b/>
                <w:color w:val="000000"/>
                <w:sz w:val="34"/>
                <w:szCs w:val="34"/>
              </w:rPr>
              <w:t>4.0</w:t>
            </w:r>
            <w:r w:rsidR="00F3263A" w:rsidRPr="00B06DE0">
              <w:rPr>
                <w:rFonts w:ascii="Calibri" w:eastAsia="Times New Roman" w:hAnsi="Calibri" w:cs="Times New Roman"/>
                <w:b/>
                <w:color w:val="000000"/>
                <w:sz w:val="34"/>
                <w:szCs w:val="34"/>
              </w:rPr>
              <w:t>-5.0</w:t>
            </w:r>
          </w:p>
          <w:p w:rsidR="0066312B" w:rsidRPr="00C13B0A" w:rsidRDefault="0066312B" w:rsidP="00B06DE0">
            <w:pPr>
              <w:pStyle w:val="ListParagraph"/>
              <w:spacing w:after="0" w:line="240" w:lineRule="auto"/>
              <w:ind w:left="364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C13B0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Students:</w:t>
            </w:r>
          </w:p>
          <w:p w:rsidR="00C077BD" w:rsidRPr="004E29C4" w:rsidRDefault="00AE36D1" w:rsidP="00B06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4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F</w:t>
            </w:r>
            <w:r w:rsidR="00E85B7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ollow directions and complete</w:t>
            </w:r>
            <w:r w:rsidR="00C077BD" w:rsidRPr="004E29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tasks with minimal redirection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from adults</w:t>
            </w:r>
          </w:p>
          <w:p w:rsidR="00C077BD" w:rsidRPr="004E29C4" w:rsidRDefault="00AE36D1" w:rsidP="00B06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4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</w:t>
            </w:r>
            <w:r w:rsidR="000D6D61" w:rsidRPr="004E29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ry new tasks independently</w:t>
            </w:r>
          </w:p>
          <w:p w:rsidR="00616521" w:rsidRPr="004E29C4" w:rsidRDefault="00AE36D1" w:rsidP="00B06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4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</w:t>
            </w:r>
            <w:r w:rsidR="00C077BD" w:rsidRPr="004E29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ocus on a task with minimal/no reminders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from adults</w:t>
            </w:r>
          </w:p>
        </w:tc>
      </w:tr>
      <w:tr w:rsidR="00C077BD" w:rsidRPr="00E80413" w:rsidTr="007F2317">
        <w:trPr>
          <w:trHeight w:val="2422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077BD" w:rsidRPr="00E80413" w:rsidRDefault="00C077BD" w:rsidP="00B06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7BD" w:rsidRPr="00E80413" w:rsidRDefault="00C077BD" w:rsidP="00B06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32"/>
              </w:rPr>
            </w:pPr>
            <w:r w:rsidRPr="00E8041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32"/>
              </w:rPr>
              <w:t>Interpersonal Skills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BAF" w:rsidRPr="00B06DE0" w:rsidRDefault="00702C05" w:rsidP="00B06DE0">
            <w:pPr>
              <w:pStyle w:val="ListParagraph"/>
              <w:spacing w:after="0" w:line="240" w:lineRule="auto"/>
              <w:ind w:left="364"/>
              <w:jc w:val="center"/>
              <w:rPr>
                <w:rFonts w:ascii="Calibri" w:eastAsia="Times New Roman" w:hAnsi="Calibri" w:cs="Times New Roman"/>
                <w:b/>
                <w:color w:val="000000"/>
                <w:sz w:val="34"/>
                <w:szCs w:val="34"/>
              </w:rPr>
            </w:pPr>
            <w:r w:rsidRPr="00B06DE0">
              <w:rPr>
                <w:rFonts w:ascii="Calibri" w:eastAsia="Times New Roman" w:hAnsi="Calibri" w:cs="Times New Roman"/>
                <w:b/>
                <w:color w:val="000000"/>
                <w:sz w:val="34"/>
                <w:szCs w:val="34"/>
              </w:rPr>
              <w:t>1.0</w:t>
            </w:r>
            <w:r w:rsidR="00FE61DC" w:rsidRPr="00B06DE0">
              <w:rPr>
                <w:rFonts w:ascii="Calibri" w:eastAsia="Times New Roman" w:hAnsi="Calibri" w:cs="Times New Roman"/>
                <w:b/>
                <w:color w:val="000000"/>
                <w:sz w:val="34"/>
                <w:szCs w:val="34"/>
              </w:rPr>
              <w:t>-2.90</w:t>
            </w:r>
          </w:p>
          <w:p w:rsidR="001575C7" w:rsidRPr="00C13B0A" w:rsidRDefault="001575C7" w:rsidP="00B06DE0">
            <w:pPr>
              <w:pStyle w:val="ListParagraph"/>
              <w:spacing w:after="0" w:line="240" w:lineRule="auto"/>
              <w:ind w:left="364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C13B0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Students:</w:t>
            </w:r>
          </w:p>
          <w:p w:rsidR="00C077BD" w:rsidRPr="004E29C4" w:rsidRDefault="00E85B72" w:rsidP="00B06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4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Interact</w:t>
            </w:r>
            <w:r w:rsidR="00B073B7" w:rsidRPr="004E29C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with peers and adults appropriately with intensive adult support</w:t>
            </w:r>
          </w:p>
          <w:p w:rsidR="00C077BD" w:rsidRPr="00E80413" w:rsidRDefault="00B073B7" w:rsidP="00B06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4"/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4E29C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E</w:t>
            </w:r>
            <w:r w:rsidR="00C077BD" w:rsidRPr="004E29C4">
              <w:rPr>
                <w:rFonts w:ascii="Calibri" w:eastAsia="Times New Roman" w:hAnsi="Calibri" w:cs="Times New Roman"/>
                <w:color w:val="000000"/>
                <w:sz w:val="24"/>
              </w:rPr>
              <w:t>xpress thoughts and feelings appropriately</w:t>
            </w:r>
            <w:r w:rsidRPr="004E29C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with intensive</w:t>
            </w:r>
            <w:r w:rsidR="00A260F2" w:rsidRPr="004E29C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adult</w:t>
            </w:r>
            <w:r w:rsidRPr="004E29C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guidance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05" w:rsidRPr="00B06DE0" w:rsidRDefault="00FE61DC" w:rsidP="00B06DE0">
            <w:pPr>
              <w:pStyle w:val="ListParagraph"/>
              <w:spacing w:after="0" w:line="240" w:lineRule="auto"/>
              <w:ind w:left="364"/>
              <w:jc w:val="center"/>
              <w:rPr>
                <w:rFonts w:ascii="Calibri" w:eastAsia="Times New Roman" w:hAnsi="Calibri" w:cs="Times New Roman"/>
                <w:b/>
                <w:color w:val="000000"/>
                <w:sz w:val="34"/>
                <w:szCs w:val="34"/>
              </w:rPr>
            </w:pPr>
            <w:r w:rsidRPr="00B06DE0">
              <w:rPr>
                <w:rFonts w:ascii="Calibri" w:eastAsia="Times New Roman" w:hAnsi="Calibri" w:cs="Times New Roman"/>
                <w:b/>
                <w:color w:val="000000"/>
                <w:sz w:val="34"/>
                <w:szCs w:val="34"/>
              </w:rPr>
              <w:t>2.9</w:t>
            </w:r>
            <w:r w:rsidR="009A4EEE" w:rsidRPr="00B06DE0">
              <w:rPr>
                <w:rFonts w:ascii="Calibri" w:eastAsia="Times New Roman" w:hAnsi="Calibri" w:cs="Times New Roman"/>
                <w:b/>
                <w:color w:val="000000"/>
                <w:sz w:val="34"/>
                <w:szCs w:val="34"/>
              </w:rPr>
              <w:t>1</w:t>
            </w:r>
            <w:r w:rsidR="00702C05" w:rsidRPr="00B06DE0">
              <w:rPr>
                <w:rFonts w:ascii="Calibri" w:eastAsia="Times New Roman" w:hAnsi="Calibri" w:cs="Times New Roman"/>
                <w:b/>
                <w:color w:val="000000"/>
                <w:sz w:val="34"/>
                <w:szCs w:val="34"/>
              </w:rPr>
              <w:t>-3.9</w:t>
            </w:r>
            <w:r w:rsidR="00E4277C" w:rsidRPr="00B06DE0">
              <w:rPr>
                <w:rFonts w:ascii="Calibri" w:eastAsia="Times New Roman" w:hAnsi="Calibri" w:cs="Times New Roman"/>
                <w:b/>
                <w:color w:val="000000"/>
                <w:sz w:val="34"/>
                <w:szCs w:val="34"/>
              </w:rPr>
              <w:t>9</w:t>
            </w:r>
          </w:p>
          <w:p w:rsidR="001575C7" w:rsidRPr="00C13B0A" w:rsidRDefault="001575C7" w:rsidP="00B06DE0">
            <w:pPr>
              <w:pStyle w:val="ListParagraph"/>
              <w:spacing w:after="0" w:line="240" w:lineRule="auto"/>
              <w:ind w:left="364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C13B0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Students:</w:t>
            </w:r>
          </w:p>
          <w:p w:rsidR="00C077BD" w:rsidRPr="004E29C4" w:rsidRDefault="00A260F2" w:rsidP="00B06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4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E29C4">
              <w:rPr>
                <w:rFonts w:ascii="Calibri" w:eastAsia="Times New Roman" w:hAnsi="Calibri" w:cs="Times New Roman"/>
                <w:color w:val="000000"/>
                <w:sz w:val="24"/>
              </w:rPr>
              <w:t>I</w:t>
            </w:r>
            <w:r w:rsidR="00C077BD" w:rsidRPr="004E29C4">
              <w:rPr>
                <w:rFonts w:ascii="Calibri" w:eastAsia="Times New Roman" w:hAnsi="Calibri" w:cs="Times New Roman"/>
                <w:color w:val="000000"/>
                <w:sz w:val="24"/>
              </w:rPr>
              <w:t>nteract with peers and adults appropriately</w:t>
            </w:r>
            <w:r w:rsidRPr="004E29C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with some adult support</w:t>
            </w:r>
          </w:p>
          <w:p w:rsidR="00C077BD" w:rsidRPr="00E80413" w:rsidRDefault="00A260F2" w:rsidP="00B06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4"/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4E29C4">
              <w:rPr>
                <w:rFonts w:ascii="Calibri" w:eastAsia="Times New Roman" w:hAnsi="Calibri" w:cs="Times New Roman"/>
                <w:color w:val="000000"/>
                <w:sz w:val="24"/>
              </w:rPr>
              <w:t>E</w:t>
            </w:r>
            <w:r w:rsidR="00C077BD" w:rsidRPr="004E29C4">
              <w:rPr>
                <w:rFonts w:ascii="Calibri" w:eastAsia="Times New Roman" w:hAnsi="Calibri" w:cs="Times New Roman"/>
                <w:color w:val="000000"/>
                <w:sz w:val="24"/>
              </w:rPr>
              <w:t>xpress</w:t>
            </w:r>
            <w:r w:rsidR="00E85B72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  <w:r w:rsidR="00C077BD" w:rsidRPr="004E29C4">
              <w:rPr>
                <w:rFonts w:ascii="Calibri" w:eastAsia="Times New Roman" w:hAnsi="Calibri" w:cs="Times New Roman"/>
                <w:color w:val="000000"/>
                <w:sz w:val="24"/>
              </w:rPr>
              <w:t>thoughts and feelings appropriately</w:t>
            </w:r>
            <w:r w:rsidRPr="004E29C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with some adult guidance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05" w:rsidRPr="00B06DE0" w:rsidRDefault="00702C05" w:rsidP="00B06DE0">
            <w:pPr>
              <w:pStyle w:val="ListParagraph"/>
              <w:spacing w:after="0" w:line="240" w:lineRule="auto"/>
              <w:ind w:left="364"/>
              <w:jc w:val="center"/>
              <w:rPr>
                <w:rFonts w:ascii="Calibri" w:eastAsia="Times New Roman" w:hAnsi="Calibri" w:cs="Times New Roman"/>
                <w:b/>
                <w:color w:val="000000"/>
                <w:sz w:val="34"/>
                <w:szCs w:val="34"/>
              </w:rPr>
            </w:pPr>
            <w:r w:rsidRPr="00B06DE0">
              <w:rPr>
                <w:rFonts w:ascii="Calibri" w:eastAsia="Times New Roman" w:hAnsi="Calibri" w:cs="Times New Roman"/>
                <w:b/>
                <w:color w:val="000000"/>
                <w:sz w:val="34"/>
                <w:szCs w:val="34"/>
              </w:rPr>
              <w:t>4.0-5.0</w:t>
            </w:r>
          </w:p>
          <w:p w:rsidR="001575C7" w:rsidRPr="00C13B0A" w:rsidRDefault="001575C7" w:rsidP="00B06DE0">
            <w:pPr>
              <w:pStyle w:val="ListParagraph"/>
              <w:spacing w:after="0" w:line="240" w:lineRule="auto"/>
              <w:ind w:left="364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C13B0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Students:</w:t>
            </w:r>
          </w:p>
          <w:p w:rsidR="00C077BD" w:rsidRPr="004E29C4" w:rsidRDefault="00E85B72" w:rsidP="00B06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4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Interact</w:t>
            </w:r>
            <w:r w:rsidR="00C077BD" w:rsidRPr="004E29C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with peers</w:t>
            </w:r>
            <w:r w:rsidR="00A260F2" w:rsidRPr="004E29C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and adults</w:t>
            </w:r>
            <w:r w:rsidR="00C077BD" w:rsidRPr="004E29C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appropriately</w:t>
            </w:r>
            <w:r w:rsidR="001F68D1" w:rsidRPr="004E29C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with minimal/no adult support</w:t>
            </w:r>
          </w:p>
          <w:p w:rsidR="00C077BD" w:rsidRPr="00E80413" w:rsidRDefault="00E85B72" w:rsidP="00B06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4"/>
              <w:rPr>
                <w:rFonts w:ascii="Calibri" w:eastAsia="Times New Roman" w:hAnsi="Calibri" w:cs="Times New Roman"/>
                <w:color w:val="000000"/>
                <w:sz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Express</w:t>
            </w:r>
            <w:r w:rsidR="00C077BD" w:rsidRPr="004E29C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thoughts and feelings appropriately</w:t>
            </w:r>
            <w:r w:rsidR="0008609D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with minimal/no adult guidance</w:t>
            </w:r>
          </w:p>
        </w:tc>
      </w:tr>
      <w:tr w:rsidR="007575F0" w:rsidRPr="00E80413" w:rsidTr="007F2317">
        <w:trPr>
          <w:trHeight w:val="305"/>
        </w:trPr>
        <w:tc>
          <w:tcPr>
            <w:tcW w:w="145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75F0" w:rsidRPr="00E80413" w:rsidRDefault="007575F0" w:rsidP="00B06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E804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32"/>
              </w:rPr>
              <w:t> </w:t>
            </w:r>
          </w:p>
        </w:tc>
      </w:tr>
      <w:tr w:rsidR="00DA6335" w:rsidRPr="00E80413" w:rsidTr="007F2317">
        <w:trPr>
          <w:trHeight w:val="107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extDirection w:val="tbRl"/>
            <w:vAlign w:val="center"/>
          </w:tcPr>
          <w:p w:rsidR="00DA6335" w:rsidRPr="00E80413" w:rsidRDefault="00DA6335" w:rsidP="00B06DE0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32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32"/>
              </w:rPr>
              <w:t>EasyCBM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32"/>
              </w:rPr>
              <w:t xml:space="preserve"> (Direct Measure)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335" w:rsidRPr="00E80413" w:rsidRDefault="00DA6335" w:rsidP="00B06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32"/>
              </w:rPr>
            </w:pPr>
            <w:r w:rsidRPr="00E8041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32"/>
              </w:rPr>
              <w:t>Early Literacy</w:t>
            </w:r>
          </w:p>
        </w:tc>
        <w:tc>
          <w:tcPr>
            <w:tcW w:w="1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335" w:rsidRPr="000B2D9F" w:rsidRDefault="00291EDD" w:rsidP="00B06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 the fall of 2012, approximately 1,200 students participated in the pilot of the</w:t>
            </w:r>
            <w:r w:rsidR="00F8711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Kindergarten Assessment;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results from the third grade summative assessmen</w:t>
            </w:r>
            <w:r w:rsidR="00F8441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 for this cohort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will not be available until the summer of 2016.  The Kindergarten Assessment wa</w:t>
            </w:r>
            <w:r w:rsidR="00F8711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 implemented statewide in 2013; </w:t>
            </w:r>
            <w:r w:rsidR="00F8441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complete</w:t>
            </w:r>
            <w:r w:rsidR="00F8711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cohort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data</w:t>
            </w:r>
            <w:r w:rsidR="00F8711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will not be available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until the summer of 2017.  </w:t>
            </w:r>
          </w:p>
        </w:tc>
      </w:tr>
      <w:tr w:rsidR="00DA6335" w:rsidRPr="00E80413" w:rsidTr="007F2317">
        <w:trPr>
          <w:trHeight w:val="1142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DA6335" w:rsidRPr="00E80413" w:rsidRDefault="00DA6335" w:rsidP="00B06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335" w:rsidRPr="00E80413" w:rsidRDefault="00DA6335" w:rsidP="00B06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32"/>
              </w:rPr>
            </w:pPr>
            <w:r w:rsidRPr="00E8041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32"/>
              </w:rPr>
              <w:t>Early Mathematics</w:t>
            </w:r>
          </w:p>
        </w:tc>
        <w:tc>
          <w:tcPr>
            <w:tcW w:w="1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335" w:rsidRPr="004E29C4" w:rsidRDefault="00291EDD" w:rsidP="00B06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 the fall of 2012, approximately 1,200 students participated in the pilot of the</w:t>
            </w:r>
            <w:r w:rsidR="00F8711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Kindergarten Assessment;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results from the third grade summative assessment</w:t>
            </w:r>
            <w:r w:rsidR="00F3432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for this cohort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will not be available until the summer of 2016.  The Kindergarten Assessment was implemented statewide in 2013</w:t>
            </w:r>
            <w:r w:rsidR="00F8711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; </w:t>
            </w:r>
            <w:r w:rsidR="00F8441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complete</w:t>
            </w:r>
            <w:r w:rsidR="00F8711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cohort data will not be available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until the summer of 2017.  </w:t>
            </w:r>
          </w:p>
        </w:tc>
      </w:tr>
      <w:tr w:rsidR="00291EDD" w:rsidRPr="00E80413" w:rsidTr="007F2317">
        <w:trPr>
          <w:trHeight w:val="92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291EDD" w:rsidRPr="00E80413" w:rsidRDefault="00291EDD" w:rsidP="00B06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EDD" w:rsidRPr="00E80413" w:rsidRDefault="00291EDD" w:rsidP="00B06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32"/>
              </w:rPr>
            </w:pPr>
            <w:r w:rsidRPr="00E8041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32"/>
              </w:rPr>
              <w:t xml:space="preserve">Early Spanish Literacy </w:t>
            </w:r>
          </w:p>
        </w:tc>
        <w:tc>
          <w:tcPr>
            <w:tcW w:w="1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EDD" w:rsidRPr="00E80413" w:rsidRDefault="00291EDD" w:rsidP="00B06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6E3B5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The</w:t>
            </w:r>
            <w:r w:rsidR="006356E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Spanish Literacy measure has undergone revisions for each of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the past three</w:t>
            </w:r>
            <w:r w:rsidRPr="006E3B5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y</w:t>
            </w:r>
            <w:r w:rsidR="006356E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ears, which means that no trend data is currently available.  Third grade cohort data for the current version of this measure will not be available until the summer of 2019.</w:t>
            </w:r>
            <w:bookmarkStart w:id="0" w:name="_GoBack"/>
            <w:bookmarkEnd w:id="0"/>
          </w:p>
        </w:tc>
      </w:tr>
    </w:tbl>
    <w:p w:rsidR="00835EEA" w:rsidRDefault="006356E7" w:rsidP="007575F0"/>
    <w:sectPr w:rsidR="00835EEA" w:rsidSect="00397B60">
      <w:headerReference w:type="default" r:id="rId13"/>
      <w:pgSz w:w="15840" w:h="12240" w:orient="landscape"/>
      <w:pgMar w:top="240" w:right="0" w:bottom="187" w:left="576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8CC" w:rsidRDefault="007C48CC" w:rsidP="007C48CC">
      <w:pPr>
        <w:spacing w:after="0" w:line="240" w:lineRule="auto"/>
      </w:pPr>
      <w:r>
        <w:separator/>
      </w:r>
    </w:p>
  </w:endnote>
  <w:endnote w:type="continuationSeparator" w:id="0">
    <w:p w:rsidR="007C48CC" w:rsidRDefault="007C48CC" w:rsidP="007C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8CC" w:rsidRDefault="007C48CC" w:rsidP="007C48CC">
      <w:pPr>
        <w:spacing w:after="0" w:line="240" w:lineRule="auto"/>
      </w:pPr>
      <w:r>
        <w:separator/>
      </w:r>
    </w:p>
  </w:footnote>
  <w:footnote w:type="continuationSeparator" w:id="0">
    <w:p w:rsidR="007C48CC" w:rsidRDefault="007C48CC" w:rsidP="007C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8CC" w:rsidRDefault="007C48CC" w:rsidP="007C48CC">
    <w:pPr>
      <w:pStyle w:val="Header"/>
      <w:jc w:val="center"/>
      <w:rPr>
        <w:b/>
        <w:sz w:val="32"/>
        <w:szCs w:val="32"/>
      </w:rPr>
    </w:pPr>
    <w:r w:rsidRPr="00D55A5C">
      <w:rPr>
        <w:b/>
        <w:sz w:val="32"/>
        <w:szCs w:val="32"/>
      </w:rPr>
      <w:t>Group Interpretive Guidance for the 2015-16 Kindergarten Assessment</w:t>
    </w:r>
  </w:p>
  <w:p w:rsidR="00B25AB7" w:rsidRPr="00D55A5C" w:rsidRDefault="00B25AB7" w:rsidP="007C48CC">
    <w:pPr>
      <w:pStyle w:val="Header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8755A"/>
    <w:multiLevelType w:val="hybridMultilevel"/>
    <w:tmpl w:val="7D302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648C5"/>
    <w:multiLevelType w:val="hybridMultilevel"/>
    <w:tmpl w:val="031CB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C74B3"/>
    <w:multiLevelType w:val="hybridMultilevel"/>
    <w:tmpl w:val="D8A862E6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13"/>
    <w:rsid w:val="00084FE0"/>
    <w:rsid w:val="0008609D"/>
    <w:rsid w:val="000A0172"/>
    <w:rsid w:val="000B2D9F"/>
    <w:rsid w:val="000D6D61"/>
    <w:rsid w:val="00126BAF"/>
    <w:rsid w:val="001575C7"/>
    <w:rsid w:val="001F68D1"/>
    <w:rsid w:val="00282EA9"/>
    <w:rsid w:val="00291EDD"/>
    <w:rsid w:val="002A079F"/>
    <w:rsid w:val="00351D7B"/>
    <w:rsid w:val="00397B60"/>
    <w:rsid w:val="003D06B0"/>
    <w:rsid w:val="00412143"/>
    <w:rsid w:val="004232FF"/>
    <w:rsid w:val="00442051"/>
    <w:rsid w:val="00444584"/>
    <w:rsid w:val="00473A0D"/>
    <w:rsid w:val="004D0760"/>
    <w:rsid w:val="004E29C4"/>
    <w:rsid w:val="005632D1"/>
    <w:rsid w:val="00572E7A"/>
    <w:rsid w:val="005E0CD4"/>
    <w:rsid w:val="00616521"/>
    <w:rsid w:val="00624A18"/>
    <w:rsid w:val="00626E95"/>
    <w:rsid w:val="00632C12"/>
    <w:rsid w:val="006356E7"/>
    <w:rsid w:val="0066312B"/>
    <w:rsid w:val="006A72C0"/>
    <w:rsid w:val="00702C05"/>
    <w:rsid w:val="00715D13"/>
    <w:rsid w:val="007575F0"/>
    <w:rsid w:val="007C2569"/>
    <w:rsid w:val="007C48CC"/>
    <w:rsid w:val="007F2317"/>
    <w:rsid w:val="00813C06"/>
    <w:rsid w:val="0085087A"/>
    <w:rsid w:val="008A0E88"/>
    <w:rsid w:val="00924818"/>
    <w:rsid w:val="009A4EEE"/>
    <w:rsid w:val="009F502C"/>
    <w:rsid w:val="00A260F2"/>
    <w:rsid w:val="00A66374"/>
    <w:rsid w:val="00AA1CD7"/>
    <w:rsid w:val="00AC0D65"/>
    <w:rsid w:val="00AE36D1"/>
    <w:rsid w:val="00AE77AD"/>
    <w:rsid w:val="00B06DE0"/>
    <w:rsid w:val="00B073B7"/>
    <w:rsid w:val="00B25AB7"/>
    <w:rsid w:val="00B46CCF"/>
    <w:rsid w:val="00B73E08"/>
    <w:rsid w:val="00C077BD"/>
    <w:rsid w:val="00C13B0A"/>
    <w:rsid w:val="00CD3EB9"/>
    <w:rsid w:val="00D16693"/>
    <w:rsid w:val="00D51727"/>
    <w:rsid w:val="00D55473"/>
    <w:rsid w:val="00D55A5C"/>
    <w:rsid w:val="00DA6335"/>
    <w:rsid w:val="00DB2817"/>
    <w:rsid w:val="00E4277C"/>
    <w:rsid w:val="00E46014"/>
    <w:rsid w:val="00E70680"/>
    <w:rsid w:val="00E80413"/>
    <w:rsid w:val="00E85B72"/>
    <w:rsid w:val="00EB7165"/>
    <w:rsid w:val="00EF5ABE"/>
    <w:rsid w:val="00F3263A"/>
    <w:rsid w:val="00F3432B"/>
    <w:rsid w:val="00F506C9"/>
    <w:rsid w:val="00F50EB1"/>
    <w:rsid w:val="00F510E3"/>
    <w:rsid w:val="00F8441A"/>
    <w:rsid w:val="00F87116"/>
    <w:rsid w:val="00FB236E"/>
    <w:rsid w:val="00FE61DC"/>
    <w:rsid w:val="00FF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4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0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4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8CC"/>
  </w:style>
  <w:style w:type="paragraph" w:styleId="Footer">
    <w:name w:val="footer"/>
    <w:basedOn w:val="Normal"/>
    <w:link w:val="FooterChar"/>
    <w:uiPriority w:val="99"/>
    <w:unhideWhenUsed/>
    <w:rsid w:val="007C4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8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4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0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4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8CC"/>
  </w:style>
  <w:style w:type="paragraph" w:styleId="Footer">
    <w:name w:val="footer"/>
    <w:basedOn w:val="Normal"/>
    <w:link w:val="FooterChar"/>
    <w:uiPriority w:val="99"/>
    <w:unhideWhenUsed/>
    <w:rsid w:val="007C4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B6408F-D5DE-462C-B13C-84A5DDD8E2BD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8584FFB-D78B-4A74-8E0F-860CC217DA71}" type="pres">
      <dgm:prSet presAssocID="{85B6408F-D5DE-462C-B13C-84A5DDD8E2B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</dgm:ptLst>
  <dgm:cxnLst>
    <dgm:cxn modelId="{6F24F5F1-73A3-4504-AD54-5F67F2FCE891}" type="presOf" srcId="{85B6408F-D5DE-462C-B13C-84A5DDD8E2BD}" destId="{F8584FFB-D78B-4A74-8E0F-860CC217DA71}" srcOrd="0" destOrd="0" presId="urn:microsoft.com/office/officeart/2005/8/layout/chevron1"/>
  </dgm:cxnLst>
  <dgm:bg>
    <a:gradFill flip="none" rotWithShape="1">
      <a:gsLst>
        <a:gs pos="36000">
          <a:srgbClr val="83FFBB">
            <a:alpha val="76000"/>
            <a:lumMod val="60000"/>
            <a:lumOff val="40000"/>
          </a:srgbClr>
        </a:gs>
        <a:gs pos="15000">
          <a:srgbClr val="00FF00">
            <a:lumMod val="18000"/>
            <a:lumOff val="82000"/>
            <a:alpha val="30000"/>
          </a:srgbClr>
        </a:gs>
        <a:gs pos="91000">
          <a:srgbClr val="00FF00">
            <a:lumMod val="75000"/>
            <a:alpha val="97000"/>
          </a:srgbClr>
        </a:gs>
      </a:gsLst>
      <a:lin ang="0" scaled="1"/>
      <a:tileRect/>
    </a:gradFill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HELVIE Amber</dc:creator>
  <cp:lastModifiedBy>PETERSON Holly</cp:lastModifiedBy>
  <cp:revision>3</cp:revision>
  <cp:lastPrinted>2015-12-14T19:18:00Z</cp:lastPrinted>
  <dcterms:created xsi:type="dcterms:W3CDTF">2015-12-18T22:34:00Z</dcterms:created>
  <dcterms:modified xsi:type="dcterms:W3CDTF">2015-12-18T22:39:00Z</dcterms:modified>
</cp:coreProperties>
</file>