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86" w:rsidRDefault="00FC3286" w:rsidP="00FC3286">
      <w:pPr>
        <w:pStyle w:val="BCoverTitle"/>
        <w:pBdr>
          <w:top w:val="single" w:sz="18" w:space="13" w:color="auto"/>
          <w:bottom w:val="single" w:sz="18" w:space="12" w:color="auto"/>
        </w:pBdr>
        <w:outlineLvl w:val="0"/>
        <w:rPr>
          <w:b/>
          <w:bCs/>
        </w:rPr>
      </w:pPr>
      <w:r>
        <w:rPr>
          <w:b/>
          <w:bCs/>
        </w:rPr>
        <w:t xml:space="preserve">MASTER AMENDMENT TO </w:t>
      </w:r>
      <w:r w:rsidR="008D1349">
        <w:rPr>
          <w:b/>
          <w:bCs/>
        </w:rPr>
        <w:t>IN</w:t>
      </w:r>
      <w:r>
        <w:rPr>
          <w:b/>
          <w:bCs/>
        </w:rPr>
        <w:t>TERCEPT AGREEMENT</w:t>
      </w:r>
      <w:r w:rsidR="008D1349">
        <w:rPr>
          <w:b/>
          <w:bCs/>
        </w:rPr>
        <w:t xml:space="preserve">, INCLUDING </w:t>
      </w:r>
      <w:r>
        <w:rPr>
          <w:b/>
          <w:bCs/>
        </w:rPr>
        <w:t>S</w:t>
      </w:r>
      <w:r w:rsidR="008D1349">
        <w:rPr>
          <w:b/>
          <w:bCs/>
        </w:rPr>
        <w:t>UPPLEMENTALS</w:t>
      </w:r>
    </w:p>
    <w:p w:rsidR="00FC3286" w:rsidRDefault="00FC3286" w:rsidP="00FC3286"/>
    <w:p w:rsidR="00FC3286" w:rsidRDefault="00FC3286" w:rsidP="00FC3286"/>
    <w:p w:rsidR="00FC3286" w:rsidRDefault="00FC3286" w:rsidP="00FC3286">
      <w:pPr>
        <w:jc w:val="center"/>
        <w:rPr>
          <w:b/>
          <w:i/>
          <w:sz w:val="24"/>
        </w:rPr>
      </w:pPr>
      <w:r>
        <w:rPr>
          <w:b/>
          <w:i/>
          <w:sz w:val="24"/>
        </w:rPr>
        <w:t>by and among</w:t>
      </w:r>
    </w:p>
    <w:p w:rsidR="00FC3286" w:rsidRDefault="00FC3286" w:rsidP="00FC3286"/>
    <w:p w:rsidR="00FC3286" w:rsidRDefault="00FC3286" w:rsidP="00FC3286"/>
    <w:p w:rsidR="00FC3286" w:rsidRDefault="00FC3286" w:rsidP="00FC3286">
      <w:pPr>
        <w:pStyle w:val="FirstParty"/>
        <w:outlineLvl w:val="0"/>
        <w:rPr>
          <w:sz w:val="48"/>
        </w:rPr>
      </w:pPr>
      <w:r>
        <w:rPr>
          <w:sz w:val="48"/>
        </w:rPr>
        <w:t>Wells Fargo Bank, National Association</w:t>
      </w:r>
    </w:p>
    <w:p w:rsidR="00FC3286" w:rsidRDefault="00FC3286" w:rsidP="00FC3286"/>
    <w:p w:rsidR="00FC3286" w:rsidRDefault="00FC3286" w:rsidP="00FC3286">
      <w:pPr>
        <w:jc w:val="center"/>
        <w:rPr>
          <w:b/>
          <w:sz w:val="28"/>
        </w:rPr>
      </w:pPr>
      <w:r>
        <w:rPr>
          <w:b/>
          <w:sz w:val="28"/>
        </w:rPr>
        <w:t>as Trustee</w:t>
      </w:r>
    </w:p>
    <w:p w:rsidR="00FC3286" w:rsidRDefault="00FC3286" w:rsidP="00FC3286">
      <w:pPr>
        <w:rPr>
          <w:b/>
          <w:sz w:val="18"/>
        </w:rPr>
      </w:pPr>
    </w:p>
    <w:p w:rsidR="00FC3286" w:rsidRDefault="00FC3286" w:rsidP="00FC3286">
      <w:pPr>
        <w:rPr>
          <w:b/>
          <w:sz w:val="18"/>
        </w:rPr>
      </w:pPr>
    </w:p>
    <w:p w:rsidR="00FC3286" w:rsidRDefault="00FC3286" w:rsidP="00FC3286">
      <w:pPr>
        <w:jc w:val="center"/>
        <w:rPr>
          <w:i/>
          <w:sz w:val="24"/>
        </w:rPr>
      </w:pPr>
      <w:r>
        <w:rPr>
          <w:b/>
          <w:i/>
          <w:sz w:val="24"/>
        </w:rPr>
        <w:t>and the</w:t>
      </w:r>
    </w:p>
    <w:p w:rsidR="00FC3286" w:rsidRDefault="00FC3286" w:rsidP="00FC3286">
      <w:pPr>
        <w:pStyle w:val="Header"/>
        <w:tabs>
          <w:tab w:val="clear" w:pos="4320"/>
          <w:tab w:val="clear" w:pos="8640"/>
        </w:tabs>
      </w:pPr>
    </w:p>
    <w:p w:rsidR="00FC3286" w:rsidRDefault="00FC3286" w:rsidP="00FC3286"/>
    <w:p w:rsidR="00FC3286" w:rsidRDefault="00FC3286" w:rsidP="00FC3286">
      <w:pPr>
        <w:pStyle w:val="SecondParty"/>
        <w:outlineLvl w:val="0"/>
        <w:rPr>
          <w:sz w:val="48"/>
        </w:rPr>
      </w:pPr>
      <w:r>
        <w:rPr>
          <w:sz w:val="48"/>
        </w:rPr>
        <w:t>Issuers of the</w:t>
      </w:r>
    </w:p>
    <w:p w:rsidR="00FC3286" w:rsidRDefault="00FC3286" w:rsidP="00FC3286">
      <w:pPr>
        <w:pStyle w:val="SecondParty"/>
        <w:rPr>
          <w:sz w:val="48"/>
        </w:rPr>
      </w:pPr>
      <w:r>
        <w:rPr>
          <w:sz w:val="48"/>
        </w:rPr>
        <w:t>Limited Tax Pension</w:t>
      </w:r>
      <w:bookmarkStart w:id="0" w:name="_GoBack"/>
      <w:bookmarkEnd w:id="0"/>
      <w:r>
        <w:rPr>
          <w:sz w:val="48"/>
        </w:rPr>
        <w:t xml:space="preserve"> Bonds</w:t>
      </w:r>
    </w:p>
    <w:p w:rsidR="00FC3286" w:rsidRDefault="00FC3286" w:rsidP="00FC3286">
      <w:pPr>
        <w:pStyle w:val="SecondParty"/>
        <w:rPr>
          <w:i/>
          <w:iCs/>
        </w:rPr>
      </w:pPr>
      <w:r>
        <w:rPr>
          <w:i/>
          <w:iCs/>
        </w:rPr>
        <w:t>(Described in the Supplement Intercept Agreements)</w:t>
      </w:r>
    </w:p>
    <w:p w:rsidR="00FC3286" w:rsidRDefault="00FC3286" w:rsidP="00FC3286">
      <w:pPr>
        <w:pStyle w:val="SecondParty"/>
        <w:rPr>
          <w:sz w:val="32"/>
        </w:rPr>
      </w:pPr>
    </w:p>
    <w:p w:rsidR="00FC3286" w:rsidRDefault="00FC3286" w:rsidP="00FC3286">
      <w:pPr>
        <w:rPr>
          <w:b/>
          <w:sz w:val="18"/>
        </w:rPr>
      </w:pPr>
    </w:p>
    <w:p w:rsidR="00FC3286" w:rsidRDefault="00FC3286" w:rsidP="00FC3286">
      <w:pPr>
        <w:rPr>
          <w:b/>
          <w:sz w:val="18"/>
        </w:rPr>
      </w:pPr>
    </w:p>
    <w:p w:rsidR="00FC3286" w:rsidRDefault="00FC3286" w:rsidP="00FC3286">
      <w:pPr>
        <w:jc w:val="center"/>
        <w:rPr>
          <w:i/>
          <w:sz w:val="24"/>
        </w:rPr>
      </w:pPr>
      <w:r>
        <w:rPr>
          <w:b/>
          <w:i/>
          <w:sz w:val="24"/>
        </w:rPr>
        <w:t>and the</w:t>
      </w:r>
    </w:p>
    <w:p w:rsidR="00FC3286" w:rsidRDefault="00FC3286" w:rsidP="00FC3286">
      <w:pPr>
        <w:pStyle w:val="Header"/>
        <w:tabs>
          <w:tab w:val="clear" w:pos="4320"/>
          <w:tab w:val="clear" w:pos="8640"/>
        </w:tabs>
      </w:pPr>
    </w:p>
    <w:p w:rsidR="00FC3286" w:rsidRDefault="00FC3286" w:rsidP="00FC3286">
      <w:pPr>
        <w:pStyle w:val="Header"/>
        <w:tabs>
          <w:tab w:val="clear" w:pos="4320"/>
          <w:tab w:val="clear" w:pos="8640"/>
        </w:tabs>
      </w:pPr>
    </w:p>
    <w:p w:rsidR="00FC3286" w:rsidRDefault="00FC3286" w:rsidP="00FC3286">
      <w:pPr>
        <w:pStyle w:val="BondIndent"/>
        <w:spacing w:after="0"/>
        <w:jc w:val="center"/>
        <w:rPr>
          <w:b/>
          <w:bCs/>
        </w:rPr>
      </w:pPr>
      <w:r>
        <w:rPr>
          <w:sz w:val="48"/>
        </w:rPr>
        <w:t>Oregon Department of Education</w:t>
      </w:r>
    </w:p>
    <w:p w:rsidR="00FC3286" w:rsidRDefault="00FC3286" w:rsidP="00A147E3">
      <w:pPr>
        <w:pStyle w:val="BondIndent"/>
        <w:spacing w:after="0"/>
        <w:jc w:val="center"/>
        <w:rPr>
          <w:b/>
          <w:bCs/>
        </w:rPr>
      </w:pPr>
    </w:p>
    <w:p w:rsidR="00FC3286" w:rsidRDefault="00FC3286" w:rsidP="00A147E3">
      <w:pPr>
        <w:pStyle w:val="BondIndent"/>
        <w:spacing w:after="0"/>
        <w:jc w:val="center"/>
        <w:rPr>
          <w:b/>
          <w:bCs/>
        </w:rPr>
      </w:pPr>
    </w:p>
    <w:p w:rsidR="00FC3286" w:rsidRDefault="00FC3286" w:rsidP="00A147E3">
      <w:pPr>
        <w:pStyle w:val="BondIndent"/>
        <w:spacing w:after="0"/>
        <w:jc w:val="center"/>
        <w:rPr>
          <w:b/>
          <w:bCs/>
        </w:rPr>
      </w:pPr>
    </w:p>
    <w:p w:rsidR="00FC3286" w:rsidRDefault="00FC3286" w:rsidP="00A147E3">
      <w:pPr>
        <w:pStyle w:val="BondIndent"/>
        <w:spacing w:after="0"/>
        <w:jc w:val="center"/>
        <w:rPr>
          <w:b/>
          <w:bCs/>
        </w:rPr>
      </w:pPr>
    </w:p>
    <w:p w:rsidR="00FC3286" w:rsidRDefault="00FC3286" w:rsidP="00A147E3">
      <w:pPr>
        <w:pStyle w:val="BondIndent"/>
        <w:spacing w:after="0"/>
        <w:jc w:val="center"/>
        <w:rPr>
          <w:b/>
          <w:bCs/>
        </w:rPr>
      </w:pPr>
    </w:p>
    <w:p w:rsidR="00FC3286" w:rsidRDefault="00FC3286" w:rsidP="00A147E3">
      <w:pPr>
        <w:pStyle w:val="BondIndent"/>
        <w:spacing w:after="0"/>
        <w:jc w:val="center"/>
        <w:rPr>
          <w:b/>
          <w:bCs/>
        </w:rPr>
      </w:pPr>
    </w:p>
    <w:p w:rsidR="00FC3286" w:rsidRDefault="00FC3286">
      <w:pPr>
        <w:rPr>
          <w:rFonts w:ascii="Times New Roman" w:eastAsia="Times New Roman" w:hAnsi="Times New Roman" w:cs="Times New Roman"/>
          <w:b/>
          <w:bCs/>
          <w:szCs w:val="20"/>
        </w:rPr>
      </w:pPr>
      <w:r>
        <w:rPr>
          <w:b/>
          <w:bCs/>
        </w:rPr>
        <w:br w:type="page"/>
      </w:r>
    </w:p>
    <w:p w:rsidR="00FC3286" w:rsidRPr="00D2347E" w:rsidRDefault="00FC3286" w:rsidP="00FC3286">
      <w:pPr>
        <w:pStyle w:val="BondIndent"/>
        <w:rPr>
          <w:sz w:val="24"/>
          <w:szCs w:val="24"/>
        </w:rPr>
      </w:pPr>
      <w:r w:rsidRPr="00D2347E">
        <w:rPr>
          <w:sz w:val="24"/>
          <w:szCs w:val="24"/>
        </w:rPr>
        <w:lastRenderedPageBreak/>
        <w:t xml:space="preserve">This Master Amendment to </w:t>
      </w:r>
      <w:r w:rsidR="008D1349">
        <w:rPr>
          <w:sz w:val="24"/>
          <w:szCs w:val="24"/>
        </w:rPr>
        <w:t>I</w:t>
      </w:r>
      <w:r w:rsidRPr="00D2347E">
        <w:rPr>
          <w:sz w:val="24"/>
          <w:szCs w:val="24"/>
        </w:rPr>
        <w:t>ntercept Agreement</w:t>
      </w:r>
      <w:r w:rsidR="008D1349">
        <w:rPr>
          <w:sz w:val="24"/>
          <w:szCs w:val="24"/>
        </w:rPr>
        <w:t>, Including Supplemental</w:t>
      </w:r>
      <w:r w:rsidRPr="00D2347E">
        <w:rPr>
          <w:sz w:val="24"/>
          <w:szCs w:val="24"/>
        </w:rPr>
        <w:t xml:space="preserve">s (“Amendment”) is dated as of February __, 2015, and is entered into by and among the Issuers (as defined below), Wells Fargo Bank, National Association, as trustee (the “Trustee”) and the State of Oregon, acting by and through its Department of Education (the “Agency”).  </w:t>
      </w:r>
    </w:p>
    <w:p w:rsidR="00FC3286" w:rsidRPr="00D2347E" w:rsidRDefault="00FC3286" w:rsidP="0012159D">
      <w:pPr>
        <w:pStyle w:val="BondIndent"/>
        <w:ind w:firstLine="0"/>
        <w:jc w:val="center"/>
        <w:rPr>
          <w:sz w:val="24"/>
          <w:szCs w:val="24"/>
        </w:rPr>
      </w:pPr>
      <w:r w:rsidRPr="00D2347E">
        <w:rPr>
          <w:sz w:val="24"/>
          <w:szCs w:val="24"/>
        </w:rPr>
        <w:t>RECITALS</w:t>
      </w:r>
    </w:p>
    <w:p w:rsidR="00D2347E" w:rsidRDefault="00D2347E" w:rsidP="00D2347E">
      <w:pPr>
        <w:pStyle w:val="BondIndent"/>
        <w:jc w:val="left"/>
        <w:rPr>
          <w:sz w:val="24"/>
          <w:szCs w:val="24"/>
        </w:rPr>
      </w:pPr>
      <w:r w:rsidRPr="00D2347E">
        <w:rPr>
          <w:sz w:val="24"/>
          <w:szCs w:val="24"/>
        </w:rPr>
        <w:t>The Issuers, Trustee</w:t>
      </w:r>
      <w:r>
        <w:rPr>
          <w:sz w:val="24"/>
          <w:szCs w:val="24"/>
        </w:rPr>
        <w:t xml:space="preserve"> and Agency have entered into a</w:t>
      </w:r>
      <w:r w:rsidR="0012159D">
        <w:rPr>
          <w:sz w:val="24"/>
          <w:szCs w:val="24"/>
        </w:rPr>
        <w:t>n</w:t>
      </w:r>
      <w:r>
        <w:rPr>
          <w:sz w:val="24"/>
          <w:szCs w:val="24"/>
        </w:rPr>
        <w:t xml:space="preserve"> Intercept Agreement (defined below)</w:t>
      </w:r>
      <w:r w:rsidR="0012159D">
        <w:rPr>
          <w:sz w:val="24"/>
          <w:szCs w:val="24"/>
        </w:rPr>
        <w:t>, which includes</w:t>
      </w:r>
      <w:r>
        <w:rPr>
          <w:sz w:val="24"/>
          <w:szCs w:val="24"/>
        </w:rPr>
        <w:t xml:space="preserve"> six supplemental agreements to the Intercept Agreement setting forth the process through which amounts will be transferred by Agency to the Trustee for the benefit of the Issuers to secure the payment of certain outstanding pension obligation bonds sold by the Issuers since 2003.  The Issuers, Trustee and Agency now wish to amend Exhibit B to the previously executed supplemental agreements to modify the process through which Agency is notified of the amount that must be transferred to the Trustee and the reconciliation of the amounts transferred and the amounts owed under the supplemental agreements.  For good and valuable consideration, the sufficiency of which is acknowledged by the parties, the Issuers, Trustee and Agency agree as follows:</w:t>
      </w:r>
    </w:p>
    <w:p w:rsidR="00D2347E" w:rsidRPr="0012159D" w:rsidRDefault="00D2347E" w:rsidP="0012159D">
      <w:pPr>
        <w:pStyle w:val="BondIndent"/>
        <w:ind w:firstLine="0"/>
        <w:jc w:val="center"/>
        <w:rPr>
          <w:sz w:val="24"/>
          <w:szCs w:val="24"/>
        </w:rPr>
      </w:pPr>
      <w:r w:rsidRPr="0012159D">
        <w:rPr>
          <w:sz w:val="24"/>
          <w:szCs w:val="24"/>
        </w:rPr>
        <w:t>AGREEMENT</w:t>
      </w:r>
    </w:p>
    <w:p w:rsidR="0012159D" w:rsidRPr="0012159D" w:rsidRDefault="0012159D" w:rsidP="0012159D">
      <w:pPr>
        <w:pStyle w:val="PGELevel2"/>
        <w:keepNext/>
        <w:keepLines/>
        <w:numPr>
          <w:ilvl w:val="0"/>
          <w:numId w:val="0"/>
        </w:numPr>
        <w:rPr>
          <w:sz w:val="24"/>
          <w:szCs w:val="24"/>
        </w:rPr>
      </w:pPr>
      <w:bookmarkStart w:id="1" w:name="_Toc176933029"/>
      <w:bookmarkStart w:id="2" w:name="_Toc14595836"/>
      <w:r w:rsidRPr="0012159D">
        <w:rPr>
          <w:sz w:val="24"/>
          <w:szCs w:val="24"/>
        </w:rPr>
        <w:t>1. Definitions.</w:t>
      </w:r>
      <w:bookmarkEnd w:id="1"/>
    </w:p>
    <w:p w:rsidR="0031123D" w:rsidRPr="0012159D" w:rsidRDefault="0012159D" w:rsidP="0031123D">
      <w:pPr>
        <w:pStyle w:val="BondIndent"/>
        <w:keepNext/>
        <w:keepLines/>
        <w:rPr>
          <w:sz w:val="24"/>
          <w:szCs w:val="24"/>
        </w:rPr>
      </w:pPr>
      <w:r w:rsidRPr="0012159D">
        <w:rPr>
          <w:sz w:val="24"/>
          <w:szCs w:val="24"/>
        </w:rPr>
        <w:t xml:space="preserve">Unless the context clearly requires use of a different definition, all capitalized terms used in this </w:t>
      </w:r>
      <w:r>
        <w:rPr>
          <w:sz w:val="24"/>
          <w:szCs w:val="24"/>
        </w:rPr>
        <w:t xml:space="preserve">Amendment </w:t>
      </w:r>
      <w:r w:rsidRPr="0012159D">
        <w:rPr>
          <w:sz w:val="24"/>
          <w:szCs w:val="24"/>
        </w:rPr>
        <w:t xml:space="preserve">and not otherwise defined herein shall have the respective meanings assigned </w:t>
      </w:r>
      <w:r>
        <w:rPr>
          <w:sz w:val="24"/>
          <w:szCs w:val="24"/>
        </w:rPr>
        <w:t>to them</w:t>
      </w:r>
      <w:r w:rsidRPr="0012159D">
        <w:rPr>
          <w:sz w:val="24"/>
          <w:szCs w:val="24"/>
        </w:rPr>
        <w:t xml:space="preserve"> in the Intercept Agreement.  In addition the following terms shall have the following meanings:</w:t>
      </w:r>
      <w:bookmarkEnd w:id="2"/>
    </w:p>
    <w:p w:rsidR="0012159D" w:rsidRPr="009C4E90" w:rsidRDefault="0012159D" w:rsidP="0012159D">
      <w:pPr>
        <w:pStyle w:val="BondIndent"/>
        <w:rPr>
          <w:sz w:val="24"/>
          <w:szCs w:val="24"/>
        </w:rPr>
      </w:pPr>
      <w:r w:rsidRPr="0012159D">
        <w:rPr>
          <w:sz w:val="24"/>
          <w:szCs w:val="24"/>
        </w:rPr>
        <w:t xml:space="preserve"> “Intercept Agreement” means the Original Intercept Agreement </w:t>
      </w:r>
      <w:r w:rsidR="009C4E90">
        <w:rPr>
          <w:sz w:val="24"/>
          <w:szCs w:val="24"/>
        </w:rPr>
        <w:t xml:space="preserve">dated October 31, 2002, </w:t>
      </w:r>
      <w:r w:rsidRPr="0012159D">
        <w:rPr>
          <w:sz w:val="24"/>
          <w:szCs w:val="24"/>
        </w:rPr>
        <w:t xml:space="preserve">as amended by the 2003 Amendment and as supplemented by the </w:t>
      </w:r>
      <w:r w:rsidR="0031123D">
        <w:rPr>
          <w:sz w:val="24"/>
          <w:szCs w:val="24"/>
        </w:rPr>
        <w:t>Supplements,</w:t>
      </w:r>
      <w:r w:rsidRPr="009C4E90">
        <w:rPr>
          <w:sz w:val="24"/>
          <w:szCs w:val="24"/>
        </w:rPr>
        <w:t xml:space="preserve"> and any future amendments or supplements thereto.</w:t>
      </w:r>
    </w:p>
    <w:p w:rsidR="0031123D" w:rsidRDefault="0031123D" w:rsidP="0012159D">
      <w:pPr>
        <w:pStyle w:val="BondIndent"/>
        <w:jc w:val="left"/>
        <w:rPr>
          <w:sz w:val="24"/>
          <w:szCs w:val="24"/>
        </w:rPr>
      </w:pPr>
      <w:r>
        <w:rPr>
          <w:sz w:val="24"/>
          <w:szCs w:val="24"/>
        </w:rPr>
        <w:t xml:space="preserve"> “Supplements” means </w:t>
      </w:r>
      <w:r w:rsidRPr="0012159D">
        <w:rPr>
          <w:sz w:val="24"/>
          <w:szCs w:val="24"/>
        </w:rPr>
        <w:t>the First Supplemental Intercept Agreement, dated as of April 1, 2003, the Second Supplemental Intercept Agreement, dated as of February 19, 2004, the Third Supplemental Intercept Agreement, dated as of June 21, 2005</w:t>
      </w:r>
      <w:r w:rsidR="00CC6BE7">
        <w:rPr>
          <w:sz w:val="24"/>
          <w:szCs w:val="24"/>
        </w:rPr>
        <w:t xml:space="preserve">, </w:t>
      </w:r>
      <w:r w:rsidRPr="0012159D">
        <w:rPr>
          <w:sz w:val="24"/>
          <w:szCs w:val="24"/>
        </w:rPr>
        <w:t>th</w:t>
      </w:r>
      <w:r>
        <w:rPr>
          <w:sz w:val="24"/>
          <w:szCs w:val="24"/>
        </w:rPr>
        <w:t>e</w:t>
      </w:r>
      <w:r w:rsidRPr="0012159D">
        <w:rPr>
          <w:sz w:val="24"/>
          <w:szCs w:val="24"/>
        </w:rPr>
        <w:t xml:space="preserve"> Fourth Supplemental Intercept Agreement </w:t>
      </w:r>
      <w:r>
        <w:rPr>
          <w:sz w:val="24"/>
          <w:szCs w:val="24"/>
        </w:rPr>
        <w:t>dated as of October……</w:t>
      </w:r>
      <w:proofErr w:type="gramStart"/>
      <w:r>
        <w:rPr>
          <w:sz w:val="24"/>
          <w:szCs w:val="24"/>
        </w:rPr>
        <w:t>. ,</w:t>
      </w:r>
      <w:proofErr w:type="gramEnd"/>
      <w:r>
        <w:rPr>
          <w:sz w:val="24"/>
          <w:szCs w:val="24"/>
        </w:rPr>
        <w:t xml:space="preserve"> 2007, the Fifth Supplement</w:t>
      </w:r>
      <w:r w:rsidR="00CC6BE7">
        <w:rPr>
          <w:sz w:val="24"/>
          <w:szCs w:val="24"/>
        </w:rPr>
        <w:t>al</w:t>
      </w:r>
      <w:r>
        <w:rPr>
          <w:sz w:val="24"/>
          <w:szCs w:val="24"/>
        </w:rPr>
        <w:t xml:space="preserve"> Intercept Agreement dated as of August 11, 2011, </w:t>
      </w:r>
      <w:r w:rsidR="00CC6BE7">
        <w:rPr>
          <w:sz w:val="24"/>
          <w:szCs w:val="24"/>
        </w:rPr>
        <w:t xml:space="preserve">and </w:t>
      </w:r>
      <w:r>
        <w:rPr>
          <w:sz w:val="24"/>
          <w:szCs w:val="24"/>
        </w:rPr>
        <w:t xml:space="preserve">the Sixth Supplemental </w:t>
      </w:r>
      <w:r w:rsidR="00CC6BE7">
        <w:rPr>
          <w:sz w:val="24"/>
          <w:szCs w:val="24"/>
        </w:rPr>
        <w:t xml:space="preserve">Intercept </w:t>
      </w:r>
      <w:r>
        <w:rPr>
          <w:sz w:val="24"/>
          <w:szCs w:val="24"/>
        </w:rPr>
        <w:t xml:space="preserve">Agreement dated as of </w:t>
      </w:r>
      <w:r w:rsidRPr="009C4E90">
        <w:rPr>
          <w:sz w:val="24"/>
          <w:szCs w:val="24"/>
        </w:rPr>
        <w:t>January 31, 2012</w:t>
      </w:r>
      <w:r>
        <w:rPr>
          <w:sz w:val="24"/>
          <w:szCs w:val="24"/>
        </w:rPr>
        <w:t>.</w:t>
      </w:r>
    </w:p>
    <w:p w:rsidR="0031123D" w:rsidRDefault="0031123D" w:rsidP="0031123D">
      <w:pPr>
        <w:pStyle w:val="BondIndent"/>
        <w:ind w:firstLine="0"/>
        <w:jc w:val="left"/>
        <w:rPr>
          <w:b/>
          <w:sz w:val="24"/>
          <w:szCs w:val="24"/>
        </w:rPr>
      </w:pPr>
      <w:r w:rsidRPr="0031123D">
        <w:rPr>
          <w:b/>
          <w:sz w:val="24"/>
          <w:szCs w:val="24"/>
        </w:rPr>
        <w:t>2.  Exhibit B.</w:t>
      </w:r>
    </w:p>
    <w:p w:rsidR="0031123D" w:rsidRDefault="0031123D" w:rsidP="0031123D">
      <w:pPr>
        <w:pStyle w:val="BondIndent"/>
        <w:ind w:firstLine="0"/>
        <w:jc w:val="left"/>
        <w:rPr>
          <w:sz w:val="24"/>
          <w:szCs w:val="24"/>
        </w:rPr>
      </w:pPr>
      <w:r>
        <w:rPr>
          <w:sz w:val="24"/>
          <w:szCs w:val="24"/>
        </w:rPr>
        <w:tab/>
        <w:t>The Exhibit B attached to each of the Supplements is hereby deleted in its entirety and replaced with the Exhibit B attached to this Amendment.</w:t>
      </w:r>
    </w:p>
    <w:p w:rsidR="0031123D" w:rsidRDefault="0031123D" w:rsidP="0031123D">
      <w:pPr>
        <w:pStyle w:val="BondIndent"/>
        <w:ind w:firstLine="0"/>
        <w:jc w:val="left"/>
        <w:rPr>
          <w:b/>
          <w:sz w:val="24"/>
          <w:szCs w:val="24"/>
        </w:rPr>
      </w:pPr>
      <w:r w:rsidRPr="0031123D">
        <w:rPr>
          <w:b/>
          <w:sz w:val="24"/>
          <w:szCs w:val="24"/>
        </w:rPr>
        <w:t xml:space="preserve">3.  </w:t>
      </w:r>
      <w:r w:rsidR="00C00990">
        <w:rPr>
          <w:b/>
          <w:sz w:val="24"/>
          <w:szCs w:val="24"/>
        </w:rPr>
        <w:t>Miscellaneous</w:t>
      </w:r>
      <w:r>
        <w:rPr>
          <w:b/>
          <w:sz w:val="24"/>
          <w:szCs w:val="24"/>
        </w:rPr>
        <w:t>.</w:t>
      </w:r>
    </w:p>
    <w:p w:rsidR="00C00990" w:rsidRDefault="00C00990" w:rsidP="0031123D">
      <w:pPr>
        <w:pStyle w:val="BondIndent"/>
        <w:ind w:firstLine="0"/>
        <w:jc w:val="left"/>
        <w:rPr>
          <w:sz w:val="24"/>
          <w:szCs w:val="24"/>
        </w:rPr>
      </w:pPr>
      <w:r>
        <w:rPr>
          <w:b/>
          <w:sz w:val="24"/>
          <w:szCs w:val="24"/>
        </w:rPr>
        <w:tab/>
        <w:t xml:space="preserve">a. No Other Amendments.  </w:t>
      </w:r>
      <w:r>
        <w:rPr>
          <w:sz w:val="24"/>
          <w:szCs w:val="24"/>
        </w:rPr>
        <w:t>Except as expressly amended herein, the Intercept Agreement shall remain in full force and effect.</w:t>
      </w:r>
    </w:p>
    <w:p w:rsidR="00C00990" w:rsidRDefault="00C00990" w:rsidP="0031123D">
      <w:pPr>
        <w:pStyle w:val="BondIndent"/>
        <w:ind w:firstLine="0"/>
        <w:jc w:val="left"/>
        <w:rPr>
          <w:sz w:val="24"/>
          <w:szCs w:val="24"/>
        </w:rPr>
      </w:pPr>
      <w:r>
        <w:rPr>
          <w:sz w:val="24"/>
          <w:szCs w:val="24"/>
        </w:rPr>
        <w:lastRenderedPageBreak/>
        <w:tab/>
      </w:r>
      <w:r>
        <w:rPr>
          <w:b/>
          <w:sz w:val="24"/>
          <w:szCs w:val="24"/>
        </w:rPr>
        <w:t xml:space="preserve">b. </w:t>
      </w:r>
      <w:r>
        <w:rPr>
          <w:sz w:val="24"/>
          <w:szCs w:val="24"/>
        </w:rPr>
        <w:t xml:space="preserve"> </w:t>
      </w:r>
      <w:r w:rsidRPr="00C00990">
        <w:rPr>
          <w:b/>
          <w:sz w:val="24"/>
          <w:szCs w:val="24"/>
        </w:rPr>
        <w:t>Counterparts.</w:t>
      </w:r>
      <w:r>
        <w:rPr>
          <w:sz w:val="24"/>
          <w:szCs w:val="24"/>
        </w:rPr>
        <w:t xml:space="preserve">  This Amendment may be executed in several counterparts, each of which </w:t>
      </w:r>
      <w:r w:rsidR="008D2BF9">
        <w:rPr>
          <w:sz w:val="24"/>
          <w:szCs w:val="24"/>
        </w:rPr>
        <w:t>shall</w:t>
      </w:r>
      <w:r>
        <w:rPr>
          <w:sz w:val="24"/>
          <w:szCs w:val="24"/>
        </w:rPr>
        <w:t xml:space="preserve"> be an original and all of which shall constitute but one and the same instrument.</w:t>
      </w:r>
    </w:p>
    <w:p w:rsidR="00C00990" w:rsidRDefault="00C00990" w:rsidP="0031123D">
      <w:pPr>
        <w:pStyle w:val="BondIndent"/>
        <w:ind w:firstLine="0"/>
        <w:jc w:val="left"/>
        <w:rPr>
          <w:sz w:val="24"/>
          <w:szCs w:val="24"/>
        </w:rPr>
      </w:pPr>
      <w:r>
        <w:rPr>
          <w:sz w:val="24"/>
          <w:szCs w:val="24"/>
        </w:rPr>
        <w:tab/>
      </w:r>
      <w:r>
        <w:rPr>
          <w:b/>
          <w:sz w:val="24"/>
          <w:szCs w:val="24"/>
        </w:rPr>
        <w:t xml:space="preserve">c.  Captions. </w:t>
      </w:r>
      <w:r>
        <w:rPr>
          <w:sz w:val="24"/>
          <w:szCs w:val="24"/>
        </w:rPr>
        <w:t xml:space="preserve"> The captions or headings in this Amendment are provided for convenience only and shall in no way define, limit or describe the scope or intent of any provision of this Amendment.</w:t>
      </w:r>
    </w:p>
    <w:p w:rsidR="00C00990" w:rsidRDefault="00C00990" w:rsidP="0031123D">
      <w:pPr>
        <w:pStyle w:val="BondIndent"/>
        <w:ind w:firstLine="0"/>
        <w:jc w:val="left"/>
        <w:rPr>
          <w:sz w:val="24"/>
          <w:szCs w:val="24"/>
        </w:rPr>
      </w:pPr>
      <w:r>
        <w:rPr>
          <w:sz w:val="24"/>
          <w:szCs w:val="24"/>
        </w:rPr>
        <w:tab/>
      </w:r>
      <w:r>
        <w:rPr>
          <w:b/>
          <w:sz w:val="24"/>
          <w:szCs w:val="24"/>
        </w:rPr>
        <w:t>d.  Governing Law.</w:t>
      </w:r>
      <w:r>
        <w:rPr>
          <w:sz w:val="24"/>
          <w:szCs w:val="24"/>
        </w:rPr>
        <w:t xml:space="preserve">  This Amendment shall be governed by and construed in accordance with the laws of the State of Oregon.  Any action regarding this Amendment or the transactions contemplated hereby shall be brought in an appropriate court in Marion County, Oregon.</w:t>
      </w:r>
    </w:p>
    <w:p w:rsidR="00C00990" w:rsidRDefault="00C00990" w:rsidP="0031123D">
      <w:pPr>
        <w:pStyle w:val="BondIndent"/>
        <w:ind w:firstLine="0"/>
        <w:jc w:val="left"/>
        <w:rPr>
          <w:sz w:val="24"/>
          <w:szCs w:val="24"/>
        </w:rPr>
      </w:pPr>
      <w:r>
        <w:rPr>
          <w:sz w:val="24"/>
          <w:szCs w:val="24"/>
        </w:rPr>
        <w:tab/>
      </w:r>
      <w:r>
        <w:rPr>
          <w:b/>
          <w:sz w:val="24"/>
          <w:szCs w:val="24"/>
        </w:rPr>
        <w:t>e.  Severability.</w:t>
      </w:r>
      <w:r>
        <w:rPr>
          <w:sz w:val="24"/>
          <w:szCs w:val="24"/>
        </w:rPr>
        <w:t xml:space="preserve">  If any provision of this Amendment is held to be in conflict with any applicable statute or rule of law or is otherwise held to be unenforceable for any reason whatsoever, such circumstance shall not have the effect of rendering the provision in question inoperative or unenforceable in any other case or circumstance, or </w:t>
      </w:r>
      <w:r w:rsidR="00892A63">
        <w:rPr>
          <w:sz w:val="24"/>
          <w:szCs w:val="24"/>
        </w:rPr>
        <w:t>of</w:t>
      </w:r>
      <w:r>
        <w:rPr>
          <w:sz w:val="24"/>
          <w:szCs w:val="24"/>
        </w:rPr>
        <w:t xml:space="preserve"> rendering any other provision or provisions herein contained invalid, inoperative or unenforceable to any extent whatsoever.</w:t>
      </w:r>
    </w:p>
    <w:p w:rsidR="00D90C77" w:rsidRDefault="00D90C77" w:rsidP="0031123D">
      <w:pPr>
        <w:pStyle w:val="BondIndent"/>
        <w:ind w:firstLine="0"/>
        <w:jc w:val="left"/>
        <w:rPr>
          <w:sz w:val="24"/>
          <w:szCs w:val="24"/>
        </w:rPr>
      </w:pPr>
      <w:r>
        <w:rPr>
          <w:sz w:val="24"/>
          <w:szCs w:val="24"/>
        </w:rPr>
        <w:tab/>
      </w:r>
      <w:r>
        <w:rPr>
          <w:b/>
          <w:sz w:val="24"/>
          <w:szCs w:val="24"/>
        </w:rPr>
        <w:t>f.  Binding Effect.</w:t>
      </w:r>
      <w:r>
        <w:rPr>
          <w:sz w:val="24"/>
          <w:szCs w:val="24"/>
        </w:rPr>
        <w:t xml:space="preserve">  This Amendment shall inure to the benefit of an</w:t>
      </w:r>
      <w:r w:rsidR="00892A63">
        <w:rPr>
          <w:sz w:val="24"/>
          <w:szCs w:val="24"/>
        </w:rPr>
        <w:t>d</w:t>
      </w:r>
      <w:r>
        <w:rPr>
          <w:sz w:val="24"/>
          <w:szCs w:val="24"/>
        </w:rPr>
        <w:t xml:space="preserve"> shall be binding upon the Trustee, the Agency and the Issuers and their respective successor and assigns.</w:t>
      </w:r>
    </w:p>
    <w:p w:rsidR="00D90C77" w:rsidRDefault="00D90C77" w:rsidP="0031123D">
      <w:pPr>
        <w:pStyle w:val="BondIndent"/>
        <w:ind w:firstLine="0"/>
        <w:jc w:val="left"/>
        <w:rPr>
          <w:sz w:val="24"/>
          <w:szCs w:val="24"/>
        </w:rPr>
      </w:pPr>
      <w:r>
        <w:rPr>
          <w:sz w:val="24"/>
          <w:szCs w:val="24"/>
        </w:rPr>
        <w:tab/>
        <w:t xml:space="preserve">IN WITNESS WEREOF, the Trustee, the Agency and Issuers have </w:t>
      </w:r>
      <w:r w:rsidR="008D2BF9">
        <w:rPr>
          <w:sz w:val="24"/>
          <w:szCs w:val="24"/>
        </w:rPr>
        <w:t>executed</w:t>
      </w:r>
      <w:r>
        <w:rPr>
          <w:sz w:val="24"/>
          <w:szCs w:val="24"/>
        </w:rPr>
        <w:t xml:space="preserve"> this Amendment as of the date and year first written above.</w:t>
      </w:r>
    </w:p>
    <w:p w:rsidR="00D90C77" w:rsidRDefault="00D90C77" w:rsidP="00D90C77">
      <w:pPr>
        <w:pStyle w:val="BondIndent"/>
        <w:spacing w:after="0"/>
        <w:ind w:firstLine="0"/>
        <w:jc w:val="left"/>
        <w:rPr>
          <w:sz w:val="24"/>
          <w:szCs w:val="24"/>
        </w:rPr>
      </w:pPr>
      <w:r>
        <w:rPr>
          <w:sz w:val="24"/>
          <w:szCs w:val="24"/>
        </w:rPr>
        <w:t>WELLS FARGO BANK</w:t>
      </w:r>
      <w:r w:rsidR="00CC6BE7">
        <w:rPr>
          <w:sz w:val="24"/>
          <w:szCs w:val="24"/>
        </w:rPr>
        <w:t>,</w:t>
      </w:r>
      <w:r w:rsidR="00CC6BE7">
        <w:rPr>
          <w:sz w:val="24"/>
          <w:szCs w:val="24"/>
        </w:rPr>
        <w:tab/>
      </w:r>
      <w:r w:rsidR="00CC6BE7">
        <w:rPr>
          <w:sz w:val="24"/>
          <w:szCs w:val="24"/>
        </w:rPr>
        <w:tab/>
      </w:r>
      <w:r>
        <w:rPr>
          <w:sz w:val="24"/>
          <w:szCs w:val="24"/>
        </w:rPr>
        <w:tab/>
      </w:r>
      <w:r>
        <w:rPr>
          <w:sz w:val="24"/>
          <w:szCs w:val="24"/>
        </w:rPr>
        <w:tab/>
        <w:t>STATE OF OREGON, by and through its</w:t>
      </w:r>
    </w:p>
    <w:p w:rsidR="00D90C77" w:rsidRDefault="00D90C77" w:rsidP="00D90C77">
      <w:pPr>
        <w:pStyle w:val="BondIndent"/>
        <w:spacing w:after="0"/>
        <w:ind w:firstLine="0"/>
        <w:jc w:val="left"/>
        <w:rPr>
          <w:sz w:val="24"/>
          <w:szCs w:val="24"/>
        </w:rPr>
      </w:pPr>
      <w:r>
        <w:rPr>
          <w:sz w:val="24"/>
          <w:szCs w:val="24"/>
        </w:rPr>
        <w:t>NATIONAL ASSOCIATION, Trustee</w:t>
      </w:r>
      <w:r>
        <w:rPr>
          <w:sz w:val="24"/>
          <w:szCs w:val="24"/>
        </w:rPr>
        <w:tab/>
      </w:r>
      <w:r>
        <w:rPr>
          <w:sz w:val="24"/>
          <w:szCs w:val="24"/>
        </w:rPr>
        <w:tab/>
        <w:t>DEPARTMENT OF EDUCATION, Agency</w:t>
      </w:r>
    </w:p>
    <w:p w:rsidR="00D90C77" w:rsidRDefault="00D90C77" w:rsidP="00D90C77">
      <w:pPr>
        <w:pStyle w:val="BondIndent"/>
        <w:spacing w:after="0"/>
        <w:ind w:firstLine="0"/>
        <w:jc w:val="left"/>
        <w:rPr>
          <w:sz w:val="24"/>
          <w:szCs w:val="24"/>
        </w:rPr>
      </w:pPr>
    </w:p>
    <w:p w:rsidR="00D90C77" w:rsidRDefault="00D90C77" w:rsidP="00D90C77">
      <w:pPr>
        <w:pStyle w:val="BondIndent"/>
        <w:spacing w:after="0"/>
        <w:ind w:firstLine="0"/>
        <w:jc w:val="left"/>
        <w:rPr>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By: 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By</w:t>
      </w:r>
      <w:proofErr w:type="gramEnd"/>
      <w:r>
        <w:rPr>
          <w:rFonts w:ascii="Times New Roman" w:hAnsi="Times New Roman" w:cs="Times New Roman"/>
          <w:bCs/>
          <w:sz w:val="24"/>
          <w:szCs w:val="24"/>
        </w:rPr>
        <w:t>:  _________________________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Name: 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Name:  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Title:  _________________________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Title:  ________________________</w:t>
      </w:r>
    </w:p>
    <w:p w:rsidR="00D90C77" w:rsidRDefault="00D90C77" w:rsidP="00D90C77">
      <w:pPr>
        <w:pStyle w:val="BondIndent"/>
        <w:spacing w:after="0"/>
        <w:ind w:firstLine="0"/>
        <w:jc w:val="left"/>
        <w:rPr>
          <w:sz w:val="24"/>
          <w:szCs w:val="24"/>
        </w:rPr>
      </w:pPr>
    </w:p>
    <w:p w:rsidR="00D90C77" w:rsidRDefault="00D90C77" w:rsidP="00D90C77">
      <w:pPr>
        <w:pStyle w:val="BondIndent"/>
        <w:spacing w:after="0"/>
        <w:ind w:firstLine="0"/>
        <w:jc w:val="left"/>
        <w:rPr>
          <w:sz w:val="24"/>
          <w:szCs w:val="24"/>
        </w:rPr>
      </w:pPr>
    </w:p>
    <w:p w:rsidR="00D90C77" w:rsidRPr="00D90C77" w:rsidRDefault="00D90C77" w:rsidP="0031123D">
      <w:pPr>
        <w:pStyle w:val="BondIndent"/>
        <w:ind w:firstLine="0"/>
        <w:jc w:val="left"/>
        <w:rPr>
          <w:sz w:val="24"/>
          <w:szCs w:val="24"/>
        </w:rPr>
      </w:pPr>
    </w:p>
    <w:p w:rsidR="00D90C77" w:rsidRPr="00C00990" w:rsidRDefault="00D90C77" w:rsidP="0031123D">
      <w:pPr>
        <w:pStyle w:val="BondIndent"/>
        <w:ind w:firstLine="0"/>
        <w:jc w:val="left"/>
        <w:rPr>
          <w:sz w:val="24"/>
          <w:szCs w:val="24"/>
        </w:rPr>
      </w:pPr>
    </w:p>
    <w:p w:rsidR="00C00990" w:rsidRPr="00C00990" w:rsidRDefault="00C00990" w:rsidP="0031123D">
      <w:pPr>
        <w:pStyle w:val="BondIndent"/>
        <w:ind w:firstLine="0"/>
        <w:jc w:val="left"/>
        <w:rPr>
          <w:sz w:val="24"/>
          <w:szCs w:val="24"/>
        </w:rPr>
      </w:pPr>
    </w:p>
    <w:p w:rsidR="0031123D" w:rsidRPr="0031123D" w:rsidRDefault="0031123D" w:rsidP="0031123D">
      <w:pPr>
        <w:pStyle w:val="BondIndent"/>
        <w:ind w:firstLine="0"/>
        <w:jc w:val="left"/>
        <w:rPr>
          <w:sz w:val="24"/>
          <w:szCs w:val="24"/>
        </w:rPr>
      </w:pPr>
      <w:r>
        <w:rPr>
          <w:sz w:val="24"/>
          <w:szCs w:val="24"/>
        </w:rPr>
        <w:tab/>
      </w:r>
    </w:p>
    <w:p w:rsidR="00FC3286" w:rsidRPr="009C4E90" w:rsidRDefault="00FC3286" w:rsidP="00FC3286">
      <w:pPr>
        <w:pStyle w:val="BondIndent"/>
        <w:jc w:val="left"/>
        <w:rPr>
          <w:sz w:val="24"/>
          <w:szCs w:val="24"/>
        </w:rPr>
      </w:pPr>
    </w:p>
    <w:p w:rsidR="00FC3286" w:rsidRPr="009C4E90" w:rsidRDefault="00FC3286" w:rsidP="00FC3286">
      <w:pPr>
        <w:pStyle w:val="BondIndent"/>
        <w:spacing w:after="0"/>
        <w:jc w:val="left"/>
        <w:rPr>
          <w:b/>
          <w:bCs/>
          <w:sz w:val="24"/>
          <w:szCs w:val="24"/>
        </w:rPr>
      </w:pPr>
    </w:p>
    <w:p w:rsidR="00FC3286" w:rsidRPr="009C4E90" w:rsidRDefault="00FC3286" w:rsidP="00A147E3">
      <w:pPr>
        <w:pStyle w:val="BondIndent"/>
        <w:spacing w:after="0"/>
        <w:jc w:val="center"/>
        <w:rPr>
          <w:b/>
          <w:bCs/>
          <w:sz w:val="24"/>
          <w:szCs w:val="24"/>
        </w:rPr>
      </w:pPr>
    </w:p>
    <w:p w:rsidR="00FC3286" w:rsidRPr="009C4E90" w:rsidRDefault="00FC3286" w:rsidP="00A147E3">
      <w:pPr>
        <w:pStyle w:val="BondIndent"/>
        <w:spacing w:after="0"/>
        <w:jc w:val="center"/>
        <w:rPr>
          <w:b/>
          <w:bCs/>
          <w:sz w:val="24"/>
          <w:szCs w:val="24"/>
        </w:rPr>
      </w:pPr>
    </w:p>
    <w:p w:rsidR="00FC3286" w:rsidRPr="009C4E90" w:rsidRDefault="00FC3286" w:rsidP="00A147E3">
      <w:pPr>
        <w:pStyle w:val="BondIndent"/>
        <w:spacing w:after="0"/>
        <w:jc w:val="center"/>
        <w:rPr>
          <w:b/>
          <w:bCs/>
          <w:sz w:val="24"/>
          <w:szCs w:val="24"/>
        </w:rPr>
      </w:pPr>
    </w:p>
    <w:p w:rsidR="00FC3286" w:rsidRPr="009C4E90" w:rsidRDefault="00FC3286" w:rsidP="00A147E3">
      <w:pPr>
        <w:pStyle w:val="BondIndent"/>
        <w:spacing w:after="0"/>
        <w:jc w:val="center"/>
        <w:rPr>
          <w:b/>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lastRenderedPageBreak/>
        <w:t>By his or her signature below, each Authorized Representative or Officer represents and warrants that he/she has delegated authority from each Issuer of the Series of Pension bonds referenced above his or her signature to execute on behalf of and to lawfully bind each Issuer of the stated series to this Amendment.</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Series 2002 Issuers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Series 2007 Issuers</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Authorized Representative/Officer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Authorized Representative/Officer</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By: 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By</w:t>
      </w:r>
      <w:proofErr w:type="gramEnd"/>
      <w:r>
        <w:rPr>
          <w:rFonts w:ascii="Times New Roman" w:hAnsi="Times New Roman" w:cs="Times New Roman"/>
          <w:bCs/>
          <w:sz w:val="24"/>
          <w:szCs w:val="24"/>
        </w:rPr>
        <w:t>:  _________________________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Name: 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Name:  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Title:  _________________________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Title:  ________________________</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Series 2003 Issuers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Series 2011 Issuers</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Authorized Representative/Officer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Authorized Representative/Officer</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By: 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By</w:t>
      </w:r>
      <w:proofErr w:type="gramEnd"/>
      <w:r>
        <w:rPr>
          <w:rFonts w:ascii="Times New Roman" w:hAnsi="Times New Roman" w:cs="Times New Roman"/>
          <w:bCs/>
          <w:sz w:val="24"/>
          <w:szCs w:val="24"/>
        </w:rPr>
        <w:t>:  __________________________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Name: 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Name: 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Title:  _________________________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Title:  ________________________</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Series 2004 Issuers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Series 2012 Issuers</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Authorized Representative/Officer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Authorized Representative/Officer</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By: 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By</w:t>
      </w:r>
      <w:proofErr w:type="gramEnd"/>
      <w:r>
        <w:rPr>
          <w:rFonts w:ascii="Times New Roman" w:hAnsi="Times New Roman" w:cs="Times New Roman"/>
          <w:bCs/>
          <w:sz w:val="24"/>
          <w:szCs w:val="24"/>
        </w:rPr>
        <w:t>: __________________________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Name: _________________________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Name: 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Title:  _________________________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Title: _________________________</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Series 2005 Issuers Authorized </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Representative/Officer</w:t>
      </w: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By: ____________________________</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Name: _______________ __________ </w:t>
      </w:r>
    </w:p>
    <w:p w:rsidR="00101118" w:rsidRDefault="00101118" w:rsidP="00101118">
      <w:pPr>
        <w:rPr>
          <w:rFonts w:ascii="Times New Roman" w:hAnsi="Times New Roman" w:cs="Times New Roman"/>
          <w:bCs/>
          <w:sz w:val="24"/>
          <w:szCs w:val="24"/>
        </w:rPr>
      </w:pPr>
      <w:r>
        <w:rPr>
          <w:rFonts w:ascii="Times New Roman" w:hAnsi="Times New Roman" w:cs="Times New Roman"/>
          <w:bCs/>
          <w:sz w:val="24"/>
          <w:szCs w:val="24"/>
        </w:rPr>
        <w:t xml:space="preserve">Title:  __________________________  </w:t>
      </w:r>
    </w:p>
    <w:p w:rsidR="00101118" w:rsidRDefault="00101118" w:rsidP="00101118">
      <w:pPr>
        <w:rPr>
          <w:rFonts w:ascii="Times New Roman" w:hAnsi="Times New Roman" w:cs="Times New Roman"/>
          <w:bCs/>
          <w:sz w:val="24"/>
          <w:szCs w:val="24"/>
        </w:rPr>
      </w:pPr>
    </w:p>
    <w:p w:rsidR="00101118" w:rsidRPr="00D2347E" w:rsidRDefault="00101118" w:rsidP="00101118">
      <w:pPr>
        <w:rPr>
          <w:rFonts w:ascii="Times New Roman" w:eastAsia="Times New Roman" w:hAnsi="Times New Roman" w:cs="Times New Roman"/>
          <w:b/>
          <w:bCs/>
          <w:sz w:val="24"/>
          <w:szCs w:val="24"/>
        </w:rPr>
      </w:pPr>
      <w:r w:rsidRPr="0012159D">
        <w:rPr>
          <w:b/>
          <w:bCs/>
          <w:sz w:val="24"/>
          <w:szCs w:val="24"/>
        </w:rPr>
        <w:br w:type="page"/>
      </w:r>
    </w:p>
    <w:p w:rsidR="00997D40" w:rsidRPr="00326960" w:rsidRDefault="00326960" w:rsidP="00326960">
      <w:pPr>
        <w:jc w:val="center"/>
        <w:rPr>
          <w:rFonts w:ascii="Times New Roman" w:hAnsi="Times New Roman" w:cs="Times New Roman"/>
          <w:b/>
          <w:bCs/>
          <w:sz w:val="24"/>
          <w:szCs w:val="24"/>
        </w:rPr>
      </w:pPr>
      <w:r w:rsidRPr="00326960">
        <w:rPr>
          <w:rFonts w:ascii="Times New Roman" w:hAnsi="Times New Roman" w:cs="Times New Roman"/>
          <w:b/>
          <w:bCs/>
          <w:sz w:val="24"/>
          <w:szCs w:val="24"/>
        </w:rPr>
        <w:lastRenderedPageBreak/>
        <w:t>EXHIBIT B</w:t>
      </w:r>
    </w:p>
    <w:p w:rsidR="00FC3286" w:rsidRDefault="00FC3286" w:rsidP="00A147E3">
      <w:pPr>
        <w:pStyle w:val="BondIndent"/>
        <w:spacing w:after="0"/>
        <w:jc w:val="center"/>
        <w:rPr>
          <w:b/>
          <w:bCs/>
        </w:rPr>
      </w:pPr>
    </w:p>
    <w:p w:rsidR="00A147E3" w:rsidRDefault="00A147E3" w:rsidP="00A147E3">
      <w:pPr>
        <w:pStyle w:val="BondIndent"/>
        <w:spacing w:after="0"/>
        <w:jc w:val="center"/>
        <w:rPr>
          <w:b/>
          <w:bCs/>
        </w:rPr>
      </w:pPr>
      <w:r>
        <w:rPr>
          <w:b/>
          <w:bCs/>
        </w:rPr>
        <w:t>INTERCEPT SCHEDULE</w:t>
      </w:r>
      <w:r w:rsidRPr="00FC3F7E">
        <w:rPr>
          <w:rStyle w:val="FootnoteReference"/>
          <w:b/>
          <w:bCs/>
        </w:rPr>
        <w:footnoteReference w:customMarkFollows="1" w:id="1"/>
        <w:sym w:font="Symbol" w:char="F02A"/>
      </w:r>
    </w:p>
    <w:p w:rsidR="00A147E3" w:rsidRDefault="00A147E3" w:rsidP="00A147E3">
      <w:pPr>
        <w:pStyle w:val="AWLevel2"/>
        <w:keepNext/>
        <w:keepLines/>
        <w:tabs>
          <w:tab w:val="clear" w:pos="1800"/>
        </w:tabs>
        <w:ind w:firstLine="0"/>
      </w:pPr>
      <w:bookmarkStart w:id="3" w:name="_Toc14595843"/>
      <w:bookmarkStart w:id="4" w:name="_Toc21314074"/>
    </w:p>
    <w:p w:rsidR="00A147E3" w:rsidRDefault="00A147E3" w:rsidP="00A147E3">
      <w:pPr>
        <w:pStyle w:val="AWLevel2"/>
        <w:keepNext/>
        <w:keepLines/>
        <w:tabs>
          <w:tab w:val="clear" w:pos="1800"/>
        </w:tabs>
        <w:ind w:firstLine="0"/>
        <w:rPr>
          <w:rFonts w:ascii="Times New Roman Bold" w:hAnsi="Times New Roman Bold"/>
        </w:rPr>
      </w:pPr>
      <w:r>
        <w:t>Section 3.1</w:t>
      </w:r>
      <w:r>
        <w:tab/>
        <w:t>Payment, Calculation and Invoicing of Intercept Payments.</w:t>
      </w:r>
      <w:bookmarkEnd w:id="3"/>
      <w:bookmarkEnd w:id="4"/>
      <w:r>
        <w:t xml:space="preserve">  </w:t>
      </w:r>
    </w:p>
    <w:p w:rsidR="00A147E3" w:rsidRDefault="00A147E3" w:rsidP="00A147E3">
      <w:pPr>
        <w:pStyle w:val="AWLevel3"/>
        <w:keepNext/>
        <w:keepLines/>
        <w:tabs>
          <w:tab w:val="clear" w:pos="1800"/>
        </w:tabs>
      </w:pPr>
      <w:r>
        <w:t>(a)</w:t>
      </w:r>
      <w:r>
        <w:tab/>
        <w:t>The Agency shall pay the Intercept Payments in the amounts and on the dates shown in the invoices provided to the Agency by the Trustee in accordance with this Section 3.1, unless the Agency and Trustee agree to a different schedule for any or all parts of this Section.  The invoices to be provided to the Agency by the Trustee and described below are calculated to fully fund debt service on the Pension Bonds.</w:t>
      </w:r>
    </w:p>
    <w:p w:rsidR="00A147E3" w:rsidRDefault="00A147E3" w:rsidP="00A147E3">
      <w:pPr>
        <w:pStyle w:val="AWLevel3"/>
        <w:tabs>
          <w:tab w:val="clear" w:pos="1800"/>
        </w:tabs>
        <w:rPr>
          <w:b/>
          <w:i/>
        </w:rPr>
      </w:pPr>
      <w:r>
        <w:t>(b)</w:t>
      </w:r>
      <w:r>
        <w:tab/>
        <w:t>Except as provided in Section 3.1(f) below, during the period beginning with the date the Series 2002 Pension Bonds are issued and continuing until June 30, 2003 (and, if any Future Pension Bonds are issued prior to June 30, 2003, during the period beginning with the date such Future Pension Bonds are issued and continuing until June 30, 2003), the Trustee shall invoice the Agency for Intercept Payments to be made.  The amount invoiced by the Trustee on the 5th day of November, 2002 through the 5th day of March, 2003 for payment no later than the 15th day of the respective month shall be derived by dividing equally by five each Issuer’s Pension Bonds annual debt service attributable to the months of November, 2002 through June, 2003.  The Agency shall not be liable for any inaccurate invoices from the Trustee and the Trustee shall be liable for any inaccuracy resulting from its own negligence.</w:t>
      </w:r>
    </w:p>
    <w:p w:rsidR="00A147E3" w:rsidRDefault="00A147E3" w:rsidP="00A147E3">
      <w:pPr>
        <w:pStyle w:val="AWLevel3"/>
        <w:tabs>
          <w:tab w:val="clear" w:pos="1800"/>
        </w:tabs>
      </w:pPr>
      <w:r>
        <w:t>(c)</w:t>
      </w:r>
      <w:r>
        <w:tab/>
        <w:t>Except as provided in Section 3.1(d) and 3.1(i) below, for the period beginning July 1, 2003 and ending June 1, 2015, each Trustee shall invoice the Agency no later than the 5th day of each month, except for the month of June, which amount will have been included in the preceding July billing, and the month of May, which amount will be collected on an equal pro rata basis during the months of July through April.  The amount invoiced for each Issuer shall be equal to the share of each Issuer’s Pension Bonds debt service that is attributable to the month for which the invoice is sent (except for the month of July, which will include the debt service for the month of the subsequent June) plus one-tenth of the debt service due on the Issuer’s Pension Bonds each May, unless this Intercept Agreement is subsequently changed to provide otherwise.  Therefore, for example, the July 5, 2003 invoice will include the monthly debt service allocations for July 2003 and for June 2004, as well as one-tenth of the monthly debt service allocation for May 2004.</w:t>
      </w:r>
    </w:p>
    <w:p w:rsidR="00A147E3" w:rsidRDefault="00A147E3" w:rsidP="00A147E3">
      <w:pPr>
        <w:pStyle w:val="AWLevel3"/>
        <w:tabs>
          <w:tab w:val="clear" w:pos="1800"/>
        </w:tabs>
      </w:pPr>
      <w:r>
        <w:t>(d)</w:t>
      </w:r>
      <w:r>
        <w:tab/>
        <w:t xml:space="preserve">Except as provided in Section 3.1(f) and 3.1(j) below, beginning June 15, 2015 and continuing on or before each June 15 thereafter until all of the Pension Bonds are paid in full, the Trustee shall send an annual invoice to the Agency indicating the amount of Intercept Payments the Agency shall transfer each month to the Trustee during the subsequent year.  The total amount of Intercept Payments each year should equal each Issuer’s share of the Bond Payments due and payable in the subsequent fiscal year.  The Trustee will indicate the amount of Intercept Payment for each August through April based on the Trustee’s calculation of each Issuer’s share of the Bond Payments attributable to each month, plus one-tenth of each Issuer’s Bond Payment due in May of each year.  The Trustee will indicate the amount of Intercept Payment for July based on the Trustee’s calculation of each Issuer’s share of the Bond Payments attributable to July, plus the subsequent June, plus one-tenth of the Issuer’s share of the Bond Payment due each May.  For example, the July 2015 Intercept Payment should equal the Issuer’s </w:t>
      </w:r>
      <w:r>
        <w:lastRenderedPageBreak/>
        <w:t xml:space="preserve">share of the monthly Bond Payment allocations for July 2015, plus for the monthly allocation for June 2016, plus as one-tenth of the monthly Bond Payment allocation for May 2016. </w:t>
      </w:r>
    </w:p>
    <w:p w:rsidR="00A147E3" w:rsidRDefault="00A147E3" w:rsidP="00A147E3">
      <w:pPr>
        <w:pStyle w:val="AWLevel3"/>
        <w:tabs>
          <w:tab w:val="clear" w:pos="1800"/>
        </w:tabs>
      </w:pPr>
      <w:r>
        <w:t>(e)</w:t>
      </w:r>
      <w:r>
        <w:tab/>
        <w:t>On or before April 1 of each year, the Trustee shall determine whether the amounts invoiced equal the Bond Payments for each Issuer for the fiscal year and if there is a shortage or excess in the amount of Intercept Payments set forth in the June invoice, the Trustee shall send a supplemental invoice to the Agency indicating any additional amounts that should be transferred in the next monthly transfer or the amount that may be deducted from the next monthly transfer.</w:t>
      </w:r>
    </w:p>
    <w:p w:rsidR="00A147E3" w:rsidRDefault="00A147E3" w:rsidP="00A147E3">
      <w:pPr>
        <w:pStyle w:val="AWLevel3"/>
        <w:tabs>
          <w:tab w:val="clear" w:pos="1800"/>
        </w:tabs>
      </w:pPr>
      <w:r>
        <w:t>(f)</w:t>
      </w:r>
      <w:r>
        <w:tab/>
        <w:t xml:space="preserve">If the Disbursement Schedule changes, the Agency shall notify the Trustee and the Trustee shall invoice the Agency for Intercept Payments for the months indicated in the changed Disbursement Schedule.  The amount of each invoice shall be equal to the amount required to provide the Trustee with a balance on hand at all times which is at least equal to the balance that the Trustee would have had if the Trustee were invoicing the Agency for substantially equal monthly payments.  For example, if the Agency indicates that disbursements will be made quarterly in July, October, January and April, the Trustee shall invoice the Agency for payment on July 5th an amount equal to the sum of the monthly invoices that would have been sent for July, August and September of that year, and shall invoice for three months of payments for each succeeding quarterly invoice. </w:t>
      </w:r>
    </w:p>
    <w:p w:rsidR="00A147E3" w:rsidRDefault="00A147E3" w:rsidP="00A147E3">
      <w:pPr>
        <w:pStyle w:val="AWLevel3"/>
        <w:tabs>
          <w:tab w:val="clear" w:pos="1800"/>
        </w:tabs>
      </w:pPr>
      <w:r>
        <w:t>(g)</w:t>
      </w:r>
      <w:r>
        <w:tab/>
        <w:t>The Agency shall pay the amounts invoiced to it for each month not later than the 15th day of that month, but in no case later than the date State Education Revenues are disbursed to the Issuers.</w:t>
      </w:r>
    </w:p>
    <w:p w:rsidR="00A147E3" w:rsidRDefault="00A147E3" w:rsidP="00A147E3">
      <w:pPr>
        <w:pStyle w:val="AWLevel3"/>
        <w:tabs>
          <w:tab w:val="clear" w:pos="1800"/>
        </w:tabs>
      </w:pPr>
      <w:r>
        <w:t>(h)</w:t>
      </w:r>
      <w:r>
        <w:tab/>
        <w:t>To the extent State Education Revenues are not sufficient to make any Intercept Payments, for some or all Issuers, in full, the Agency shall pay the greatest amount of State Education Revenues available, and the Trustee shall require the Issuers whose Intercept Payment was not made in full by the Agency to fund the difference.</w:t>
      </w:r>
    </w:p>
    <w:p w:rsidR="00A147E3" w:rsidRDefault="00A147E3" w:rsidP="00A147E3">
      <w:pPr>
        <w:pStyle w:val="AWLevel3"/>
        <w:tabs>
          <w:tab w:val="clear" w:pos="1800"/>
        </w:tabs>
      </w:pPr>
      <w:r>
        <w:t>(i)</w:t>
      </w:r>
      <w:r>
        <w:tab/>
        <w:t>If the Agency is not able to pay any portion of an Intercept Payment in full when due, and the deficiency is not paid in full by an Issuer, each affected Trustee shall add the amount of any remaining deficiency to the next invoice sent to the Agency.</w:t>
      </w:r>
    </w:p>
    <w:p w:rsidR="00A147E3" w:rsidRDefault="00A147E3" w:rsidP="00A147E3">
      <w:pPr>
        <w:pStyle w:val="AWLevel3"/>
        <w:tabs>
          <w:tab w:val="clear" w:pos="1800"/>
        </w:tabs>
      </w:pPr>
      <w:r>
        <w:t>(j)</w:t>
      </w:r>
      <w:r>
        <w:tab/>
        <w:t>Failure by the Agency to pay any Intercept Payment or payment by Issuers of any deficiencies in Intercept Payments shall not relieve the Agency from its obligation to make subsequent Intercept Payments.</w:t>
      </w:r>
    </w:p>
    <w:p w:rsidR="00A147E3" w:rsidRDefault="00A147E3" w:rsidP="00A147E3">
      <w:pPr>
        <w:pStyle w:val="AWLevel3"/>
        <w:tabs>
          <w:tab w:val="clear" w:pos="1800"/>
        </w:tabs>
      </w:pPr>
      <w:r>
        <w:t>(k)</w:t>
      </w:r>
      <w:r>
        <w:tab/>
        <w:t>During the period beginning with the date the Series 2007 Pension Bonds are issued and continuing until June 30, 2008, the Trustee shall invoice the Agency for Intercept Payments.  The amount invoiced by the Trustee on the 5</w:t>
      </w:r>
      <w:r w:rsidRPr="000436C4">
        <w:rPr>
          <w:vertAlign w:val="superscript"/>
        </w:rPr>
        <w:t>th</w:t>
      </w:r>
      <w:r>
        <w:t xml:space="preserve"> day of November, 2007 through the 5</w:t>
      </w:r>
      <w:r w:rsidRPr="000436C4">
        <w:rPr>
          <w:vertAlign w:val="superscript"/>
        </w:rPr>
        <w:t>th</w:t>
      </w:r>
      <w:r>
        <w:t xml:space="preserve"> day of April, 2008 for payment no later than the 15</w:t>
      </w:r>
      <w:r w:rsidRPr="000436C4">
        <w:rPr>
          <w:vertAlign w:val="superscript"/>
        </w:rPr>
        <w:t>th</w:t>
      </w:r>
      <w:r>
        <w:t xml:space="preserve"> day of the respective month shall be derived by dividing equally by six each Issuer’s Pension Bonds annual debt service attributable to the months of November, 2007 through June, 2008.  The Agency shall not be liable for any inaccurate invoices from the Trustee and the Trustee shall be liable for any inaccuracy resulting from its own negligence.</w:t>
      </w:r>
    </w:p>
    <w:p w:rsidR="00A147E3" w:rsidRDefault="00A147E3" w:rsidP="00A147E3">
      <w:pPr>
        <w:pStyle w:val="BondIndent"/>
        <w:jc w:val="left"/>
        <w:rPr>
          <w:b/>
          <w:bCs/>
        </w:rPr>
      </w:pPr>
    </w:p>
    <w:p w:rsidR="00664266" w:rsidRPr="001B0529" w:rsidRDefault="00664266" w:rsidP="001B0529">
      <w:pPr>
        <w:rPr>
          <w:rFonts w:ascii="Times New Roman" w:hAnsi="Times New Roman" w:cs="Times New Roman"/>
          <w:sz w:val="24"/>
          <w:szCs w:val="24"/>
        </w:rPr>
      </w:pPr>
    </w:p>
    <w:sectPr w:rsidR="00664266" w:rsidRPr="001B0529" w:rsidSect="0066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E3" w:rsidRDefault="00A147E3" w:rsidP="00A147E3">
      <w:r>
        <w:separator/>
      </w:r>
    </w:p>
  </w:endnote>
  <w:endnote w:type="continuationSeparator" w:id="0">
    <w:p w:rsidR="00A147E3" w:rsidRDefault="00A147E3" w:rsidP="00A1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E3" w:rsidRDefault="00A147E3" w:rsidP="00A147E3">
      <w:r>
        <w:separator/>
      </w:r>
    </w:p>
  </w:footnote>
  <w:footnote w:type="continuationSeparator" w:id="0">
    <w:p w:rsidR="00A147E3" w:rsidRDefault="00A147E3" w:rsidP="00A147E3">
      <w:r>
        <w:continuationSeparator/>
      </w:r>
    </w:p>
  </w:footnote>
  <w:footnote w:id="1">
    <w:p w:rsidR="00A147E3" w:rsidRDefault="00A147E3" w:rsidP="00A147E3">
      <w:pPr>
        <w:pStyle w:val="FootnoteText"/>
      </w:pPr>
      <w:r w:rsidRPr="00FC3F7E">
        <w:rPr>
          <w:rStyle w:val="FootnoteReference"/>
        </w:rPr>
        <w:sym w:font="Symbol" w:char="F02A"/>
      </w:r>
      <w:r>
        <w:t xml:space="preserve"> Includes all amendments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C14"/>
    <w:multiLevelType w:val="multilevel"/>
    <w:tmpl w:val="4A2E1856"/>
    <w:lvl w:ilvl="0">
      <w:start w:val="1"/>
      <w:numFmt w:val="upperRoman"/>
      <w:pStyle w:val="AWLevel1"/>
      <w:suff w:val="nothing"/>
      <w:lvlText w:val="Article %1.  "/>
      <w:lvlJc w:val="left"/>
      <w:pPr>
        <w:ind w:left="0" w:firstLine="0"/>
      </w:pPr>
      <w:rPr>
        <w:rFonts w:ascii="Times New Roman" w:hAnsi="Times New Roman" w:hint="default"/>
        <w:b/>
        <w:i w:val="0"/>
        <w:caps/>
        <w:sz w:val="22"/>
      </w:rPr>
    </w:lvl>
    <w:lvl w:ilvl="1">
      <w:start w:val="1"/>
      <w:numFmt w:val="decimal"/>
      <w:pStyle w:val="PGELevel2"/>
      <w:isLgl/>
      <w:lvlText w:val="Section %1.%2"/>
      <w:lvlJc w:val="left"/>
      <w:pPr>
        <w:tabs>
          <w:tab w:val="num" w:pos="1800"/>
        </w:tabs>
        <w:ind w:left="0" w:firstLine="720"/>
      </w:pPr>
      <w:rPr>
        <w:rFonts w:ascii="Times New Roman" w:hAnsi="Times New Roman" w:hint="default"/>
        <w:b/>
        <w:i w:val="0"/>
        <w:sz w:val="22"/>
      </w:rPr>
    </w:lvl>
    <w:lvl w:ilvl="2">
      <w:start w:val="1"/>
      <w:numFmt w:val="lowerLetter"/>
      <w:lvlText w:val="(%3)"/>
      <w:lvlJc w:val="left"/>
      <w:pPr>
        <w:tabs>
          <w:tab w:val="num" w:pos="1800"/>
        </w:tabs>
        <w:ind w:left="720" w:firstLine="720"/>
      </w:pPr>
      <w:rPr>
        <w:rFonts w:ascii="Times New Roman" w:hAnsi="Times New Roman" w:hint="default"/>
        <w:b w:val="0"/>
        <w:i w:val="0"/>
        <w:sz w:val="22"/>
      </w:rPr>
    </w:lvl>
    <w:lvl w:ilvl="3">
      <w:start w:val="1"/>
      <w:numFmt w:val="decimal"/>
      <w:lvlText w:val="(%4)"/>
      <w:lvlJc w:val="left"/>
      <w:pPr>
        <w:tabs>
          <w:tab w:val="num" w:pos="2520"/>
        </w:tabs>
        <w:ind w:left="1440" w:firstLine="720"/>
      </w:pPr>
      <w:rPr>
        <w:rFonts w:ascii="Times New Roman" w:hAnsi="Times New Roman" w:hint="default"/>
        <w:b w:val="0"/>
        <w:i w:val="0"/>
        <w:sz w:val="22"/>
      </w:rPr>
    </w:lvl>
    <w:lvl w:ilvl="4">
      <w:start w:val="1"/>
      <w:numFmt w:val="lowerRoman"/>
      <w:lvlText w:val="(%5)"/>
      <w:lvlJc w:val="left"/>
      <w:pPr>
        <w:tabs>
          <w:tab w:val="num" w:pos="3600"/>
        </w:tabs>
        <w:ind w:left="2160" w:firstLine="720"/>
      </w:pPr>
      <w:rPr>
        <w:rFonts w:ascii="Times New Roman" w:hAnsi="Times New Roman" w:hint="default"/>
        <w:b w:val="0"/>
        <w:i w:val="0"/>
        <w:sz w:val="22"/>
      </w:rPr>
    </w:lvl>
    <w:lvl w:ilvl="5">
      <w:start w:val="1"/>
      <w:numFmt w:val="none"/>
      <w:lvlText w:val=""/>
      <w:lvlJc w:val="left"/>
      <w:pPr>
        <w:tabs>
          <w:tab w:val="num" w:pos="3960"/>
        </w:tabs>
        <w:ind w:left="2880" w:firstLine="720"/>
      </w:pPr>
      <w:rPr>
        <w:rFonts w:ascii="Times New Roman" w:hAnsi="Times New Roman" w:hint="default"/>
        <w:b w:val="0"/>
        <w:i w:val="0"/>
        <w:sz w:val="22"/>
      </w:rPr>
    </w:lvl>
    <w:lvl w:ilvl="6">
      <w:start w:val="1"/>
      <w:numFmt w:val="none"/>
      <w:lvlText w:val="%7."/>
      <w:lvlJc w:val="left"/>
      <w:pPr>
        <w:tabs>
          <w:tab w:val="num" w:pos="1080"/>
        </w:tabs>
        <w:ind w:left="0" w:firstLine="720"/>
      </w:pPr>
      <w:rPr>
        <w:rFonts w:ascii="Times New Roman" w:hAnsi="Times New Roman" w:hint="default"/>
        <w:b w:val="0"/>
        <w:i w:val="0"/>
        <w:sz w:val="22"/>
      </w:rPr>
    </w:lvl>
    <w:lvl w:ilvl="7">
      <w:start w:val="1"/>
      <w:numFmt w:val="none"/>
      <w:lvlText w:val="%8"/>
      <w:lvlJc w:val="left"/>
      <w:pPr>
        <w:tabs>
          <w:tab w:val="num" w:pos="360"/>
        </w:tabs>
        <w:ind w:left="0" w:firstLine="0"/>
      </w:pPr>
    </w:lvl>
    <w:lvl w:ilvl="8">
      <w:start w:val="1"/>
      <w:numFmt w:val="none"/>
      <w:lvlText w:val="%9"/>
      <w:lvlJc w:val="left"/>
      <w:pPr>
        <w:tabs>
          <w:tab w:val="num"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E3"/>
    <w:rsid w:val="00101118"/>
    <w:rsid w:val="0012159D"/>
    <w:rsid w:val="001B0529"/>
    <w:rsid w:val="0031123D"/>
    <w:rsid w:val="00326960"/>
    <w:rsid w:val="00664266"/>
    <w:rsid w:val="00747486"/>
    <w:rsid w:val="00892A63"/>
    <w:rsid w:val="008D1349"/>
    <w:rsid w:val="008D2BF9"/>
    <w:rsid w:val="00997D40"/>
    <w:rsid w:val="009C4E90"/>
    <w:rsid w:val="00A147E3"/>
    <w:rsid w:val="00C00990"/>
    <w:rsid w:val="00C35703"/>
    <w:rsid w:val="00CC6BE7"/>
    <w:rsid w:val="00D2347E"/>
    <w:rsid w:val="00D90C77"/>
    <w:rsid w:val="00FC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ndIndent">
    <w:name w:val="Bond Indent"/>
    <w:basedOn w:val="Normal"/>
    <w:rsid w:val="00A147E3"/>
    <w:pPr>
      <w:spacing w:after="240"/>
      <w:ind w:firstLine="720"/>
      <w:jc w:val="both"/>
    </w:pPr>
    <w:rPr>
      <w:rFonts w:ascii="Times New Roman" w:eastAsia="Times New Roman" w:hAnsi="Times New Roman" w:cs="Times New Roman"/>
      <w:szCs w:val="20"/>
    </w:rPr>
  </w:style>
  <w:style w:type="paragraph" w:customStyle="1" w:styleId="AWLevel2">
    <w:name w:val="AW Level 2"/>
    <w:basedOn w:val="Normal"/>
    <w:rsid w:val="00A147E3"/>
    <w:pPr>
      <w:tabs>
        <w:tab w:val="num" w:pos="1800"/>
      </w:tabs>
      <w:spacing w:after="240"/>
      <w:ind w:firstLine="720"/>
      <w:jc w:val="both"/>
    </w:pPr>
    <w:rPr>
      <w:rFonts w:ascii="Times New Roman" w:eastAsia="Times New Roman" w:hAnsi="Times New Roman" w:cs="Times New Roman"/>
      <w:b/>
      <w:szCs w:val="20"/>
    </w:rPr>
  </w:style>
  <w:style w:type="paragraph" w:customStyle="1" w:styleId="AWLevel3">
    <w:name w:val="AW Level 3"/>
    <w:basedOn w:val="Normal"/>
    <w:rsid w:val="00A147E3"/>
    <w:pPr>
      <w:tabs>
        <w:tab w:val="num" w:pos="1800"/>
      </w:tabs>
      <w:spacing w:after="240"/>
      <w:ind w:left="720" w:firstLine="720"/>
      <w:jc w:val="both"/>
    </w:pPr>
    <w:rPr>
      <w:rFonts w:ascii="Times New Roman" w:eastAsia="Times New Roman" w:hAnsi="Times New Roman" w:cs="Times New Roman"/>
      <w:szCs w:val="20"/>
    </w:rPr>
  </w:style>
  <w:style w:type="paragraph" w:styleId="FootnoteText">
    <w:name w:val="footnote text"/>
    <w:basedOn w:val="Normal"/>
    <w:link w:val="FootnoteTextChar"/>
    <w:semiHidden/>
    <w:rsid w:val="00A147E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147E3"/>
    <w:rPr>
      <w:rFonts w:ascii="Times New Roman" w:eastAsia="Times New Roman" w:hAnsi="Times New Roman" w:cs="Times New Roman"/>
      <w:sz w:val="20"/>
      <w:szCs w:val="20"/>
    </w:rPr>
  </w:style>
  <w:style w:type="character" w:styleId="FootnoteReference">
    <w:name w:val="footnote reference"/>
    <w:semiHidden/>
    <w:rsid w:val="00A147E3"/>
    <w:rPr>
      <w:vertAlign w:val="superscript"/>
    </w:rPr>
  </w:style>
  <w:style w:type="paragraph" w:customStyle="1" w:styleId="BondNormal">
    <w:name w:val="Bond Normal"/>
    <w:basedOn w:val="Normal"/>
    <w:rsid w:val="00FC3286"/>
    <w:pPr>
      <w:spacing w:after="240"/>
      <w:jc w:val="both"/>
    </w:pPr>
    <w:rPr>
      <w:rFonts w:ascii="Times New Roman" w:eastAsia="Times New Roman" w:hAnsi="Times New Roman" w:cs="Times New Roman"/>
      <w:szCs w:val="20"/>
    </w:rPr>
  </w:style>
  <w:style w:type="paragraph" w:customStyle="1" w:styleId="BCoverTitle">
    <w:name w:val="BCover Title"/>
    <w:basedOn w:val="Normal"/>
    <w:rsid w:val="00FC3286"/>
    <w:pPr>
      <w:jc w:val="center"/>
    </w:pPr>
    <w:rPr>
      <w:rFonts w:ascii="Times New Roman" w:eastAsia="Times New Roman" w:hAnsi="Times New Roman" w:cs="Times New Roman"/>
      <w:sz w:val="52"/>
      <w:szCs w:val="20"/>
    </w:rPr>
  </w:style>
  <w:style w:type="paragraph" w:customStyle="1" w:styleId="FirstParty">
    <w:name w:val="First Party"/>
    <w:basedOn w:val="Normal"/>
    <w:rsid w:val="00FC3286"/>
    <w:pPr>
      <w:jc w:val="center"/>
    </w:pPr>
    <w:rPr>
      <w:rFonts w:ascii="Times New Roman" w:eastAsia="Times New Roman" w:hAnsi="Times New Roman" w:cs="Times New Roman"/>
      <w:b/>
      <w:sz w:val="36"/>
      <w:szCs w:val="20"/>
    </w:rPr>
  </w:style>
  <w:style w:type="paragraph" w:customStyle="1" w:styleId="SecondParty">
    <w:name w:val="Second Party"/>
    <w:basedOn w:val="Normal"/>
    <w:rsid w:val="00FC3286"/>
    <w:pPr>
      <w:jc w:val="center"/>
    </w:pPr>
    <w:rPr>
      <w:rFonts w:ascii="Times New Roman" w:eastAsia="Times New Roman" w:hAnsi="Times New Roman" w:cs="Times New Roman"/>
      <w:b/>
      <w:sz w:val="36"/>
      <w:szCs w:val="20"/>
    </w:rPr>
  </w:style>
  <w:style w:type="paragraph" w:styleId="Header">
    <w:name w:val="header"/>
    <w:basedOn w:val="Normal"/>
    <w:link w:val="HeaderChar"/>
    <w:rsid w:val="00FC3286"/>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FC3286"/>
    <w:rPr>
      <w:rFonts w:ascii="Times New Roman" w:eastAsia="Times New Roman" w:hAnsi="Times New Roman" w:cs="Times New Roman"/>
      <w:szCs w:val="20"/>
    </w:rPr>
  </w:style>
  <w:style w:type="paragraph" w:customStyle="1" w:styleId="PGELevel2">
    <w:name w:val="PGE Level 2"/>
    <w:basedOn w:val="BondNormal"/>
    <w:rsid w:val="0012159D"/>
    <w:pPr>
      <w:numPr>
        <w:ilvl w:val="1"/>
        <w:numId w:val="1"/>
      </w:numPr>
    </w:pPr>
    <w:rPr>
      <w:b/>
    </w:rPr>
  </w:style>
  <w:style w:type="paragraph" w:customStyle="1" w:styleId="AWLevel1">
    <w:name w:val="AW Level 1"/>
    <w:basedOn w:val="Normal"/>
    <w:next w:val="AWLevel2"/>
    <w:rsid w:val="0012159D"/>
    <w:pPr>
      <w:numPr>
        <w:numId w:val="1"/>
      </w:numPr>
      <w:spacing w:after="240"/>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8D2BF9"/>
    <w:rPr>
      <w:rFonts w:ascii="Tahoma" w:hAnsi="Tahoma" w:cs="Tahoma"/>
      <w:sz w:val="16"/>
      <w:szCs w:val="16"/>
    </w:rPr>
  </w:style>
  <w:style w:type="character" w:customStyle="1" w:styleId="BalloonTextChar">
    <w:name w:val="Balloon Text Char"/>
    <w:basedOn w:val="DefaultParagraphFont"/>
    <w:link w:val="BalloonText"/>
    <w:uiPriority w:val="99"/>
    <w:semiHidden/>
    <w:rsid w:val="008D2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ndIndent">
    <w:name w:val="Bond Indent"/>
    <w:basedOn w:val="Normal"/>
    <w:rsid w:val="00A147E3"/>
    <w:pPr>
      <w:spacing w:after="240"/>
      <w:ind w:firstLine="720"/>
      <w:jc w:val="both"/>
    </w:pPr>
    <w:rPr>
      <w:rFonts w:ascii="Times New Roman" w:eastAsia="Times New Roman" w:hAnsi="Times New Roman" w:cs="Times New Roman"/>
      <w:szCs w:val="20"/>
    </w:rPr>
  </w:style>
  <w:style w:type="paragraph" w:customStyle="1" w:styleId="AWLevel2">
    <w:name w:val="AW Level 2"/>
    <w:basedOn w:val="Normal"/>
    <w:rsid w:val="00A147E3"/>
    <w:pPr>
      <w:tabs>
        <w:tab w:val="num" w:pos="1800"/>
      </w:tabs>
      <w:spacing w:after="240"/>
      <w:ind w:firstLine="720"/>
      <w:jc w:val="both"/>
    </w:pPr>
    <w:rPr>
      <w:rFonts w:ascii="Times New Roman" w:eastAsia="Times New Roman" w:hAnsi="Times New Roman" w:cs="Times New Roman"/>
      <w:b/>
      <w:szCs w:val="20"/>
    </w:rPr>
  </w:style>
  <w:style w:type="paragraph" w:customStyle="1" w:styleId="AWLevel3">
    <w:name w:val="AW Level 3"/>
    <w:basedOn w:val="Normal"/>
    <w:rsid w:val="00A147E3"/>
    <w:pPr>
      <w:tabs>
        <w:tab w:val="num" w:pos="1800"/>
      </w:tabs>
      <w:spacing w:after="240"/>
      <w:ind w:left="720" w:firstLine="720"/>
      <w:jc w:val="both"/>
    </w:pPr>
    <w:rPr>
      <w:rFonts w:ascii="Times New Roman" w:eastAsia="Times New Roman" w:hAnsi="Times New Roman" w:cs="Times New Roman"/>
      <w:szCs w:val="20"/>
    </w:rPr>
  </w:style>
  <w:style w:type="paragraph" w:styleId="FootnoteText">
    <w:name w:val="footnote text"/>
    <w:basedOn w:val="Normal"/>
    <w:link w:val="FootnoteTextChar"/>
    <w:semiHidden/>
    <w:rsid w:val="00A147E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147E3"/>
    <w:rPr>
      <w:rFonts w:ascii="Times New Roman" w:eastAsia="Times New Roman" w:hAnsi="Times New Roman" w:cs="Times New Roman"/>
      <w:sz w:val="20"/>
      <w:szCs w:val="20"/>
    </w:rPr>
  </w:style>
  <w:style w:type="character" w:styleId="FootnoteReference">
    <w:name w:val="footnote reference"/>
    <w:semiHidden/>
    <w:rsid w:val="00A147E3"/>
    <w:rPr>
      <w:vertAlign w:val="superscript"/>
    </w:rPr>
  </w:style>
  <w:style w:type="paragraph" w:customStyle="1" w:styleId="BondNormal">
    <w:name w:val="Bond Normal"/>
    <w:basedOn w:val="Normal"/>
    <w:rsid w:val="00FC3286"/>
    <w:pPr>
      <w:spacing w:after="240"/>
      <w:jc w:val="both"/>
    </w:pPr>
    <w:rPr>
      <w:rFonts w:ascii="Times New Roman" w:eastAsia="Times New Roman" w:hAnsi="Times New Roman" w:cs="Times New Roman"/>
      <w:szCs w:val="20"/>
    </w:rPr>
  </w:style>
  <w:style w:type="paragraph" w:customStyle="1" w:styleId="BCoverTitle">
    <w:name w:val="BCover Title"/>
    <w:basedOn w:val="Normal"/>
    <w:rsid w:val="00FC3286"/>
    <w:pPr>
      <w:jc w:val="center"/>
    </w:pPr>
    <w:rPr>
      <w:rFonts w:ascii="Times New Roman" w:eastAsia="Times New Roman" w:hAnsi="Times New Roman" w:cs="Times New Roman"/>
      <w:sz w:val="52"/>
      <w:szCs w:val="20"/>
    </w:rPr>
  </w:style>
  <w:style w:type="paragraph" w:customStyle="1" w:styleId="FirstParty">
    <w:name w:val="First Party"/>
    <w:basedOn w:val="Normal"/>
    <w:rsid w:val="00FC3286"/>
    <w:pPr>
      <w:jc w:val="center"/>
    </w:pPr>
    <w:rPr>
      <w:rFonts w:ascii="Times New Roman" w:eastAsia="Times New Roman" w:hAnsi="Times New Roman" w:cs="Times New Roman"/>
      <w:b/>
      <w:sz w:val="36"/>
      <w:szCs w:val="20"/>
    </w:rPr>
  </w:style>
  <w:style w:type="paragraph" w:customStyle="1" w:styleId="SecondParty">
    <w:name w:val="Second Party"/>
    <w:basedOn w:val="Normal"/>
    <w:rsid w:val="00FC3286"/>
    <w:pPr>
      <w:jc w:val="center"/>
    </w:pPr>
    <w:rPr>
      <w:rFonts w:ascii="Times New Roman" w:eastAsia="Times New Roman" w:hAnsi="Times New Roman" w:cs="Times New Roman"/>
      <w:b/>
      <w:sz w:val="36"/>
      <w:szCs w:val="20"/>
    </w:rPr>
  </w:style>
  <w:style w:type="paragraph" w:styleId="Header">
    <w:name w:val="header"/>
    <w:basedOn w:val="Normal"/>
    <w:link w:val="HeaderChar"/>
    <w:rsid w:val="00FC3286"/>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FC3286"/>
    <w:rPr>
      <w:rFonts w:ascii="Times New Roman" w:eastAsia="Times New Roman" w:hAnsi="Times New Roman" w:cs="Times New Roman"/>
      <w:szCs w:val="20"/>
    </w:rPr>
  </w:style>
  <w:style w:type="paragraph" w:customStyle="1" w:styleId="PGELevel2">
    <w:name w:val="PGE Level 2"/>
    <w:basedOn w:val="BondNormal"/>
    <w:rsid w:val="0012159D"/>
    <w:pPr>
      <w:numPr>
        <w:ilvl w:val="1"/>
        <w:numId w:val="1"/>
      </w:numPr>
    </w:pPr>
    <w:rPr>
      <w:b/>
    </w:rPr>
  </w:style>
  <w:style w:type="paragraph" w:customStyle="1" w:styleId="AWLevel1">
    <w:name w:val="AW Level 1"/>
    <w:basedOn w:val="Normal"/>
    <w:next w:val="AWLevel2"/>
    <w:rsid w:val="0012159D"/>
    <w:pPr>
      <w:numPr>
        <w:numId w:val="1"/>
      </w:numPr>
      <w:spacing w:after="240"/>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8D2BF9"/>
    <w:rPr>
      <w:rFonts w:ascii="Tahoma" w:hAnsi="Tahoma" w:cs="Tahoma"/>
      <w:sz w:val="16"/>
      <w:szCs w:val="16"/>
    </w:rPr>
  </w:style>
  <w:style w:type="character" w:customStyle="1" w:styleId="BalloonTextChar">
    <w:name w:val="Balloon Text Char"/>
    <w:basedOn w:val="DefaultParagraphFont"/>
    <w:link w:val="BalloonText"/>
    <w:uiPriority w:val="99"/>
    <w:semiHidden/>
    <w:rsid w:val="008D2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Byrnes Cynthia</dc:creator>
  <cp:lastModifiedBy>elliottm</cp:lastModifiedBy>
  <cp:revision>2</cp:revision>
  <cp:lastPrinted>2015-01-26T21:51:00Z</cp:lastPrinted>
  <dcterms:created xsi:type="dcterms:W3CDTF">2015-06-08T18:16:00Z</dcterms:created>
  <dcterms:modified xsi:type="dcterms:W3CDTF">2015-06-08T18:16:00Z</dcterms:modified>
</cp:coreProperties>
</file>