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CD46B2">
      <w:r>
        <w:t>February 23, 2017</w:t>
      </w:r>
      <w:bookmarkStart w:id="0" w:name="_GoBack"/>
      <w:bookmarkEnd w:id="0"/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4"/>
    <w:rsid w:val="00010C26"/>
    <w:rsid w:val="00010E79"/>
    <w:rsid w:val="0001516C"/>
    <w:rsid w:val="000472CD"/>
    <w:rsid w:val="00052CE6"/>
    <w:rsid w:val="000A5719"/>
    <w:rsid w:val="00102401"/>
    <w:rsid w:val="00103108"/>
    <w:rsid w:val="00120635"/>
    <w:rsid w:val="00131B7D"/>
    <w:rsid w:val="001477A3"/>
    <w:rsid w:val="00161F5F"/>
    <w:rsid w:val="001B5BB3"/>
    <w:rsid w:val="001C2D34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B659F"/>
    <w:rsid w:val="003D3648"/>
    <w:rsid w:val="003E1767"/>
    <w:rsid w:val="00413894"/>
    <w:rsid w:val="00483476"/>
    <w:rsid w:val="00487D3D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4277E"/>
    <w:rsid w:val="00A63858"/>
    <w:rsid w:val="00AA0C02"/>
    <w:rsid w:val="00AB279E"/>
    <w:rsid w:val="00AB4A3F"/>
    <w:rsid w:val="00AE20CA"/>
    <w:rsid w:val="00AE759C"/>
    <w:rsid w:val="00AF35B9"/>
    <w:rsid w:val="00B01CF5"/>
    <w:rsid w:val="00B9437D"/>
    <w:rsid w:val="00B945DC"/>
    <w:rsid w:val="00B968A4"/>
    <w:rsid w:val="00BC53EC"/>
    <w:rsid w:val="00BD6F70"/>
    <w:rsid w:val="00BF0FB0"/>
    <w:rsid w:val="00C01891"/>
    <w:rsid w:val="00C073E7"/>
    <w:rsid w:val="00C37A44"/>
    <w:rsid w:val="00C47656"/>
    <w:rsid w:val="00CD46B2"/>
    <w:rsid w:val="00D13F30"/>
    <w:rsid w:val="00D65792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423A1"/>
    <w:rsid w:val="00E44EBB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B4E84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281C-0A96-49B1-8450-356BB60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Nancy Goodding</cp:lastModifiedBy>
  <cp:revision>3</cp:revision>
  <cp:lastPrinted>2015-07-13T20:52:00Z</cp:lastPrinted>
  <dcterms:created xsi:type="dcterms:W3CDTF">2017-02-10T19:41:00Z</dcterms:created>
  <dcterms:modified xsi:type="dcterms:W3CDTF">2017-02-10T19:43:00Z</dcterms:modified>
</cp:coreProperties>
</file>