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F70CA5" w:rsidRPr="00F70CA5" w:rsidRDefault="00F70CA5" w:rsidP="00F70CA5">
      <w:pPr>
        <w:numPr>
          <w:ilvl w:val="0"/>
          <w:numId w:val="4"/>
        </w:numPr>
        <w:jc w:val="both"/>
        <w:outlineLvl w:val="0"/>
        <w:rPr>
          <w:rFonts w:ascii="Times New Roman" w:hAnsi="Times New Roman"/>
        </w:rPr>
      </w:pPr>
      <w:r w:rsidRPr="00F70CA5">
        <w:rPr>
          <w:rFonts w:ascii="Times New Roman" w:hAnsi="Times New Roman"/>
        </w:rPr>
        <w:t>Funding Status – FY 2018 and FY 2017</w:t>
      </w:r>
    </w:p>
    <w:p w:rsidR="00F70CA5" w:rsidRPr="00F70CA5" w:rsidRDefault="00F70CA5" w:rsidP="00F70CA5">
      <w:pPr>
        <w:numPr>
          <w:ilvl w:val="0"/>
          <w:numId w:val="4"/>
        </w:numPr>
        <w:spacing w:before="120"/>
        <w:jc w:val="both"/>
        <w:outlineLvl w:val="0"/>
        <w:rPr>
          <w:rFonts w:ascii="Times New Roman" w:hAnsi="Times New Roman"/>
        </w:rPr>
      </w:pPr>
      <w:r w:rsidRPr="00F70CA5">
        <w:rPr>
          <w:rFonts w:ascii="Times New Roman" w:hAnsi="Times New Roman"/>
        </w:rPr>
        <w:t>Updates on USAC’s E-Rate Productivity Center and Legacy System</w:t>
      </w:r>
    </w:p>
    <w:p w:rsidR="00F70CA5" w:rsidRPr="00F70CA5" w:rsidRDefault="00F70CA5" w:rsidP="00F70CA5">
      <w:pPr>
        <w:numPr>
          <w:ilvl w:val="1"/>
          <w:numId w:val="4"/>
        </w:numPr>
        <w:spacing w:before="20"/>
        <w:jc w:val="both"/>
        <w:outlineLvl w:val="0"/>
        <w:rPr>
          <w:rFonts w:ascii="Times New Roman" w:hAnsi="Times New Roman"/>
        </w:rPr>
      </w:pPr>
      <w:r w:rsidRPr="00F70CA5">
        <w:rPr>
          <w:rFonts w:ascii="Times New Roman" w:hAnsi="Times New Roman"/>
        </w:rPr>
        <w:t>New PDF Versions of FCDL and RFCDL for FY 2018</w:t>
      </w:r>
    </w:p>
    <w:p w:rsidR="00F70CA5" w:rsidRPr="00F70CA5" w:rsidRDefault="00F70CA5" w:rsidP="00F70CA5">
      <w:pPr>
        <w:numPr>
          <w:ilvl w:val="1"/>
          <w:numId w:val="4"/>
        </w:numPr>
        <w:spacing w:before="20"/>
        <w:jc w:val="both"/>
        <w:outlineLvl w:val="0"/>
        <w:rPr>
          <w:rFonts w:ascii="Times New Roman" w:hAnsi="Times New Roman"/>
        </w:rPr>
      </w:pPr>
      <w:r w:rsidRPr="00F70CA5">
        <w:rPr>
          <w:rFonts w:ascii="Times New Roman" w:hAnsi="Times New Roman"/>
        </w:rPr>
        <w:t>Form 486 for FY 2018</w:t>
      </w:r>
    </w:p>
    <w:p w:rsidR="00F70CA5" w:rsidRPr="00F70CA5" w:rsidRDefault="00F70CA5" w:rsidP="00F70CA5">
      <w:pPr>
        <w:numPr>
          <w:ilvl w:val="0"/>
          <w:numId w:val="4"/>
        </w:numPr>
        <w:spacing w:before="120"/>
        <w:jc w:val="both"/>
        <w:outlineLvl w:val="0"/>
        <w:rPr>
          <w:rFonts w:ascii="Times New Roman" w:hAnsi="Times New Roman"/>
        </w:rPr>
      </w:pPr>
      <w:r w:rsidRPr="00F70CA5">
        <w:rPr>
          <w:rFonts w:ascii="Times New Roman" w:hAnsi="Times New Roman"/>
        </w:rPr>
        <w:t>E-Rate</w:t>
      </w:r>
      <w:r w:rsidRPr="00F70CA5">
        <w:rPr>
          <w:rFonts w:ascii="Times New Roman" w:hAnsi="Times New Roman"/>
          <w:i/>
        </w:rPr>
        <w:t xml:space="preserve"> </w:t>
      </w:r>
      <w:r w:rsidRPr="00F70CA5">
        <w:rPr>
          <w:rFonts w:ascii="Times New Roman" w:hAnsi="Times New Roman"/>
        </w:rPr>
        <w:t>Updates and Reminders</w:t>
      </w:r>
    </w:p>
    <w:p w:rsidR="00F70CA5" w:rsidRPr="00F70CA5" w:rsidRDefault="00F70CA5" w:rsidP="00F70CA5">
      <w:pPr>
        <w:numPr>
          <w:ilvl w:val="1"/>
          <w:numId w:val="4"/>
        </w:numPr>
        <w:spacing w:before="20"/>
        <w:jc w:val="both"/>
        <w:outlineLvl w:val="0"/>
        <w:rPr>
          <w:rFonts w:ascii="Times New Roman" w:hAnsi="Times New Roman"/>
        </w:rPr>
      </w:pPr>
      <w:r w:rsidRPr="00F70CA5">
        <w:rPr>
          <w:rFonts w:ascii="Times New Roman" w:hAnsi="Times New Roman"/>
        </w:rPr>
        <w:t>Upcoming 2018 E-Rate Dates</w:t>
      </w:r>
    </w:p>
    <w:p w:rsidR="00F70CA5" w:rsidRPr="00F70CA5" w:rsidRDefault="00F70CA5" w:rsidP="00F70CA5">
      <w:pPr>
        <w:numPr>
          <w:ilvl w:val="1"/>
          <w:numId w:val="4"/>
        </w:numPr>
        <w:spacing w:before="20"/>
        <w:jc w:val="both"/>
        <w:outlineLvl w:val="0"/>
        <w:rPr>
          <w:rFonts w:ascii="Times New Roman" w:hAnsi="Times New Roman"/>
        </w:rPr>
      </w:pPr>
      <w:r w:rsidRPr="00F70CA5">
        <w:rPr>
          <w:rFonts w:ascii="Times New Roman" w:hAnsi="Times New Roman"/>
        </w:rPr>
        <w:t>USAC PIA Review Webinar</w:t>
      </w:r>
    </w:p>
    <w:p w:rsidR="00F70CA5" w:rsidRPr="00F70CA5" w:rsidRDefault="00F70CA5" w:rsidP="00F70CA5">
      <w:pPr>
        <w:numPr>
          <w:ilvl w:val="1"/>
          <w:numId w:val="4"/>
        </w:numPr>
        <w:spacing w:before="20"/>
        <w:jc w:val="both"/>
        <w:outlineLvl w:val="0"/>
        <w:rPr>
          <w:rFonts w:ascii="Times New Roman" w:hAnsi="Times New Roman"/>
        </w:rPr>
      </w:pPr>
      <w:r w:rsidRPr="00F70CA5">
        <w:rPr>
          <w:rFonts w:ascii="Times New Roman" w:hAnsi="Times New Roman"/>
        </w:rPr>
        <w:t>FCC Universal Service Monitoring Report</w:t>
      </w:r>
    </w:p>
    <w:p w:rsidR="00F70CA5" w:rsidRPr="00F70CA5" w:rsidRDefault="00F70CA5" w:rsidP="00F70CA5">
      <w:pPr>
        <w:numPr>
          <w:ilvl w:val="0"/>
          <w:numId w:val="4"/>
        </w:numPr>
        <w:spacing w:before="120"/>
        <w:jc w:val="both"/>
        <w:outlineLvl w:val="0"/>
        <w:rPr>
          <w:rFonts w:ascii="Times New Roman" w:hAnsi="Times New Roman"/>
        </w:rPr>
      </w:pPr>
      <w:r w:rsidRPr="00F70CA5">
        <w:rPr>
          <w:rFonts w:ascii="Times New Roman" w:hAnsi="Times New Roman"/>
        </w:rPr>
        <w:t>USAC News Brief Dated April 20 – New Format for FCDLs and RFCDLs</w:t>
      </w:r>
    </w:p>
    <w:p w:rsidR="00F70CA5" w:rsidRPr="00F70CA5" w:rsidRDefault="00F70CA5" w:rsidP="00F70CA5">
      <w:pPr>
        <w:jc w:val="both"/>
        <w:outlineLvl w:val="0"/>
        <w:rPr>
          <w:rFonts w:ascii="Times New Roman" w:hAnsi="Times New Roman"/>
          <w:b/>
          <w:color w:val="1F497D"/>
          <w:sz w:val="48"/>
          <w:szCs w:val="48"/>
        </w:rPr>
      </w:pPr>
    </w:p>
    <w:p w:rsidR="00F70CA5" w:rsidRPr="00F70CA5" w:rsidRDefault="00F70CA5" w:rsidP="00F70CA5">
      <w:pPr>
        <w:jc w:val="both"/>
        <w:rPr>
          <w:rFonts w:ascii="Times New Roman" w:hAnsi="Times New Roman"/>
          <w:b/>
          <w:color w:val="1F497D"/>
        </w:rPr>
      </w:pPr>
      <w:r w:rsidRPr="00F70CA5">
        <w:rPr>
          <w:rFonts w:ascii="Times New Roman" w:hAnsi="Times New Roman"/>
          <w:b/>
          <w:color w:val="1F497D"/>
        </w:rPr>
        <w:t>Funding Status – FY 2018 and FY 2017</w:t>
      </w:r>
    </w:p>
    <w:p w:rsidR="00F70CA5" w:rsidRPr="00F70CA5" w:rsidRDefault="00F70CA5" w:rsidP="00F70CA5">
      <w:pPr>
        <w:jc w:val="both"/>
        <w:rPr>
          <w:rFonts w:ascii="Times New Roman" w:hAnsi="Times New Roman"/>
        </w:rPr>
      </w:pPr>
    </w:p>
    <w:p w:rsidR="00F70CA5" w:rsidRPr="00F70CA5" w:rsidRDefault="00F70CA5" w:rsidP="00F70CA5">
      <w:pPr>
        <w:jc w:val="both"/>
        <w:rPr>
          <w:rFonts w:ascii="Times New Roman" w:hAnsi="Times New Roman"/>
          <w:i/>
          <w:color w:val="1F497D"/>
        </w:rPr>
      </w:pPr>
      <w:r w:rsidRPr="00F70CA5">
        <w:rPr>
          <w:rFonts w:ascii="Times New Roman" w:hAnsi="Times New Roman"/>
          <w:i/>
          <w:color w:val="1F497D"/>
        </w:rPr>
        <w:t>FY 2018:</w:t>
      </w:r>
    </w:p>
    <w:p w:rsidR="00F70CA5" w:rsidRPr="00F70CA5" w:rsidRDefault="00F70CA5" w:rsidP="00F70CA5">
      <w:pPr>
        <w:jc w:val="both"/>
        <w:rPr>
          <w:rFonts w:ascii="Times New Roman" w:hAnsi="Times New Roman"/>
          <w:i/>
          <w:color w:val="1F3864"/>
        </w:rPr>
      </w:pPr>
    </w:p>
    <w:p w:rsidR="003300E6" w:rsidRPr="003300E6" w:rsidRDefault="003300E6" w:rsidP="003300E6">
      <w:pPr>
        <w:jc w:val="both"/>
        <w:rPr>
          <w:rFonts w:ascii="Times New Roman" w:hAnsi="Times New Roman"/>
          <w:lang w:bidi="ar-SA"/>
        </w:rPr>
      </w:pPr>
      <w:r w:rsidRPr="003300E6">
        <w:rPr>
          <w:rFonts w:ascii="Times New Roman" w:hAnsi="Times New Roman"/>
          <w:color w:val="000000"/>
          <w:lang w:bidi="ar-SA"/>
        </w:rPr>
        <w:t xml:space="preserve">The first funding wave for FY 2018 was released </w:t>
      </w:r>
      <w:r w:rsidRPr="003300E6">
        <w:rPr>
          <w:rFonts w:ascii="Times New Roman" w:hAnsi="Times New Roman"/>
          <w:lang w:bidi="ar-SA"/>
        </w:rPr>
        <w:t>Friday, April 20</w:t>
      </w:r>
      <w:r w:rsidRPr="003300E6">
        <w:rPr>
          <w:rFonts w:ascii="Times New Roman" w:hAnsi="Times New Roman"/>
          <w:vertAlign w:val="superscript"/>
          <w:lang w:bidi="ar-SA"/>
        </w:rPr>
        <w:t>th</w:t>
      </w:r>
      <w:r w:rsidRPr="003300E6">
        <w:rPr>
          <w:rFonts w:ascii="Times New Roman" w:hAnsi="Times New Roman"/>
          <w:lang w:bidi="ar-SA"/>
        </w:rPr>
        <w:t xml:space="preserve"> for $237 million.  Wave 2 was released the next day, April 21</w:t>
      </w:r>
      <w:r w:rsidRPr="003300E6">
        <w:rPr>
          <w:rFonts w:ascii="Times New Roman" w:hAnsi="Times New Roman"/>
          <w:vertAlign w:val="superscript"/>
          <w:lang w:bidi="ar-SA"/>
        </w:rPr>
        <w:t>st</w:t>
      </w:r>
      <w:r w:rsidRPr="003300E6">
        <w:rPr>
          <w:rFonts w:ascii="Times New Roman" w:hAnsi="Times New Roman"/>
          <w:lang w:bidi="ar-SA"/>
        </w:rPr>
        <w:t xml:space="preserve">, for $266 million.  The beginning of funding was more than a month earlier than the start last year for FY 2017.  </w:t>
      </w:r>
    </w:p>
    <w:p w:rsidR="00F70CA5" w:rsidRPr="00F70CA5" w:rsidRDefault="00F70CA5" w:rsidP="00F70CA5">
      <w:pPr>
        <w:jc w:val="both"/>
        <w:rPr>
          <w:rFonts w:ascii="Times New Roman" w:hAnsi="Times New Roman"/>
          <w:color w:val="000000"/>
        </w:rPr>
      </w:pPr>
      <w:bookmarkStart w:id="0" w:name="_GoBack"/>
      <w:bookmarkEnd w:id="0"/>
    </w:p>
    <w:p w:rsidR="00F70CA5" w:rsidRDefault="00536A7C" w:rsidP="00F70CA5">
      <w:pPr>
        <w:jc w:val="both"/>
        <w:rPr>
          <w:rFonts w:ascii="Times New Roman" w:hAnsi="Times New Roman"/>
          <w:color w:val="000000"/>
        </w:rPr>
      </w:pPr>
      <w:bookmarkStart w:id="1" w:name="_Hlk512182344"/>
      <w:r w:rsidRPr="00536A7C">
        <w:rPr>
          <w:rFonts w:ascii="Times New Roman" w:hAnsi="Times New Roman"/>
          <w:color w:val="000000"/>
        </w:rPr>
        <w:t xml:space="preserve">Earlier last week, USAC released a </w:t>
      </w:r>
      <w:hyperlink r:id="rId8" w:history="1">
        <w:r w:rsidRPr="00536A7C">
          <w:rPr>
            <w:rFonts w:ascii="Times New Roman" w:hAnsi="Times New Roman"/>
            <w:color w:val="0000FF"/>
            <w:u w:val="single"/>
          </w:rPr>
          <w:t>preliminary estimate of demand</w:t>
        </w:r>
      </w:hyperlink>
      <w:r w:rsidRPr="00536A7C">
        <w:rPr>
          <w:rFonts w:ascii="Times New Roman" w:hAnsi="Times New Roman"/>
          <w:color w:val="000000"/>
        </w:rPr>
        <w:t xml:space="preserve"> for FY 2018 confirming total requests of $2.77 billion as we had initially reported just after the window closed.  Note that this preliminary number is based on the actual applications received during the window.  The final demand numbers, eliminating duplicate applications and ineligible requests, but perhaps adding funding requested in out-of-window applications approved for waiver by the FCC, are expected to be</w:t>
      </w:r>
      <w:r w:rsidRPr="00246D1E">
        <w:rPr>
          <w:color w:val="000000"/>
        </w:rPr>
        <w:t xml:space="preserve"> </w:t>
      </w:r>
      <w:bookmarkEnd w:id="1"/>
      <w:r w:rsidR="00F70CA5" w:rsidRPr="00F70CA5">
        <w:rPr>
          <w:rFonts w:ascii="Times New Roman" w:hAnsi="Times New Roman"/>
          <w:color w:val="000000"/>
        </w:rPr>
        <w:t>less.</w:t>
      </w:r>
      <w:r w:rsidR="00F70CA5" w:rsidRPr="00F70CA5">
        <w:rPr>
          <w:rFonts w:ascii="Times New Roman" w:hAnsi="Times New Roman"/>
          <w:color w:val="000000"/>
          <w:vertAlign w:val="superscript"/>
        </w:rPr>
        <w:footnoteReference w:id="1"/>
      </w:r>
      <w:r w:rsidR="00F70CA5" w:rsidRPr="00F70CA5">
        <w:rPr>
          <w:rFonts w:ascii="Times New Roman" w:hAnsi="Times New Roman"/>
          <w:color w:val="000000"/>
        </w:rPr>
        <w:t xml:space="preserve">  The following table provides a comparison of preliminary demand for FY 2018 with FY 2017.</w:t>
      </w:r>
    </w:p>
    <w:p w:rsidR="00F70CA5" w:rsidRPr="00F70CA5" w:rsidRDefault="00F70CA5" w:rsidP="00F70CA5">
      <w:pPr>
        <w:jc w:val="both"/>
        <w:rPr>
          <w:rFonts w:ascii="Times New Roman" w:hAnsi="Times New Roman"/>
          <w:color w:val="000000"/>
        </w:rPr>
      </w:pPr>
    </w:p>
    <w:p w:rsidR="00F70CA5" w:rsidRPr="00F70CA5" w:rsidRDefault="003300E6" w:rsidP="00F70CA5">
      <w:pPr>
        <w:ind w:left="1440"/>
        <w:rPr>
          <w:b/>
          <w:bCs/>
          <w:color w:val="000000"/>
          <w:sz w:val="22"/>
          <w:szCs w:val="22"/>
          <w:lang w:bidi="ar-SA"/>
        </w:rPr>
      </w:pPr>
      <w:r>
        <w:rPr>
          <w:noProof/>
        </w:rPr>
        <w:pict>
          <v:shape id="_x0000_i1028" type="#_x0000_t75" style="width:315pt;height:156pt;visibility:visible;mso-wrap-style:square">
            <v:imagedata r:id="rId9" o:title=""/>
          </v:shape>
        </w:pict>
      </w:r>
    </w:p>
    <w:p w:rsidR="00F70CA5" w:rsidRPr="00F70CA5" w:rsidRDefault="00F70CA5" w:rsidP="00F70CA5">
      <w:pPr>
        <w:jc w:val="both"/>
        <w:rPr>
          <w:rFonts w:ascii="Times New Roman" w:hAnsi="Times New Roman"/>
          <w:i/>
          <w:color w:val="1F3864"/>
        </w:rPr>
      </w:pPr>
    </w:p>
    <w:p w:rsidR="00766D3C" w:rsidRDefault="00766D3C" w:rsidP="00F70CA5">
      <w:pPr>
        <w:jc w:val="both"/>
        <w:rPr>
          <w:rFonts w:ascii="Times New Roman" w:hAnsi="Times New Roman"/>
          <w:i/>
          <w:color w:val="1F497D"/>
        </w:rPr>
      </w:pPr>
    </w:p>
    <w:p w:rsidR="00F70CA5" w:rsidRPr="00F70CA5" w:rsidRDefault="00F70CA5" w:rsidP="00F70CA5">
      <w:pPr>
        <w:jc w:val="both"/>
        <w:rPr>
          <w:rFonts w:ascii="Times New Roman" w:hAnsi="Times New Roman"/>
          <w:i/>
          <w:color w:val="1F497D"/>
        </w:rPr>
      </w:pPr>
      <w:r w:rsidRPr="00F70CA5">
        <w:rPr>
          <w:rFonts w:ascii="Times New Roman" w:hAnsi="Times New Roman"/>
          <w:i/>
          <w:color w:val="1F497D"/>
        </w:rPr>
        <w:lastRenderedPageBreak/>
        <w:t>FY 2017:</w:t>
      </w:r>
    </w:p>
    <w:p w:rsidR="00F70CA5" w:rsidRPr="00F70CA5" w:rsidRDefault="00F70CA5" w:rsidP="00F70CA5">
      <w:pPr>
        <w:jc w:val="both"/>
        <w:rPr>
          <w:rFonts w:ascii="Times New Roman" w:hAnsi="Times New Roman"/>
          <w:i/>
          <w:color w:val="1F3864"/>
        </w:rPr>
      </w:pPr>
    </w:p>
    <w:p w:rsidR="00E7094C" w:rsidRPr="00E7094C" w:rsidRDefault="00F70CA5" w:rsidP="00F70CA5">
      <w:pPr>
        <w:jc w:val="both"/>
        <w:rPr>
          <w:rFonts w:ascii="Times New Roman" w:hAnsi="Times New Roman"/>
          <w:b/>
          <w:sz w:val="36"/>
          <w:szCs w:val="36"/>
        </w:rPr>
      </w:pPr>
      <w:r w:rsidRPr="00823B07">
        <w:rPr>
          <w:rFonts w:ascii="Times New Roman" w:hAnsi="Times New Roman"/>
        </w:rPr>
        <w:t>No funding wave for FY 2017 was released last week, perhaps to avoid any conflicts with the release of Wave 1 for FY 2018.  Cumulative national funding currently stands at $2.26 billion.</w:t>
      </w:r>
    </w:p>
    <w:p w:rsidR="00766D3C" w:rsidRPr="00766D3C" w:rsidRDefault="00766D3C" w:rsidP="00835C19">
      <w:pPr>
        <w:jc w:val="both"/>
        <w:rPr>
          <w:rFonts w:ascii="Times New Roman" w:hAnsi="Times New Roman"/>
          <w:b/>
          <w:color w:val="1F497D"/>
          <w:sz w:val="36"/>
          <w:szCs w:val="36"/>
        </w:rPr>
      </w:pPr>
      <w:bookmarkStart w:id="2" w:name="_Hlk509760088"/>
      <w:bookmarkStart w:id="3" w:name="_Hlk508555962"/>
      <w:bookmarkStart w:id="4" w:name="_Hlk509068311"/>
      <w:bookmarkStart w:id="5" w:name="_Hlk509069254"/>
    </w:p>
    <w:bookmarkEnd w:id="2"/>
    <w:bookmarkEnd w:id="3"/>
    <w:bookmarkEnd w:id="4"/>
    <w:bookmarkEnd w:id="5"/>
    <w:p w:rsidR="00C901CD" w:rsidRPr="002022A6" w:rsidRDefault="00C901CD" w:rsidP="00C901CD">
      <w:pPr>
        <w:jc w:val="both"/>
        <w:rPr>
          <w:rFonts w:ascii="Times New Roman" w:hAnsi="Times New Roman"/>
          <w:b/>
          <w:color w:val="1F497D"/>
        </w:rPr>
      </w:pPr>
      <w:r w:rsidRPr="002022A6">
        <w:rPr>
          <w:rFonts w:ascii="Times New Roman" w:hAnsi="Times New Roman"/>
          <w:b/>
          <w:color w:val="1F497D"/>
        </w:rPr>
        <w:t>Updates on USAC’s E-Rate Productivity Center and Legacy System</w:t>
      </w:r>
    </w:p>
    <w:p w:rsidR="00C901CD" w:rsidRPr="002022A6" w:rsidRDefault="00C901CD" w:rsidP="00C901CD">
      <w:pPr>
        <w:jc w:val="both"/>
        <w:rPr>
          <w:rFonts w:ascii="Times New Roman" w:hAnsi="Times New Roman"/>
          <w:i/>
          <w:color w:val="1F497D"/>
          <w:shd w:val="clear" w:color="auto" w:fill="FFFFFF"/>
        </w:rPr>
      </w:pPr>
      <w:bookmarkStart w:id="6" w:name="_Hlk500510421"/>
    </w:p>
    <w:p w:rsidR="00C901CD" w:rsidRPr="002022A6" w:rsidRDefault="00C901CD" w:rsidP="00C901CD">
      <w:pPr>
        <w:jc w:val="both"/>
        <w:rPr>
          <w:rFonts w:ascii="Times New Roman" w:hAnsi="Times New Roman"/>
          <w:i/>
          <w:color w:val="1F497D"/>
          <w:shd w:val="clear" w:color="auto" w:fill="FFFFFF"/>
        </w:rPr>
      </w:pPr>
      <w:bookmarkStart w:id="7" w:name="_Hlk508979595"/>
      <w:r w:rsidRPr="002022A6">
        <w:rPr>
          <w:rFonts w:ascii="Times New Roman" w:hAnsi="Times New Roman"/>
          <w:i/>
          <w:color w:val="1F497D"/>
          <w:shd w:val="clear" w:color="auto" w:fill="FFFFFF"/>
        </w:rPr>
        <w:t>New PDF Versions of FCDL and RFCDL for FY 2018:</w:t>
      </w:r>
    </w:p>
    <w:p w:rsidR="00C901CD" w:rsidRPr="002022A6" w:rsidRDefault="00C901CD" w:rsidP="00C901CD">
      <w:pPr>
        <w:jc w:val="both"/>
        <w:rPr>
          <w:rFonts w:ascii="Times New Roman" w:hAnsi="Times New Roman"/>
          <w:i/>
          <w:color w:val="1F497D"/>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With the first wave of FY 2018 funding, USAC unveiled a new and much improved PDF version of the Funding Commitment Decision Letter (“FCDL”).  A similar version of the Revised Funding Commitment Decision Letter (“RFCDL”) will be available to handle post-commitment decisions.</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spacing w:after="200"/>
        <w:jc w:val="both"/>
        <w:rPr>
          <w:rFonts w:ascii="Times New Roman" w:hAnsi="Times New Roman"/>
          <w:shd w:val="clear" w:color="auto" w:fill="FFFFFF"/>
        </w:rPr>
      </w:pPr>
      <w:r w:rsidRPr="002022A6">
        <w:rPr>
          <w:rFonts w:ascii="Times New Roman" w:hAnsi="Times New Roman"/>
          <w:shd w:val="clear" w:color="auto" w:fill="FFFFFF"/>
        </w:rPr>
        <w:t>Previously, funding decisions as displayed in the EPC News feed consisted of boilerplate text, a funding summary, and a downloadable spreadsheet.  The new PDF version is well-formatted and includes an introductory page showing the total application commitment.</w:t>
      </w:r>
    </w:p>
    <w:p w:rsidR="00C901CD" w:rsidRPr="002022A6" w:rsidRDefault="003300E6" w:rsidP="00C901CD">
      <w:pPr>
        <w:ind w:left="2160"/>
        <w:jc w:val="both"/>
        <w:rPr>
          <w:rFonts w:ascii="Times New Roman" w:hAnsi="Times New Roman"/>
          <w:shd w:val="clear" w:color="auto" w:fill="FFFFFF"/>
        </w:rPr>
      </w:pPr>
      <w:r>
        <w:rPr>
          <w:noProof/>
        </w:rPr>
        <w:pict>
          <v:shape id="Picture 1" o:spid="_x0000_i1029" type="#_x0000_t75" style="width:252.6pt;height:309.6pt;visibility:visible;mso-wrap-style:square">
            <v:imagedata r:id="rId10" o:title=""/>
          </v:shape>
        </w:pict>
      </w: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ab/>
      </w:r>
      <w:r w:rsidRPr="002022A6">
        <w:rPr>
          <w:rFonts w:ascii="Times New Roman" w:hAnsi="Times New Roman"/>
          <w:shd w:val="clear" w:color="auto" w:fill="FFFFFF"/>
        </w:rPr>
        <w:tab/>
      </w:r>
      <w:r w:rsidRPr="002022A6">
        <w:rPr>
          <w:rFonts w:ascii="Times New Roman" w:hAnsi="Times New Roman"/>
          <w:shd w:val="clear" w:color="auto" w:fill="FFFFFF"/>
        </w:rPr>
        <w:tab/>
      </w:r>
      <w:r w:rsidRPr="002022A6">
        <w:rPr>
          <w:rFonts w:ascii="Times New Roman" w:hAnsi="Times New Roman"/>
          <w:shd w:val="clear" w:color="auto" w:fill="FFFFFF"/>
        </w:rPr>
        <w:tab/>
      </w: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Details of the initial funding decisions are shown on a subsequent page.</w:t>
      </w:r>
    </w:p>
    <w:p w:rsidR="00C901CD" w:rsidRPr="002022A6" w:rsidRDefault="00C901CD" w:rsidP="00C901CD">
      <w:pPr>
        <w:jc w:val="both"/>
        <w:rPr>
          <w:rFonts w:ascii="Times New Roman" w:hAnsi="Times New Roman"/>
          <w:sz w:val="20"/>
          <w:szCs w:val="20"/>
          <w:shd w:val="clear" w:color="auto" w:fill="FFFFFF"/>
        </w:rPr>
      </w:pPr>
    </w:p>
    <w:p w:rsidR="00C901CD" w:rsidRPr="002022A6" w:rsidRDefault="003300E6" w:rsidP="00C901CD">
      <w:pPr>
        <w:ind w:left="2160"/>
        <w:jc w:val="both"/>
        <w:rPr>
          <w:rFonts w:ascii="Times New Roman" w:hAnsi="Times New Roman"/>
          <w:shd w:val="clear" w:color="auto" w:fill="FFFFFF"/>
        </w:rPr>
      </w:pPr>
      <w:r>
        <w:rPr>
          <w:noProof/>
        </w:rPr>
        <w:lastRenderedPageBreak/>
        <w:pict>
          <v:shape id="Picture 8" o:spid="_x0000_i1030" type="#_x0000_t75" style="width:242.4pt;height:179.4pt;visibility:visible;mso-wrap-style:square">
            <v:imagedata r:id="rId11" o:title=""/>
          </v:shape>
        </w:pict>
      </w:r>
    </w:p>
    <w:p w:rsidR="00C901CD" w:rsidRPr="002022A6" w:rsidRDefault="00C901CD" w:rsidP="00C901CD">
      <w:pPr>
        <w:spacing w:before="240" w:after="200"/>
        <w:jc w:val="both"/>
        <w:rPr>
          <w:rFonts w:ascii="Times New Roman" w:hAnsi="Times New Roman"/>
          <w:shd w:val="clear" w:color="auto" w:fill="FFFFFF"/>
        </w:rPr>
      </w:pPr>
      <w:r w:rsidRPr="002022A6">
        <w:rPr>
          <w:rFonts w:ascii="Times New Roman" w:hAnsi="Times New Roman"/>
          <w:shd w:val="clear" w:color="auto" w:fill="FFFFFF"/>
        </w:rPr>
        <w:t>The RFCDL format will be similar, but with an additional detail column to show the type of request.</w:t>
      </w: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ab/>
      </w:r>
      <w:r w:rsidRPr="002022A6">
        <w:rPr>
          <w:rFonts w:ascii="Times New Roman" w:hAnsi="Times New Roman"/>
          <w:shd w:val="clear" w:color="auto" w:fill="FFFFFF"/>
        </w:rPr>
        <w:tab/>
      </w:r>
      <w:r w:rsidRPr="002022A6">
        <w:rPr>
          <w:rFonts w:ascii="Times New Roman" w:hAnsi="Times New Roman"/>
          <w:shd w:val="clear" w:color="auto" w:fill="FFFFFF"/>
        </w:rPr>
        <w:tab/>
      </w:r>
      <w:r w:rsidR="003300E6">
        <w:rPr>
          <w:noProof/>
        </w:rPr>
        <w:pict>
          <v:shape id="Picture 3" o:spid="_x0000_i1031" type="#_x0000_t75" style="width:236.4pt;height:108.6pt;visibility:visible;mso-wrap-style:square">
            <v:imagedata r:id="rId12" o:title=""/>
          </v:shape>
        </w:pic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 xml:space="preserve">One important point to note concerning the new FCDL is that a notice and copy of the PDF will be emailed only to the person who </w:t>
      </w:r>
      <w:r w:rsidRPr="002022A6">
        <w:rPr>
          <w:rFonts w:ascii="Times New Roman" w:hAnsi="Times New Roman"/>
          <w:u w:val="single"/>
          <w:shd w:val="clear" w:color="auto" w:fill="FFFFFF"/>
        </w:rPr>
        <w:t>certified</w:t>
      </w:r>
      <w:r w:rsidRPr="002022A6">
        <w:rPr>
          <w:rFonts w:ascii="Times New Roman" w:hAnsi="Times New Roman"/>
          <w:shd w:val="clear" w:color="auto" w:fill="FFFFFF"/>
        </w:rPr>
        <w:t xml:space="preserve"> the associated Form 471 application.  In many cases, the certifier is not the person most responsible for the day-to-day E-rate work.  Although every authorized EPC user will have access to the new FCDL through the EPC News feed, key E-rate personnel may not be made aware of funding approval.  Because appeal and Form 486 deadlines are determined by the FCDL date, delayed recognition of funding approval could be problematic.</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This is not the first time that USAC has chosen to notify certifiers, not E-rate contacts, of important decisions — and it may not be the last.  As a safeguard, applicants designating separate people for form certifications may want to establish message forwarding rules in their email systems to automatically send copies of emails from usac.org to the appropriate E-rate contacts.</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i/>
          <w:color w:val="1F497D"/>
          <w:shd w:val="clear" w:color="auto" w:fill="FFFFFF"/>
        </w:rPr>
      </w:pPr>
      <w:r w:rsidRPr="002022A6">
        <w:rPr>
          <w:rFonts w:ascii="Times New Roman" w:hAnsi="Times New Roman"/>
          <w:i/>
          <w:color w:val="1F497D"/>
          <w:shd w:val="clear" w:color="auto" w:fill="FFFFFF"/>
        </w:rPr>
        <w:t>Form 486 for FY 2018:</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 xml:space="preserve">Coincident with the first funding wave, USAC updated EPC to permit the filing and certification of Form 486s for approved applications.  Note that the general timing rule for filing Form 486s is that they should not be filed until services have started.  However, there is an exception — and a special certification — for applications approved before the start of the funding year.  The first certification permits applicants to file early Form 486s </w:t>
      </w:r>
      <w:r w:rsidRPr="002022A6">
        <w:rPr>
          <w:rFonts w:ascii="Times New Roman" w:hAnsi="Times New Roman"/>
          <w:b/>
          <w:shd w:val="clear" w:color="auto" w:fill="FFFFFF"/>
        </w:rPr>
        <w:t>if</w:t>
      </w:r>
      <w:r w:rsidRPr="002022A6">
        <w:rPr>
          <w:rFonts w:ascii="Times New Roman" w:hAnsi="Times New Roman"/>
          <w:shd w:val="clear" w:color="auto" w:fill="FFFFFF"/>
        </w:rPr>
        <w:t xml:space="preserve"> services will begin on or after July 1st, but at least by July 31</w:t>
      </w:r>
      <w:r w:rsidRPr="002022A6">
        <w:rPr>
          <w:rFonts w:ascii="Times New Roman" w:hAnsi="Times New Roman"/>
          <w:shd w:val="clear" w:color="auto" w:fill="FFFFFF"/>
          <w:vertAlign w:val="superscript"/>
        </w:rPr>
        <w:t>st</w:t>
      </w:r>
      <w:r w:rsidRPr="002022A6">
        <w:rPr>
          <w:rFonts w:ascii="Times New Roman" w:hAnsi="Times New Roman"/>
          <w:shd w:val="clear" w:color="auto" w:fill="FFFFFF"/>
        </w:rPr>
        <w:t xml:space="preserve">.  Early filing of Form 486s for approved applications is advantageous </w:t>
      </w:r>
      <w:r w:rsidRPr="002022A6">
        <w:rPr>
          <w:rFonts w:ascii="Times New Roman" w:hAnsi="Times New Roman"/>
          <w:shd w:val="clear" w:color="auto" w:fill="FFFFFF"/>
        </w:rPr>
        <w:lastRenderedPageBreak/>
        <w:t>particularly for applicants seeking discounted bills on recurring services because it gives their vendors time to set up their invoicing systems in time to provide discounts on July’s bills.</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In previous years, applicants filing early Form 486s had to be careful to not mistakenly enter Service Start Dates (“SSDs”) before July 1</w:t>
      </w:r>
      <w:r w:rsidRPr="002022A6">
        <w:rPr>
          <w:rFonts w:ascii="Times New Roman" w:hAnsi="Times New Roman"/>
          <w:shd w:val="clear" w:color="auto" w:fill="FFFFFF"/>
          <w:vertAlign w:val="superscript"/>
        </w:rPr>
        <w:t>st</w:t>
      </w:r>
      <w:r w:rsidRPr="002022A6">
        <w:rPr>
          <w:rFonts w:ascii="Times New Roman" w:hAnsi="Times New Roman"/>
          <w:shd w:val="clear" w:color="auto" w:fill="FFFFFF"/>
        </w:rPr>
        <w:t xml:space="preserve"> of the upcoming funding year.  Pre-July SSDs on Form 486s — allowed within EPC, but not under E-rate rules — would flag those Form 486s for review.  Early SSDs were correctable errors, but required PIA review and typically delayed Form 486 approvals.  For FY 2018, USAC has smartly modified EPC to only accept SSDs of July 1</w:t>
      </w:r>
      <w:r w:rsidRPr="002022A6">
        <w:rPr>
          <w:rFonts w:ascii="Times New Roman" w:hAnsi="Times New Roman"/>
          <w:shd w:val="clear" w:color="auto" w:fill="FFFFFF"/>
          <w:vertAlign w:val="superscript"/>
        </w:rPr>
        <w:t>st</w:t>
      </w:r>
      <w:r w:rsidRPr="002022A6">
        <w:rPr>
          <w:rFonts w:ascii="Times New Roman" w:hAnsi="Times New Roman"/>
          <w:shd w:val="clear" w:color="auto" w:fill="FFFFFF"/>
        </w:rPr>
        <w:t xml:space="preserve"> or later.</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shd w:val="clear" w:color="auto" w:fill="FFFFFF"/>
        </w:rPr>
      </w:pPr>
      <w:r w:rsidRPr="002022A6">
        <w:rPr>
          <w:rFonts w:ascii="Times New Roman" w:hAnsi="Times New Roman"/>
          <w:shd w:val="clear" w:color="auto" w:fill="FFFFFF"/>
        </w:rPr>
        <w:t>In addition to enabling the Form 486 for FY 2018, and fixing the filing process to avoid SSD errors, USAC is already approving many submitted Form 486s and issuing approval notification letters such as the following:</w:t>
      </w:r>
    </w:p>
    <w:p w:rsidR="00C901CD" w:rsidRPr="002022A6" w:rsidRDefault="00C901CD" w:rsidP="00C901CD">
      <w:pPr>
        <w:jc w:val="both"/>
        <w:rPr>
          <w:rFonts w:ascii="Times New Roman" w:hAnsi="Times New Roman"/>
          <w:sz w:val="20"/>
          <w:szCs w:val="20"/>
          <w:shd w:val="clear" w:color="auto" w:fill="FFFFFF"/>
        </w:rPr>
      </w:pPr>
    </w:p>
    <w:p w:rsidR="00C901CD" w:rsidRPr="002022A6" w:rsidRDefault="003300E6" w:rsidP="00C901CD">
      <w:pPr>
        <w:ind w:left="2160"/>
        <w:jc w:val="both"/>
        <w:rPr>
          <w:rFonts w:ascii="Times New Roman" w:hAnsi="Times New Roman"/>
          <w:shd w:val="clear" w:color="auto" w:fill="FFFFFF"/>
        </w:rPr>
      </w:pPr>
      <w:r>
        <w:rPr>
          <w:noProof/>
        </w:rPr>
        <w:pict>
          <v:shape id="Picture 9" o:spid="_x0000_i1032" type="#_x0000_t75" style="width:240pt;height:150pt;visibility:visible;mso-wrap-style:square">
            <v:imagedata r:id="rId13" o:title="SNAGHTMLc4e2184"/>
          </v:shape>
        </w:pict>
      </w:r>
    </w:p>
    <w:bookmarkEnd w:id="6"/>
    <w:bookmarkEnd w:id="7"/>
    <w:p w:rsidR="00C901CD" w:rsidRPr="002022A6" w:rsidRDefault="00C901CD" w:rsidP="00C901CD">
      <w:pPr>
        <w:jc w:val="both"/>
        <w:rPr>
          <w:rFonts w:ascii="Times New Roman" w:hAnsi="Times New Roman"/>
          <w:b/>
          <w:color w:val="1F497D"/>
          <w:sz w:val="36"/>
          <w:szCs w:val="36"/>
          <w:highlight w:val="yellow"/>
        </w:rPr>
      </w:pPr>
    </w:p>
    <w:p w:rsidR="00C901CD" w:rsidRPr="002022A6" w:rsidRDefault="00C901CD" w:rsidP="00C901CD">
      <w:pPr>
        <w:jc w:val="both"/>
        <w:rPr>
          <w:rFonts w:ascii="Times New Roman" w:hAnsi="Times New Roman"/>
          <w:b/>
          <w:color w:val="1F497D"/>
        </w:rPr>
      </w:pPr>
      <w:r w:rsidRPr="002022A6">
        <w:rPr>
          <w:rFonts w:ascii="Times New Roman" w:hAnsi="Times New Roman"/>
          <w:b/>
          <w:color w:val="1F497D"/>
        </w:rPr>
        <w:t>E-Rate Updates and Reminders</w:t>
      </w:r>
    </w:p>
    <w:p w:rsidR="00C901CD" w:rsidRPr="002022A6" w:rsidRDefault="00C901CD" w:rsidP="00C901CD">
      <w:pPr>
        <w:jc w:val="both"/>
        <w:rPr>
          <w:rFonts w:ascii="Times New Roman" w:hAnsi="Times New Roman"/>
        </w:rPr>
      </w:pPr>
    </w:p>
    <w:p w:rsidR="00C901CD" w:rsidRPr="002022A6" w:rsidRDefault="00C901CD" w:rsidP="00C901CD">
      <w:pPr>
        <w:jc w:val="both"/>
        <w:rPr>
          <w:rFonts w:ascii="Times New Roman" w:hAnsi="Times New Roman"/>
          <w:i/>
          <w:color w:val="1F497D"/>
        </w:rPr>
      </w:pPr>
      <w:r w:rsidRPr="002022A6">
        <w:rPr>
          <w:rFonts w:ascii="Times New Roman" w:hAnsi="Times New Roman"/>
          <w:i/>
          <w:color w:val="1F497D"/>
        </w:rPr>
        <w:t>Upcoming 2018 E-Rate Dates:</w:t>
      </w:r>
    </w:p>
    <w:p w:rsidR="00C901CD" w:rsidRPr="002022A6" w:rsidRDefault="00C901CD" w:rsidP="00C901CD">
      <w:pPr>
        <w:jc w:val="both"/>
        <w:outlineLvl w:val="0"/>
        <w:rPr>
          <w:rFonts w:ascii="Times New Roman" w:hAnsi="Times New Roman"/>
          <w:color w:val="000000"/>
        </w:rPr>
      </w:pPr>
    </w:p>
    <w:p w:rsidR="00C901CD" w:rsidRPr="002022A6" w:rsidRDefault="00C901CD" w:rsidP="00C901CD">
      <w:pPr>
        <w:spacing w:after="120"/>
        <w:ind w:left="1800" w:hanging="1800"/>
        <w:jc w:val="both"/>
        <w:outlineLvl w:val="0"/>
        <w:rPr>
          <w:rFonts w:ascii="Times New Roman" w:hAnsi="Times New Roman"/>
          <w:color w:val="000000"/>
        </w:rPr>
      </w:pPr>
      <w:r w:rsidRPr="002022A6">
        <w:rPr>
          <w:rFonts w:ascii="Times New Roman" w:hAnsi="Times New Roman"/>
          <w:color w:val="000000"/>
        </w:rPr>
        <w:t>April 23</w:t>
      </w:r>
      <w:r w:rsidRPr="002022A6">
        <w:rPr>
          <w:rFonts w:ascii="Times New Roman" w:hAnsi="Times New Roman"/>
          <w:color w:val="000000"/>
        </w:rPr>
        <w:tab/>
        <w:t xml:space="preserve">FY 2017 </w:t>
      </w:r>
      <w:r w:rsidRPr="002022A6">
        <w:rPr>
          <w:rFonts w:ascii="Times New Roman" w:hAnsi="Times New Roman"/>
        </w:rPr>
        <w:t xml:space="preserve">Form 486 deadline for funding committed in Wave 30.  </w:t>
      </w:r>
      <w:r w:rsidRPr="002022A6">
        <w:rPr>
          <w:rFonts w:ascii="Times New Roman" w:hAnsi="Times New Roman"/>
          <w:color w:val="000000"/>
        </w:rPr>
        <w:t>Other upcoming Form 486 deadlines include:</w:t>
      </w:r>
    </w:p>
    <w:p w:rsidR="00C901CD" w:rsidRPr="002022A6" w:rsidRDefault="00C901CD" w:rsidP="00C901CD">
      <w:pPr>
        <w:tabs>
          <w:tab w:val="left" w:pos="3240"/>
          <w:tab w:val="left" w:pos="5040"/>
        </w:tabs>
        <w:jc w:val="both"/>
        <w:outlineLvl w:val="0"/>
        <w:rPr>
          <w:rFonts w:ascii="Times New Roman" w:hAnsi="Times New Roman"/>
          <w:color w:val="000000"/>
          <w:lang w:bidi="ar-SA"/>
        </w:rPr>
      </w:pPr>
      <w:r w:rsidRPr="002022A6">
        <w:rPr>
          <w:rFonts w:ascii="Times New Roman" w:hAnsi="Times New Roman"/>
          <w:color w:val="000000"/>
          <w:lang w:bidi="ar-SA"/>
        </w:rPr>
        <w:tab/>
        <w:t>Wave 31</w:t>
      </w:r>
      <w:r w:rsidRPr="002022A6">
        <w:rPr>
          <w:rFonts w:ascii="Times New Roman" w:hAnsi="Times New Roman"/>
          <w:color w:val="000000"/>
          <w:lang w:bidi="ar-SA"/>
        </w:rPr>
        <w:tab/>
        <w:t>04/30/2018</w:t>
      </w:r>
    </w:p>
    <w:p w:rsidR="00C901CD" w:rsidRPr="002022A6" w:rsidRDefault="00C901CD" w:rsidP="00C901CD">
      <w:pPr>
        <w:tabs>
          <w:tab w:val="left" w:pos="3240"/>
          <w:tab w:val="left" w:pos="5040"/>
        </w:tabs>
        <w:jc w:val="both"/>
        <w:outlineLvl w:val="0"/>
        <w:rPr>
          <w:rFonts w:ascii="Times New Roman" w:hAnsi="Times New Roman"/>
          <w:color w:val="000000"/>
          <w:lang w:bidi="ar-SA"/>
        </w:rPr>
      </w:pPr>
      <w:r w:rsidRPr="002022A6">
        <w:rPr>
          <w:rFonts w:ascii="Times New Roman" w:hAnsi="Times New Roman"/>
          <w:color w:val="000000"/>
          <w:lang w:bidi="ar-SA"/>
        </w:rPr>
        <w:tab/>
        <w:t>Wave 32</w:t>
      </w:r>
      <w:r w:rsidRPr="002022A6">
        <w:rPr>
          <w:rFonts w:ascii="Times New Roman" w:hAnsi="Times New Roman"/>
          <w:color w:val="000000"/>
          <w:lang w:bidi="ar-SA"/>
        </w:rPr>
        <w:tab/>
        <w:t>05/04/2018</w:t>
      </w:r>
    </w:p>
    <w:p w:rsidR="00C901CD" w:rsidRPr="002022A6" w:rsidRDefault="00C901CD" w:rsidP="00C901CD">
      <w:pPr>
        <w:tabs>
          <w:tab w:val="left" w:pos="3240"/>
          <w:tab w:val="left" w:pos="5040"/>
        </w:tabs>
        <w:jc w:val="both"/>
        <w:outlineLvl w:val="0"/>
        <w:rPr>
          <w:rFonts w:ascii="Times New Roman" w:hAnsi="Times New Roman"/>
          <w:color w:val="000000"/>
          <w:lang w:bidi="ar-SA"/>
        </w:rPr>
      </w:pPr>
      <w:r w:rsidRPr="002022A6">
        <w:rPr>
          <w:rFonts w:ascii="Times New Roman" w:hAnsi="Times New Roman"/>
          <w:color w:val="000000"/>
          <w:lang w:bidi="ar-SA"/>
        </w:rPr>
        <w:tab/>
        <w:t>Wave 33</w:t>
      </w:r>
      <w:r w:rsidRPr="002022A6">
        <w:rPr>
          <w:rFonts w:ascii="Times New Roman" w:hAnsi="Times New Roman"/>
          <w:color w:val="000000"/>
          <w:lang w:bidi="ar-SA"/>
        </w:rPr>
        <w:tab/>
        <w:t>05/07/2018</w:t>
      </w:r>
    </w:p>
    <w:p w:rsidR="00C901CD" w:rsidRPr="002022A6" w:rsidRDefault="00C901CD" w:rsidP="00C901CD">
      <w:pPr>
        <w:tabs>
          <w:tab w:val="left" w:pos="3240"/>
          <w:tab w:val="left" w:pos="5040"/>
        </w:tabs>
        <w:spacing w:before="120"/>
        <w:ind w:left="1800"/>
        <w:jc w:val="both"/>
        <w:outlineLvl w:val="0"/>
        <w:rPr>
          <w:rFonts w:ascii="Times New Roman" w:hAnsi="Times New Roman"/>
          <w:color w:val="000000"/>
          <w:lang w:bidi="ar-SA"/>
        </w:rPr>
      </w:pPr>
      <w:r w:rsidRPr="002022A6">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C901CD" w:rsidRPr="002022A6" w:rsidRDefault="00C901CD" w:rsidP="00C901CD">
      <w:pPr>
        <w:ind w:left="1800" w:hanging="1800"/>
        <w:jc w:val="both"/>
        <w:outlineLvl w:val="0"/>
        <w:rPr>
          <w:rFonts w:ascii="Times New Roman" w:hAnsi="Times New Roman"/>
          <w:color w:val="000000"/>
          <w:lang w:bidi="ar-SA"/>
        </w:rPr>
      </w:pPr>
    </w:p>
    <w:p w:rsidR="00C901CD" w:rsidRPr="002022A6" w:rsidRDefault="00C901CD" w:rsidP="00C901CD">
      <w:pPr>
        <w:ind w:left="1800" w:hanging="1800"/>
        <w:jc w:val="both"/>
        <w:outlineLvl w:val="0"/>
        <w:rPr>
          <w:rFonts w:ascii="Times New Roman" w:hAnsi="Times New Roman"/>
          <w:color w:val="000000"/>
          <w:lang w:bidi="ar-SA"/>
        </w:rPr>
      </w:pPr>
      <w:r w:rsidRPr="002022A6">
        <w:rPr>
          <w:rFonts w:ascii="Times New Roman" w:hAnsi="Times New Roman"/>
          <w:color w:val="000000"/>
          <w:lang w:bidi="ar-SA"/>
        </w:rPr>
        <w:t>May 23</w:t>
      </w:r>
      <w:r w:rsidRPr="002022A6">
        <w:rPr>
          <w:rFonts w:ascii="Times New Roman" w:hAnsi="Times New Roman"/>
          <w:color w:val="000000"/>
          <w:lang w:bidi="ar-SA"/>
        </w:rPr>
        <w:tab/>
        <w:t xml:space="preserve">USAC webinar on </w:t>
      </w:r>
      <w:hyperlink r:id="rId14" w:history="1">
        <w:r w:rsidRPr="002022A6">
          <w:rPr>
            <w:rFonts w:ascii="Times New Roman" w:hAnsi="Times New Roman"/>
            <w:color w:val="0000FF"/>
            <w:u w:val="single"/>
            <w:lang w:bidi="ar-SA"/>
          </w:rPr>
          <w:t>Filing FCC Form 486</w:t>
        </w:r>
      </w:hyperlink>
      <w:r w:rsidRPr="002022A6">
        <w:rPr>
          <w:rFonts w:ascii="Times New Roman" w:hAnsi="Times New Roman"/>
          <w:color w:val="000000"/>
          <w:lang w:bidi="ar-SA"/>
        </w:rPr>
        <w:t>.</w:t>
      </w:r>
    </w:p>
    <w:p w:rsidR="00C901CD" w:rsidRPr="002022A6" w:rsidRDefault="00C901CD" w:rsidP="00C901CD">
      <w:pPr>
        <w:ind w:left="1800" w:hanging="1800"/>
        <w:jc w:val="both"/>
        <w:outlineLvl w:val="0"/>
        <w:rPr>
          <w:rFonts w:ascii="Times New Roman" w:hAnsi="Times New Roman"/>
          <w:color w:val="000000"/>
          <w:lang w:bidi="ar-SA"/>
        </w:rPr>
      </w:pPr>
    </w:p>
    <w:p w:rsidR="00C901CD" w:rsidRPr="002022A6" w:rsidRDefault="00C901CD" w:rsidP="00C901CD">
      <w:pPr>
        <w:ind w:left="1800" w:hanging="1800"/>
        <w:jc w:val="both"/>
        <w:outlineLvl w:val="0"/>
        <w:rPr>
          <w:rFonts w:ascii="Times New Roman" w:hAnsi="Times New Roman"/>
          <w:color w:val="000000"/>
          <w:lang w:bidi="ar-SA"/>
        </w:rPr>
      </w:pPr>
      <w:r w:rsidRPr="002022A6">
        <w:rPr>
          <w:rFonts w:ascii="Times New Roman" w:hAnsi="Times New Roman"/>
          <w:color w:val="000000"/>
          <w:lang w:bidi="ar-SA"/>
        </w:rPr>
        <w:t>June 20</w:t>
      </w:r>
      <w:r w:rsidRPr="002022A6">
        <w:rPr>
          <w:rFonts w:ascii="Times New Roman" w:hAnsi="Times New Roman"/>
          <w:color w:val="000000"/>
          <w:lang w:bidi="ar-SA"/>
        </w:rPr>
        <w:tab/>
        <w:t xml:space="preserve">USAC webinar on </w:t>
      </w:r>
      <w:hyperlink r:id="rId15" w:history="1">
        <w:r w:rsidRPr="002022A6">
          <w:rPr>
            <w:rFonts w:ascii="Times New Roman" w:hAnsi="Times New Roman"/>
            <w:color w:val="0000FF"/>
            <w:u w:val="single"/>
            <w:lang w:bidi="ar-SA"/>
          </w:rPr>
          <w:t>Understanding Post-Commitment Actions</w:t>
        </w:r>
      </w:hyperlink>
      <w:r w:rsidRPr="002022A6">
        <w:rPr>
          <w:rFonts w:ascii="Times New Roman" w:hAnsi="Times New Roman"/>
          <w:color w:val="000000"/>
          <w:lang w:bidi="ar-SA"/>
        </w:rPr>
        <w:t>.</w:t>
      </w:r>
    </w:p>
    <w:p w:rsidR="00C901CD" w:rsidRPr="002022A6" w:rsidRDefault="00C901CD" w:rsidP="00C901CD">
      <w:pPr>
        <w:ind w:left="1800" w:hanging="1800"/>
        <w:jc w:val="both"/>
        <w:rPr>
          <w:rFonts w:ascii="Times New Roman" w:hAnsi="Times New Roman"/>
          <w:color w:val="0000FF"/>
          <w:u w:val="single"/>
          <w:lang w:val="x-none" w:eastAsia="x-none" w:bidi="ar-SA"/>
        </w:rPr>
      </w:pPr>
    </w:p>
    <w:p w:rsidR="00C901CD" w:rsidRDefault="00C901CD" w:rsidP="00C901CD">
      <w:pPr>
        <w:outlineLvl w:val="0"/>
        <w:rPr>
          <w:rFonts w:ascii="Times New Roman" w:hAnsi="Times New Roman"/>
          <w:i/>
          <w:color w:val="44546A"/>
        </w:rPr>
      </w:pPr>
    </w:p>
    <w:p w:rsidR="00C901CD" w:rsidRDefault="00C901CD" w:rsidP="00C901CD">
      <w:pPr>
        <w:outlineLvl w:val="0"/>
        <w:rPr>
          <w:rFonts w:ascii="Times New Roman" w:hAnsi="Times New Roman"/>
          <w:i/>
          <w:color w:val="44546A"/>
        </w:rPr>
      </w:pPr>
    </w:p>
    <w:p w:rsidR="00C901CD" w:rsidRPr="002022A6" w:rsidRDefault="00C901CD" w:rsidP="00C901CD">
      <w:pPr>
        <w:outlineLvl w:val="0"/>
        <w:rPr>
          <w:rFonts w:ascii="Times New Roman" w:hAnsi="Times New Roman"/>
          <w:i/>
          <w:color w:val="44546A"/>
        </w:rPr>
      </w:pPr>
      <w:r w:rsidRPr="002022A6">
        <w:rPr>
          <w:rFonts w:ascii="Times New Roman" w:hAnsi="Times New Roman"/>
          <w:i/>
          <w:color w:val="44546A"/>
        </w:rPr>
        <w:lastRenderedPageBreak/>
        <w:t xml:space="preserve">USAC PIA </w:t>
      </w:r>
      <w:r w:rsidRPr="002022A6">
        <w:rPr>
          <w:rFonts w:ascii="Times New Roman" w:hAnsi="Times New Roman"/>
          <w:i/>
          <w:color w:val="1F497D"/>
        </w:rPr>
        <w:t>Review</w:t>
      </w:r>
      <w:r w:rsidRPr="002022A6">
        <w:rPr>
          <w:rFonts w:ascii="Times New Roman" w:hAnsi="Times New Roman"/>
          <w:i/>
          <w:color w:val="44546A"/>
        </w:rPr>
        <w:t xml:space="preserve"> Webinar:</w:t>
      </w:r>
    </w:p>
    <w:p w:rsidR="00C901CD" w:rsidRPr="002022A6" w:rsidRDefault="00C901CD" w:rsidP="00C901CD">
      <w:pPr>
        <w:outlineLvl w:val="0"/>
        <w:rPr>
          <w:rFonts w:ascii="Times New Roman" w:hAnsi="Times New Roman"/>
          <w:i/>
          <w:color w:val="44546A"/>
        </w:rPr>
      </w:pPr>
    </w:p>
    <w:p w:rsidR="00C901CD" w:rsidRPr="002022A6" w:rsidRDefault="00C901CD" w:rsidP="00C901CD">
      <w:pPr>
        <w:spacing w:after="160"/>
        <w:jc w:val="both"/>
        <w:outlineLvl w:val="0"/>
        <w:rPr>
          <w:rFonts w:ascii="Times New Roman" w:hAnsi="Times New Roman"/>
        </w:rPr>
      </w:pPr>
      <w:r w:rsidRPr="002022A6">
        <w:rPr>
          <w:rFonts w:ascii="Times New Roman" w:hAnsi="Times New Roman"/>
        </w:rPr>
        <w:t>A live webinar on “</w:t>
      </w:r>
      <w:hyperlink r:id="rId16" w:history="1">
        <w:r w:rsidRPr="002022A6">
          <w:rPr>
            <w:rFonts w:ascii="Times New Roman" w:hAnsi="Times New Roman"/>
            <w:color w:val="0000FF"/>
            <w:u w:val="single"/>
          </w:rPr>
          <w:t>Understanding PIA Review</w:t>
        </w:r>
      </w:hyperlink>
      <w:r w:rsidRPr="002022A6">
        <w:rPr>
          <w:rFonts w:ascii="Times New Roman" w:hAnsi="Times New Roman"/>
        </w:rPr>
        <w:t xml:space="preserve">” was conducted by USAC last week and is now available online.  The webinar included a discussion of the new versions of the FCDL and RFCDL discussed above.  Copies of the </w:t>
      </w:r>
      <w:hyperlink r:id="rId17" w:history="1">
        <w:r w:rsidRPr="002022A6">
          <w:rPr>
            <w:rFonts w:ascii="Times New Roman" w:hAnsi="Times New Roman"/>
            <w:color w:val="0000FF"/>
            <w:u w:val="single"/>
          </w:rPr>
          <w:t>webinar slides</w:t>
        </w:r>
      </w:hyperlink>
      <w:r w:rsidRPr="002022A6">
        <w:rPr>
          <w:rFonts w:ascii="Times New Roman" w:hAnsi="Times New Roman"/>
        </w:rPr>
        <w:t xml:space="preserve"> are also available including “Things You Should Know” such as:</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How to include a new contact person not listed on the Form 471.</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How to address identical questions for an entity across multiple applications.</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How to explain taxes and surcharges.</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How to answer questions on entity and discount validations.</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Changes PIA reviewers may make to your application.</w:t>
      </w:r>
    </w:p>
    <w:p w:rsidR="00C901CD" w:rsidRPr="002022A6" w:rsidRDefault="00C901CD" w:rsidP="00C901CD">
      <w:pPr>
        <w:numPr>
          <w:ilvl w:val="0"/>
          <w:numId w:val="49"/>
        </w:numPr>
        <w:spacing w:after="60"/>
        <w:jc w:val="both"/>
        <w:outlineLvl w:val="0"/>
        <w:rPr>
          <w:rFonts w:ascii="Times New Roman" w:hAnsi="Times New Roman"/>
        </w:rPr>
      </w:pPr>
      <w:r w:rsidRPr="002022A6">
        <w:rPr>
          <w:rFonts w:ascii="Times New Roman" w:hAnsi="Times New Roman"/>
        </w:rPr>
        <w:t>How to recognize changes in application status.</w:t>
      </w:r>
    </w:p>
    <w:p w:rsidR="00C901CD" w:rsidRPr="002022A6" w:rsidRDefault="00C901CD" w:rsidP="00C901CD">
      <w:pPr>
        <w:numPr>
          <w:ilvl w:val="0"/>
          <w:numId w:val="49"/>
        </w:numPr>
        <w:spacing w:before="20"/>
        <w:contextualSpacing/>
        <w:jc w:val="both"/>
        <w:outlineLvl w:val="0"/>
        <w:rPr>
          <w:rFonts w:ascii="Times New Roman" w:hAnsi="Times New Roman"/>
        </w:rPr>
      </w:pPr>
      <w:r w:rsidRPr="002022A6">
        <w:rPr>
          <w:rFonts w:ascii="Times New Roman" w:hAnsi="Times New Roman"/>
        </w:rPr>
        <w:t>How to understand “wave ready” status.</w:t>
      </w:r>
    </w:p>
    <w:p w:rsidR="00C901CD" w:rsidRPr="002022A6" w:rsidRDefault="00C901CD" w:rsidP="00C901CD">
      <w:pPr>
        <w:outlineLvl w:val="0"/>
        <w:rPr>
          <w:rFonts w:ascii="Times New Roman" w:hAnsi="Times New Roman"/>
          <w:i/>
          <w:color w:val="44546A"/>
        </w:rPr>
      </w:pPr>
    </w:p>
    <w:p w:rsidR="00C901CD" w:rsidRPr="002022A6" w:rsidRDefault="00C901CD" w:rsidP="00C901CD">
      <w:pPr>
        <w:outlineLvl w:val="0"/>
        <w:rPr>
          <w:rFonts w:ascii="Times New Roman" w:hAnsi="Times New Roman"/>
          <w:i/>
          <w:color w:val="1F497D"/>
        </w:rPr>
      </w:pPr>
      <w:r w:rsidRPr="002022A6">
        <w:rPr>
          <w:rFonts w:ascii="Times New Roman" w:hAnsi="Times New Roman"/>
          <w:i/>
          <w:color w:val="1F497D"/>
        </w:rPr>
        <w:t>FCC Universal Service Monitoring Report:</w:t>
      </w:r>
    </w:p>
    <w:p w:rsidR="00C901CD" w:rsidRPr="002022A6" w:rsidRDefault="00C901CD" w:rsidP="00C901CD">
      <w:pPr>
        <w:outlineLvl w:val="0"/>
        <w:rPr>
          <w:rFonts w:ascii="Times New Roman" w:hAnsi="Times New Roman"/>
          <w:i/>
          <w:color w:val="44546A"/>
        </w:rPr>
      </w:pPr>
    </w:p>
    <w:p w:rsidR="00C901CD" w:rsidRPr="002022A6" w:rsidRDefault="00C901CD" w:rsidP="00C901CD">
      <w:pPr>
        <w:jc w:val="both"/>
        <w:outlineLvl w:val="0"/>
        <w:rPr>
          <w:rFonts w:ascii="Times New Roman" w:hAnsi="Times New Roman"/>
        </w:rPr>
      </w:pPr>
      <w:r w:rsidRPr="002022A6">
        <w:rPr>
          <w:rFonts w:ascii="Times New Roman" w:hAnsi="Times New Roman"/>
        </w:rPr>
        <w:t xml:space="preserve">The FCC released its annual </w:t>
      </w:r>
      <w:hyperlink r:id="rId18" w:history="1">
        <w:r w:rsidRPr="002022A6">
          <w:rPr>
            <w:rFonts w:ascii="Times New Roman" w:hAnsi="Times New Roman"/>
            <w:color w:val="0000FF"/>
            <w:u w:val="single"/>
          </w:rPr>
          <w:t>Universal Service Monitoring Report</w:t>
        </w:r>
      </w:hyperlink>
      <w:r w:rsidRPr="002022A6">
        <w:rPr>
          <w:rFonts w:ascii="Times New Roman" w:hAnsi="Times New Roman"/>
        </w:rPr>
        <w:t xml:space="preserve"> providing detailed data on the Universal Service Fund (“USF”) through September 2017.  Pages 39-41 provide an overview of the Schools and Libraries (“E-rate”) program showing commitments and disbursements since the program’s inception in 1998.  A breakdown by state and applicant type is also provided.</w:t>
      </w:r>
    </w:p>
    <w:p w:rsidR="00C901CD" w:rsidRPr="002022A6" w:rsidRDefault="00C901CD" w:rsidP="00C901CD">
      <w:pPr>
        <w:jc w:val="both"/>
        <w:outlineLvl w:val="0"/>
        <w:rPr>
          <w:rFonts w:ascii="Times New Roman" w:hAnsi="Times New Roman"/>
          <w:sz w:val="36"/>
          <w:szCs w:val="36"/>
          <w:lang w:bidi="ar-SA"/>
        </w:rPr>
      </w:pPr>
    </w:p>
    <w:p w:rsidR="00C901CD" w:rsidRPr="002022A6" w:rsidRDefault="00C901CD" w:rsidP="00C901CD">
      <w:pPr>
        <w:jc w:val="both"/>
        <w:rPr>
          <w:rFonts w:ascii="Times New Roman" w:hAnsi="Times New Roman"/>
          <w:b/>
          <w:color w:val="1F497D"/>
        </w:rPr>
      </w:pPr>
      <w:r w:rsidRPr="002022A6">
        <w:rPr>
          <w:rFonts w:ascii="Times New Roman" w:hAnsi="Times New Roman"/>
          <w:b/>
          <w:color w:val="1F497D"/>
        </w:rPr>
        <w:t>USAC News Brief Dated April 20 – New Format for FCDLs and RFCDLs</w:t>
      </w:r>
    </w:p>
    <w:p w:rsidR="00C901CD" w:rsidRPr="002022A6" w:rsidRDefault="00C901CD" w:rsidP="00C901CD">
      <w:pPr>
        <w:jc w:val="both"/>
        <w:rPr>
          <w:rFonts w:ascii="Times New Roman" w:hAnsi="Times New Roman"/>
          <w:b/>
          <w:color w:val="1F497D"/>
        </w:rPr>
      </w:pPr>
    </w:p>
    <w:p w:rsidR="00C901CD" w:rsidRPr="002022A6" w:rsidRDefault="003300E6" w:rsidP="00C901CD">
      <w:pPr>
        <w:jc w:val="both"/>
        <w:rPr>
          <w:rFonts w:ascii="Times New Roman" w:hAnsi="Times New Roman"/>
          <w:shd w:val="clear" w:color="auto" w:fill="FFFFFF"/>
        </w:rPr>
      </w:pPr>
      <w:hyperlink r:id="rId19" w:history="1">
        <w:r w:rsidR="00C901CD" w:rsidRPr="002022A6">
          <w:rPr>
            <w:rFonts w:ascii="Times New Roman" w:hAnsi="Times New Roman"/>
            <w:color w:val="0000FF"/>
            <w:u w:val="single"/>
          </w:rPr>
          <w:t>USAC’s Schools and Libraries News Brief of April 20, 2018</w:t>
        </w:r>
      </w:hyperlink>
      <w:r w:rsidR="00C901CD" w:rsidRPr="002022A6">
        <w:rPr>
          <w:rFonts w:ascii="Times New Roman" w:hAnsi="Times New Roman"/>
        </w:rPr>
        <w:t xml:space="preserve">, reviews the new format changes to </w:t>
      </w:r>
      <w:r w:rsidR="00C901CD" w:rsidRPr="002022A6">
        <w:rPr>
          <w:rFonts w:ascii="Times New Roman" w:hAnsi="Times New Roman"/>
          <w:shd w:val="clear" w:color="auto" w:fill="FFFFFF"/>
        </w:rPr>
        <w:t>Funding Commitment Decision Letters (“FCDLs”) and Revised Funding Commitment Decision Letter (“RFCDLs”).  Examples of the new formats are shown in the article above.</w:t>
      </w:r>
    </w:p>
    <w:p w:rsidR="00C901CD" w:rsidRPr="002022A6" w:rsidRDefault="00C901CD" w:rsidP="00C901CD">
      <w:pPr>
        <w:jc w:val="both"/>
        <w:rPr>
          <w:rFonts w:ascii="Times New Roman" w:hAnsi="Times New Roman"/>
          <w:shd w:val="clear" w:color="auto" w:fill="FFFFFF"/>
        </w:rPr>
      </w:pPr>
    </w:p>
    <w:p w:rsidR="00C901CD" w:rsidRPr="002022A6" w:rsidRDefault="00C901CD" w:rsidP="00C901CD">
      <w:pPr>
        <w:jc w:val="both"/>
        <w:rPr>
          <w:rFonts w:ascii="Times New Roman" w:hAnsi="Times New Roman"/>
        </w:rPr>
      </w:pPr>
      <w:r w:rsidRPr="002022A6">
        <w:rPr>
          <w:rFonts w:ascii="Times New Roman" w:hAnsi="Times New Roman"/>
        </w:rPr>
        <w:t>FCDLs issued for Wave 1 of FY 2018 used the new format as will future waves for FY 2017.  The newly formatted RFCDLs will be used going forward for FY 2016, FY 2017, and FY 2018.</w:t>
      </w:r>
    </w:p>
    <w:p w:rsidR="00C901CD" w:rsidRPr="002022A6" w:rsidRDefault="00C901CD" w:rsidP="00C901CD">
      <w:pPr>
        <w:jc w:val="both"/>
        <w:rPr>
          <w:rFonts w:ascii="Times New Roman" w:hAnsi="Times New Roman"/>
        </w:rPr>
      </w:pPr>
    </w:p>
    <w:p w:rsidR="00C901CD" w:rsidRPr="002022A6" w:rsidRDefault="00C901CD" w:rsidP="00C901CD">
      <w:pPr>
        <w:jc w:val="both"/>
        <w:rPr>
          <w:rFonts w:ascii="Times New Roman" w:hAnsi="Times New Roman"/>
        </w:rPr>
      </w:pPr>
      <w:r w:rsidRPr="002022A6">
        <w:rPr>
          <w:rFonts w:ascii="Times New Roman" w:hAnsi="Times New Roman"/>
        </w:rPr>
        <w:t xml:space="preserve">Last Friday’s News Brief also indicated that USAC has completed the transition of PIA reviewer email addresses to the new format and domain </w:t>
      </w:r>
      <w:hyperlink r:id="rId20" w:history="1">
        <w:r w:rsidRPr="002022A6">
          <w:rPr>
            <w:rFonts w:ascii="Times New Roman" w:hAnsi="Times New Roman"/>
            <w:color w:val="0000FF"/>
            <w:u w:val="single"/>
          </w:rPr>
          <w:t>firstname.lastname@usac.org</w:t>
        </w:r>
      </w:hyperlink>
      <w:r w:rsidRPr="002022A6">
        <w:rPr>
          <w:rFonts w:ascii="Times New Roman" w:hAnsi="Times New Roman"/>
        </w:rPr>
        <w:t>.</w:t>
      </w:r>
    </w:p>
    <w:p w:rsidR="00835C19" w:rsidRDefault="00835C19" w:rsidP="008332D4">
      <w:pPr>
        <w:jc w:val="both"/>
        <w:rPr>
          <w:rFonts w:ascii="Times New Roman" w:hAnsi="Times New Roman"/>
        </w:rPr>
      </w:pPr>
    </w:p>
    <w:p w:rsidR="00835C19" w:rsidRDefault="00835C19" w:rsidP="008332D4">
      <w:pPr>
        <w:jc w:val="both"/>
        <w:rPr>
          <w:rFonts w:ascii="Times New Roman" w:hAnsi="Times New Roman"/>
        </w:rPr>
      </w:pPr>
    </w:p>
    <w:p w:rsidR="00835C19" w:rsidRDefault="00835C19" w:rsidP="008332D4">
      <w:pPr>
        <w:jc w:val="both"/>
        <w:rPr>
          <w:rFonts w:ascii="Times New Roman" w:hAnsi="Times New Roman"/>
        </w:rPr>
      </w:pPr>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"http://www.e-ratecentral.com/images/icon-twitter.png"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"http://www.e-ratecentral.com/images/icon-twitter.png"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"http://www.e-ratecentral.com/images/icon-twitter.png"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"http://www.e-ratecentral.com/images/icon-twitter.png"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w:instrText>
        </w:r>
        <w:r w:rsidR="003300E6">
          <w:rPr>
            <w:rFonts w:ascii="Verdana" w:hAnsi="Verdana"/>
            <w:color w:val="0000FF"/>
            <w:sz w:val="16"/>
            <w:szCs w:val="16"/>
          </w:rPr>
          <w:instrText>INCLUDEPICTURE  "http://www.e-ratecentral.com/images/icon-twitter.png" \* MERGEFORMATINET</w:instrText>
        </w:r>
        <w:r w:rsidR="003300E6">
          <w:rPr>
            <w:rFonts w:ascii="Verdana" w:hAnsi="Verdana"/>
            <w:color w:val="0000FF"/>
            <w:sz w:val="16"/>
            <w:szCs w:val="16"/>
          </w:rPr>
          <w:instrText xml:space="preserve"> </w:instrText>
        </w:r>
        <w:r w:rsidR="003300E6">
          <w:rPr>
            <w:rFonts w:ascii="Verdana" w:hAnsi="Verdana"/>
            <w:color w:val="0000FF"/>
            <w:sz w:val="16"/>
            <w:szCs w:val="16"/>
          </w:rPr>
          <w:fldChar w:fldCharType="separate"/>
        </w:r>
        <w:r w:rsidR="003300E6">
          <w:rPr>
            <w:rFonts w:ascii="Verdana" w:hAnsi="Verdana"/>
            <w:color w:val="0000FF"/>
            <w:sz w:val="16"/>
            <w:szCs w:val="16"/>
          </w:rPr>
          <w:pict>
            <v:shape id="_x0000_i1033" type="#_x0000_t75" alt="E-Rate Central on Twitter" style="width:18pt;height:18pt" o:button="t">
              <v:imagedata r:id="rId22" r:href="rId23"/>
            </v:shape>
          </w:pict>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"http://www.e-ratecentral.com/images/icon-facebook.png"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"http://www.e-ratecentral.com/images/icon-facebook.png"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"http://www.e-ratecentral.com/images/icon-facebook.png"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"http://www.e-ratecentral.com/images/icon-facebook.png"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w:instrText>
        </w:r>
        <w:r w:rsidR="003300E6">
          <w:rPr>
            <w:rFonts w:ascii="Verdana" w:hAnsi="Verdana"/>
            <w:color w:val="0000FF"/>
            <w:sz w:val="16"/>
            <w:szCs w:val="16"/>
          </w:rPr>
          <w:instrText>INCLUDEPICTURE  "http://www.e-ratecentral.com/images/icon-facebook.png" \* MERGEFORMATINET</w:instrText>
        </w:r>
        <w:r w:rsidR="003300E6">
          <w:rPr>
            <w:rFonts w:ascii="Verdana" w:hAnsi="Verdana"/>
            <w:color w:val="0000FF"/>
            <w:sz w:val="16"/>
            <w:szCs w:val="16"/>
          </w:rPr>
          <w:instrText xml:space="preserve"> </w:instrText>
        </w:r>
        <w:r w:rsidR="003300E6">
          <w:rPr>
            <w:rFonts w:ascii="Verdana" w:hAnsi="Verdana"/>
            <w:color w:val="0000FF"/>
            <w:sz w:val="16"/>
            <w:szCs w:val="16"/>
          </w:rPr>
          <w:fldChar w:fldCharType="separate"/>
        </w:r>
        <w:r w:rsidR="003300E6">
          <w:rPr>
            <w:rFonts w:ascii="Verdana" w:hAnsi="Verdana"/>
            <w:color w:val="0000FF"/>
            <w:sz w:val="16"/>
            <w:szCs w:val="16"/>
          </w:rPr>
          <w:pict>
            <v:shape id="_x0000_i1034" type="#_x0000_t75" alt="E-Rate Central on Facebook" style="width:18pt;height:18pt" o:button="t">
              <v:imagedata r:id="rId25" r:href="rId26"/>
            </v:shape>
          </w:pict>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"http://www.e-ratecentral.com/images/icon-linkedin.png"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"http://www.e-ratecentral.com/images/icon-linkedin.png"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"http://www.e-ratecentral.com/images/icon-linkedin.png"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"http://www.e-ratecentral.com/images/icon-linkedin.png"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w:instrText>
        </w:r>
        <w:r w:rsidR="003300E6">
          <w:rPr>
            <w:rFonts w:ascii="Verdana" w:hAnsi="Verdana"/>
            <w:color w:val="0000FF"/>
            <w:sz w:val="16"/>
            <w:szCs w:val="16"/>
          </w:rPr>
          <w:instrText>INCLUDEPICTURE  "http://www.e-ratecentral.com/images/icon-linkedin.png" \* MERGEFORMATINET</w:instrText>
        </w:r>
        <w:r w:rsidR="003300E6">
          <w:rPr>
            <w:rFonts w:ascii="Verdana" w:hAnsi="Verdana"/>
            <w:color w:val="0000FF"/>
            <w:sz w:val="16"/>
            <w:szCs w:val="16"/>
          </w:rPr>
          <w:instrText xml:space="preserve"> </w:instrText>
        </w:r>
        <w:r w:rsidR="003300E6">
          <w:rPr>
            <w:rFonts w:ascii="Verdana" w:hAnsi="Verdana"/>
            <w:color w:val="0000FF"/>
            <w:sz w:val="16"/>
            <w:szCs w:val="16"/>
          </w:rPr>
          <w:fldChar w:fldCharType="separate"/>
        </w:r>
        <w:r w:rsidR="003300E6">
          <w:rPr>
            <w:rFonts w:ascii="Verdana" w:hAnsi="Verdana"/>
            <w:color w:val="0000FF"/>
            <w:sz w:val="16"/>
            <w:szCs w:val="16"/>
          </w:rPr>
          <w:pict>
            <v:shape id="_x0000_i1035" type="#_x0000_t75" alt="E-Rate Central on LinkedIn" style="width:18pt;height:18pt" o:button="t">
              <v:imagedata r:id="rId28" r:href="rId29"/>
            </v:shape>
          </w:pict>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766D3C">
      <w:footerReference w:type="default" r:id="rId30"/>
      <w:headerReference w:type="first" r:id="rId31"/>
      <w:footerReference w:type="first" r:id="rId32"/>
      <w:pgSz w:w="12240" w:h="15840" w:code="1"/>
      <w:pgMar w:top="1350" w:right="1440" w:bottom="153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3300E6">
      <w:rPr>
        <w:rStyle w:val="PageNumber"/>
        <w:rFonts w:ascii="Times New Roman" w:hAnsi="Times New Roman"/>
        <w:noProof/>
        <w:color w:val="808080"/>
        <w:sz w:val="20"/>
        <w:szCs w:val="20"/>
      </w:rPr>
      <w:t>5</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766D3C">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3300E6">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766D3C">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 w:id="1">
    <w:p w:rsidR="00F70CA5" w:rsidRPr="00817403" w:rsidRDefault="00F70CA5" w:rsidP="00F70CA5">
      <w:pPr>
        <w:pStyle w:val="FootnoteText"/>
        <w:spacing w:after="0"/>
        <w:rPr>
          <w:rFonts w:ascii="Times New Roman" w:hAnsi="Times New Roman"/>
          <w:sz w:val="20"/>
          <w:szCs w:val="20"/>
        </w:rPr>
      </w:pPr>
      <w:r w:rsidRPr="00817403">
        <w:rPr>
          <w:rStyle w:val="FootnoteReference"/>
          <w:rFonts w:ascii="Times New Roman" w:hAnsi="Times New Roman"/>
          <w:sz w:val="20"/>
          <w:szCs w:val="20"/>
        </w:rPr>
        <w:footnoteRef/>
      </w:r>
      <w:r w:rsidRPr="00817403">
        <w:rPr>
          <w:rFonts w:ascii="Times New Roman" w:hAnsi="Times New Roman"/>
          <w:sz w:val="20"/>
          <w:szCs w:val="20"/>
        </w:rPr>
        <w:t xml:space="preserve"> </w:t>
      </w:r>
      <w:r>
        <w:rPr>
          <w:rFonts w:ascii="Times New Roman" w:hAnsi="Times New Roman"/>
          <w:sz w:val="20"/>
          <w:szCs w:val="20"/>
        </w:rPr>
        <w:t xml:space="preserve"> Cumulative funding through Wave 51 for FY 2017, for example, is 29% below the preliminary demand.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766D3C">
            <w:rPr>
              <w:b/>
              <w:color w:val="003366"/>
              <w:sz w:val="20"/>
              <w:szCs w:val="20"/>
            </w:rPr>
            <w:t>17</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B82B98">
            <w:rPr>
              <w:b/>
              <w:color w:val="003366"/>
              <w:sz w:val="20"/>
              <w:szCs w:val="20"/>
            </w:rPr>
            <w:t>April</w:t>
          </w:r>
          <w:r w:rsidR="00BA599E">
            <w:rPr>
              <w:b/>
              <w:color w:val="003366"/>
              <w:sz w:val="20"/>
              <w:szCs w:val="20"/>
            </w:rPr>
            <w:t xml:space="preserve"> </w:t>
          </w:r>
          <w:r w:rsidR="00766D3C">
            <w:rPr>
              <w:b/>
              <w:color w:val="003366"/>
              <w:sz w:val="20"/>
              <w:szCs w:val="20"/>
            </w:rPr>
            <w:t>23</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766F97"/>
    <w:multiLevelType w:val="hybridMultilevel"/>
    <w:tmpl w:val="A8D0A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B77EC5"/>
    <w:multiLevelType w:val="hybridMultilevel"/>
    <w:tmpl w:val="44A28D4E"/>
    <w:lvl w:ilvl="0" w:tplc="D38413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33"/>
    <w:multiLevelType w:val="hybridMultilevel"/>
    <w:tmpl w:val="2DD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2FF8"/>
    <w:multiLevelType w:val="hybridMultilevel"/>
    <w:tmpl w:val="1B6C3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5" w15:restartNumberingAfterBreak="0">
    <w:nsid w:val="125A32C0"/>
    <w:multiLevelType w:val="hybridMultilevel"/>
    <w:tmpl w:val="3D125102"/>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293E"/>
    <w:multiLevelType w:val="hybridMultilevel"/>
    <w:tmpl w:val="F32A2F6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3EF62C0"/>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75FE8"/>
    <w:multiLevelType w:val="hybridMultilevel"/>
    <w:tmpl w:val="F20C4562"/>
    <w:lvl w:ilvl="0" w:tplc="45343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B97889"/>
    <w:multiLevelType w:val="hybridMultilevel"/>
    <w:tmpl w:val="DA14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A7F61"/>
    <w:multiLevelType w:val="hybridMultilevel"/>
    <w:tmpl w:val="F19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90D0D"/>
    <w:multiLevelType w:val="hybridMultilevel"/>
    <w:tmpl w:val="5A6A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64BAA"/>
    <w:multiLevelType w:val="hybridMultilevel"/>
    <w:tmpl w:val="EF9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3621A"/>
    <w:multiLevelType w:val="hybridMultilevel"/>
    <w:tmpl w:val="7CFE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F75F8"/>
    <w:multiLevelType w:val="hybridMultilevel"/>
    <w:tmpl w:val="0EB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785D"/>
    <w:multiLevelType w:val="hybridMultilevel"/>
    <w:tmpl w:val="D598A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CC04F6"/>
    <w:multiLevelType w:val="hybridMultilevel"/>
    <w:tmpl w:val="002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240A4"/>
    <w:multiLevelType w:val="hybridMultilevel"/>
    <w:tmpl w:val="AD18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74E15"/>
    <w:multiLevelType w:val="hybridMultilevel"/>
    <w:tmpl w:val="948C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B5C0B"/>
    <w:multiLevelType w:val="hybridMultilevel"/>
    <w:tmpl w:val="B2D651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E5381C"/>
    <w:multiLevelType w:val="hybridMultilevel"/>
    <w:tmpl w:val="4914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F373A"/>
    <w:multiLevelType w:val="hybridMultilevel"/>
    <w:tmpl w:val="B10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7102F"/>
    <w:multiLevelType w:val="hybridMultilevel"/>
    <w:tmpl w:val="BAF60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D3524"/>
    <w:multiLevelType w:val="hybridMultilevel"/>
    <w:tmpl w:val="C8F2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F0E9F"/>
    <w:multiLevelType w:val="hybridMultilevel"/>
    <w:tmpl w:val="744E6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950A79"/>
    <w:multiLevelType w:val="hybridMultilevel"/>
    <w:tmpl w:val="014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22C85"/>
    <w:multiLevelType w:val="hybridMultilevel"/>
    <w:tmpl w:val="25B0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71E11"/>
    <w:multiLevelType w:val="hybridMultilevel"/>
    <w:tmpl w:val="5D921B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1" w15:restartNumberingAfterBreak="0">
    <w:nsid w:val="5B383F27"/>
    <w:multiLevelType w:val="hybridMultilevel"/>
    <w:tmpl w:val="9442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41F54"/>
    <w:multiLevelType w:val="hybridMultilevel"/>
    <w:tmpl w:val="0E2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B2BEF"/>
    <w:multiLevelType w:val="hybridMultilevel"/>
    <w:tmpl w:val="47060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26746A"/>
    <w:multiLevelType w:val="hybridMultilevel"/>
    <w:tmpl w:val="D1DE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E4496"/>
    <w:multiLevelType w:val="multilevel"/>
    <w:tmpl w:val="D8E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80E6B"/>
    <w:multiLevelType w:val="hybridMultilevel"/>
    <w:tmpl w:val="7E809C22"/>
    <w:lvl w:ilvl="0" w:tplc="04090001">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93218"/>
    <w:multiLevelType w:val="hybridMultilevel"/>
    <w:tmpl w:val="0116FC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84997"/>
    <w:multiLevelType w:val="hybridMultilevel"/>
    <w:tmpl w:val="D3DC41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8325AB5"/>
    <w:multiLevelType w:val="hybridMultilevel"/>
    <w:tmpl w:val="12F4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39"/>
  </w:num>
  <w:num w:numId="4">
    <w:abstractNumId w:val="26"/>
  </w:num>
  <w:num w:numId="5">
    <w:abstractNumId w:val="5"/>
  </w:num>
  <w:num w:numId="6">
    <w:abstractNumId w:val="37"/>
  </w:num>
  <w:num w:numId="7">
    <w:abstractNumId w:val="12"/>
  </w:num>
  <w:num w:numId="8">
    <w:abstractNumId w:val="1"/>
  </w:num>
  <w:num w:numId="9">
    <w:abstractNumId w:val="6"/>
  </w:num>
  <w:num w:numId="10">
    <w:abstractNumId w:val="12"/>
  </w:num>
  <w:num w:numId="11">
    <w:abstractNumId w:val="21"/>
  </w:num>
  <w:num w:numId="12">
    <w:abstractNumId w:val="9"/>
  </w:num>
  <w:num w:numId="13">
    <w:abstractNumId w:val="18"/>
  </w:num>
  <w:num w:numId="14">
    <w:abstractNumId w:val="34"/>
  </w:num>
  <w:num w:numId="15">
    <w:abstractNumId w:val="16"/>
  </w:num>
  <w:num w:numId="16">
    <w:abstractNumId w:val="17"/>
  </w:num>
  <w:num w:numId="17">
    <w:abstractNumId w:val="11"/>
  </w:num>
  <w:num w:numId="18">
    <w:abstractNumId w:val="23"/>
  </w:num>
  <w:num w:numId="19">
    <w:abstractNumId w:val="13"/>
  </w:num>
  <w:num w:numId="20">
    <w:abstractNumId w:val="20"/>
  </w:num>
  <w:num w:numId="21">
    <w:abstractNumId w:val="26"/>
  </w:num>
  <w:num w:numId="22">
    <w:abstractNumId w:val="5"/>
  </w:num>
  <w:num w:numId="23">
    <w:abstractNumId w:val="40"/>
  </w:num>
  <w:num w:numId="24">
    <w:abstractNumId w:val="24"/>
  </w:num>
  <w:num w:numId="25">
    <w:abstractNumId w:val="31"/>
  </w:num>
  <w:num w:numId="26">
    <w:abstractNumId w:val="28"/>
  </w:num>
  <w:num w:numId="27">
    <w:abstractNumId w:val="8"/>
  </w:num>
  <w:num w:numId="28">
    <w:abstractNumId w:val="22"/>
  </w:num>
  <w:num w:numId="29">
    <w:abstractNumId w:val="15"/>
  </w:num>
  <w:num w:numId="30">
    <w:abstractNumId w:val="29"/>
  </w:num>
  <w:num w:numId="31">
    <w:abstractNumId w:val="27"/>
  </w:num>
  <w:num w:numId="32">
    <w:abstractNumId w:val="36"/>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6"/>
  </w:num>
  <w:num w:numId="38">
    <w:abstractNumId w:val="2"/>
  </w:num>
  <w:num w:numId="39">
    <w:abstractNumId w:val="0"/>
  </w:num>
  <w:num w:numId="40">
    <w:abstractNumId w:val="26"/>
  </w:num>
  <w:num w:numId="41">
    <w:abstractNumId w:val="5"/>
  </w:num>
  <w:num w:numId="42">
    <w:abstractNumId w:val="35"/>
  </w:num>
  <w:num w:numId="43">
    <w:abstractNumId w:val="10"/>
  </w:num>
  <w:num w:numId="44">
    <w:abstractNumId w:val="7"/>
  </w:num>
  <w:num w:numId="45">
    <w:abstractNumId w:val="41"/>
  </w:num>
  <w:num w:numId="46">
    <w:abstractNumId w:val="38"/>
  </w:num>
  <w:num w:numId="47">
    <w:abstractNumId w:val="14"/>
  </w:num>
  <w:num w:numId="48">
    <w:abstractNumId w:val="19"/>
  </w:num>
  <w:num w:numId="49">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sapi.fcc.gov/file/10417600427057/FY2018-Demand-Estimate%20final.pdf" TargetMode="External"/><Relationship Id="rId13" Type="http://schemas.openxmlformats.org/officeDocument/2006/relationships/image" Target="media/image5.png"/><Relationship Id="rId18" Type="http://schemas.openxmlformats.org/officeDocument/2006/relationships/hyperlink" Target="https://transition.fcc.gov/Daily_Releases/Daily_Business/2018/db0413/DOC-350207A1.pdf" TargetMode="External"/><Relationship Id="rId26"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twitter.com/ERateCentr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ache.webcasts.com/content/citr003/1187380/content/ee8be8c1e33af228edb23f80f393ab54b95ce8e5/pdf/Final_-_Understanding_PIA_Review_Presentation.pdf"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to.webcasts.com/viewer/event.jsp?ei=1187380&amp;tp_key=c2960bf4a1" TargetMode="External"/><Relationship Id="rId20" Type="http://schemas.openxmlformats.org/officeDocument/2006/relationships/hyperlink" Target="mailto:firstname.lastname@usac.org" TargetMode="External"/><Relationship Id="rId29" Type="http://schemas.openxmlformats.org/officeDocument/2006/relationships/image" Target="http://www.e-ratecentral.com/images/icon-linkedi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facebook.com/eratecentr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to.webcasts.com/starthere.jsp?ei=1190679&amp;tp_key=eea4819d5d" TargetMode="External"/><Relationship Id="rId23" Type="http://schemas.openxmlformats.org/officeDocument/2006/relationships/image" Target="http://www.e-ratecentral.com/images/icon-twitter.png" TargetMode="External"/><Relationship Id="rId28"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yperlink" Target="https://www.usac.org/sl/tools/news-briefs/preview.aspx?id=8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oto.webcasts.com/starthere.jsp?ei=1190671&amp;tp_key=2f47022845" TargetMode="External"/><Relationship Id="rId22" Type="http://schemas.openxmlformats.org/officeDocument/2006/relationships/image" Target="media/image6.png"/><Relationship Id="rId27" Type="http://schemas.openxmlformats.org/officeDocument/2006/relationships/hyperlink" Target="https://www.linkedin.com/company/e-rate-centr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F43B-CDD3-44F5-AB6B-B91C70EE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22561</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2018-04-22T21:28:00Z</dcterms:created>
  <dcterms:modified xsi:type="dcterms:W3CDTF">2018-04-23T14:42:00Z</dcterms:modified>
</cp:coreProperties>
</file>