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77741B" w:rsidRPr="0077741B" w:rsidRDefault="0077741B" w:rsidP="0077741B">
      <w:pPr>
        <w:numPr>
          <w:ilvl w:val="0"/>
          <w:numId w:val="4"/>
        </w:numPr>
        <w:jc w:val="both"/>
        <w:outlineLvl w:val="0"/>
        <w:rPr>
          <w:rFonts w:ascii="Times New Roman" w:hAnsi="Times New Roman"/>
        </w:rPr>
      </w:pPr>
      <w:r w:rsidRPr="0077741B">
        <w:rPr>
          <w:rFonts w:ascii="Times New Roman" w:hAnsi="Times New Roman"/>
        </w:rPr>
        <w:t>Funding Status – FY 2018</w:t>
      </w:r>
    </w:p>
    <w:p w:rsidR="0077741B" w:rsidRPr="0077741B" w:rsidRDefault="0077741B" w:rsidP="0077741B">
      <w:pPr>
        <w:numPr>
          <w:ilvl w:val="0"/>
          <w:numId w:val="4"/>
        </w:numPr>
        <w:spacing w:before="120"/>
        <w:jc w:val="both"/>
        <w:outlineLvl w:val="0"/>
        <w:rPr>
          <w:rFonts w:ascii="Times New Roman" w:hAnsi="Times New Roman"/>
        </w:rPr>
      </w:pPr>
      <w:r w:rsidRPr="0077741B">
        <w:rPr>
          <w:rFonts w:ascii="Times New Roman" w:hAnsi="Times New Roman"/>
        </w:rPr>
        <w:t>Updates on USAC’s E-Rate Productivity Center and Legacy System</w:t>
      </w:r>
    </w:p>
    <w:p w:rsidR="0077741B" w:rsidRPr="0077741B" w:rsidRDefault="0077741B" w:rsidP="0077741B">
      <w:pPr>
        <w:numPr>
          <w:ilvl w:val="1"/>
          <w:numId w:val="4"/>
        </w:numPr>
        <w:spacing w:before="20"/>
        <w:contextualSpacing/>
        <w:jc w:val="both"/>
        <w:outlineLvl w:val="0"/>
        <w:rPr>
          <w:rFonts w:ascii="Times New Roman" w:hAnsi="Times New Roman"/>
        </w:rPr>
      </w:pPr>
      <w:r w:rsidRPr="0077741B">
        <w:rPr>
          <w:rFonts w:ascii="Times New Roman" w:hAnsi="Times New Roman"/>
        </w:rPr>
        <w:t>EPC Modifications</w:t>
      </w:r>
    </w:p>
    <w:p w:rsidR="0077741B" w:rsidRPr="0077741B" w:rsidRDefault="0077741B" w:rsidP="0077741B">
      <w:pPr>
        <w:numPr>
          <w:ilvl w:val="0"/>
          <w:numId w:val="4"/>
        </w:numPr>
        <w:spacing w:before="120"/>
        <w:jc w:val="both"/>
        <w:outlineLvl w:val="0"/>
        <w:rPr>
          <w:rFonts w:ascii="Times New Roman" w:hAnsi="Times New Roman"/>
        </w:rPr>
      </w:pPr>
      <w:r w:rsidRPr="0077741B">
        <w:rPr>
          <w:rFonts w:ascii="Times New Roman" w:hAnsi="Times New Roman"/>
        </w:rPr>
        <w:t>E-Rate</w:t>
      </w:r>
      <w:r w:rsidRPr="0077741B">
        <w:rPr>
          <w:rFonts w:ascii="Times New Roman" w:hAnsi="Times New Roman"/>
          <w:i/>
        </w:rPr>
        <w:t xml:space="preserve"> </w:t>
      </w:r>
      <w:r w:rsidRPr="0077741B">
        <w:rPr>
          <w:rFonts w:ascii="Times New Roman" w:hAnsi="Times New Roman"/>
        </w:rPr>
        <w:t>Updates and Reminders</w:t>
      </w:r>
      <w:bookmarkStart w:id="0" w:name="_GoBack"/>
      <w:bookmarkEnd w:id="0"/>
    </w:p>
    <w:p w:rsidR="0077741B" w:rsidRPr="0077741B" w:rsidRDefault="0077741B" w:rsidP="0077741B">
      <w:pPr>
        <w:numPr>
          <w:ilvl w:val="1"/>
          <w:numId w:val="4"/>
        </w:numPr>
        <w:spacing w:before="20"/>
        <w:jc w:val="both"/>
        <w:outlineLvl w:val="0"/>
        <w:rPr>
          <w:rFonts w:ascii="Times New Roman" w:hAnsi="Times New Roman"/>
        </w:rPr>
      </w:pPr>
      <w:r w:rsidRPr="0077741B">
        <w:rPr>
          <w:rFonts w:ascii="Times New Roman" w:hAnsi="Times New Roman"/>
        </w:rPr>
        <w:t>Upcoming 2018 E-Rate Dates</w:t>
      </w:r>
    </w:p>
    <w:p w:rsidR="0077741B" w:rsidRPr="0077741B" w:rsidRDefault="0077741B" w:rsidP="0077741B">
      <w:pPr>
        <w:numPr>
          <w:ilvl w:val="1"/>
          <w:numId w:val="4"/>
        </w:numPr>
        <w:spacing w:before="20"/>
        <w:contextualSpacing/>
        <w:jc w:val="both"/>
        <w:outlineLvl w:val="0"/>
        <w:rPr>
          <w:rFonts w:ascii="Times New Roman" w:hAnsi="Times New Roman"/>
        </w:rPr>
      </w:pPr>
      <w:r w:rsidRPr="0077741B">
        <w:rPr>
          <w:rFonts w:ascii="Times New Roman" w:hAnsi="Times New Roman"/>
        </w:rPr>
        <w:t>Zero-Funded SPIs</w:t>
      </w:r>
    </w:p>
    <w:p w:rsidR="0077741B" w:rsidRPr="0077741B" w:rsidRDefault="0077741B" w:rsidP="0077741B">
      <w:pPr>
        <w:numPr>
          <w:ilvl w:val="1"/>
          <w:numId w:val="4"/>
        </w:numPr>
        <w:spacing w:before="20"/>
        <w:contextualSpacing/>
        <w:jc w:val="both"/>
        <w:outlineLvl w:val="0"/>
        <w:rPr>
          <w:rFonts w:ascii="Times New Roman" w:hAnsi="Times New Roman"/>
        </w:rPr>
      </w:pPr>
      <w:r w:rsidRPr="0077741B">
        <w:rPr>
          <w:rFonts w:ascii="Times New Roman" w:hAnsi="Times New Roman"/>
        </w:rPr>
        <w:t>3Q18 Projected Contribution Factor</w:t>
      </w:r>
    </w:p>
    <w:p w:rsidR="0077741B" w:rsidRPr="0077741B" w:rsidRDefault="0077741B" w:rsidP="0077741B">
      <w:pPr>
        <w:numPr>
          <w:ilvl w:val="0"/>
          <w:numId w:val="4"/>
        </w:numPr>
        <w:spacing w:before="120"/>
        <w:jc w:val="both"/>
        <w:outlineLvl w:val="0"/>
        <w:rPr>
          <w:rFonts w:ascii="Times New Roman" w:hAnsi="Times New Roman"/>
          <w:b/>
          <w:color w:val="1F497D"/>
        </w:rPr>
      </w:pPr>
      <w:r w:rsidRPr="0077741B">
        <w:rPr>
          <w:rFonts w:ascii="Times New Roman" w:hAnsi="Times New Roman"/>
        </w:rPr>
        <w:t>USAC News Brief Dated June 15 – News Brief News</w:t>
      </w:r>
    </w:p>
    <w:p w:rsidR="0077741B" w:rsidRPr="0077741B" w:rsidRDefault="0077741B" w:rsidP="0077741B">
      <w:pPr>
        <w:jc w:val="both"/>
        <w:outlineLvl w:val="0"/>
        <w:rPr>
          <w:rFonts w:ascii="Times New Roman" w:hAnsi="Times New Roman"/>
          <w:b/>
          <w:color w:val="1F497D"/>
          <w:sz w:val="40"/>
          <w:szCs w:val="40"/>
        </w:rPr>
      </w:pPr>
    </w:p>
    <w:p w:rsidR="0077741B" w:rsidRPr="0077741B" w:rsidRDefault="0077741B" w:rsidP="0077741B">
      <w:pPr>
        <w:jc w:val="both"/>
        <w:rPr>
          <w:rFonts w:ascii="Times New Roman" w:hAnsi="Times New Roman"/>
          <w:b/>
          <w:color w:val="1F497D"/>
        </w:rPr>
      </w:pPr>
      <w:r w:rsidRPr="0077741B">
        <w:rPr>
          <w:rFonts w:ascii="Times New Roman" w:hAnsi="Times New Roman"/>
          <w:b/>
          <w:color w:val="1F497D"/>
        </w:rPr>
        <w:t>Funding Status – FY 2018</w:t>
      </w:r>
    </w:p>
    <w:p w:rsidR="0077741B" w:rsidRPr="0077741B" w:rsidRDefault="0077741B" w:rsidP="0077741B">
      <w:pPr>
        <w:jc w:val="both"/>
        <w:rPr>
          <w:rFonts w:ascii="Times New Roman" w:hAnsi="Times New Roman"/>
        </w:rPr>
      </w:pPr>
    </w:p>
    <w:p w:rsidR="0077741B" w:rsidRPr="0077741B" w:rsidRDefault="0077741B" w:rsidP="0077741B">
      <w:pPr>
        <w:jc w:val="both"/>
        <w:rPr>
          <w:rFonts w:ascii="Times New Roman" w:hAnsi="Times New Roman"/>
          <w:i/>
          <w:color w:val="1F497D"/>
        </w:rPr>
      </w:pPr>
      <w:r w:rsidRPr="0077741B">
        <w:rPr>
          <w:rFonts w:ascii="Times New Roman" w:hAnsi="Times New Roman"/>
          <w:i/>
          <w:color w:val="1F497D"/>
        </w:rPr>
        <w:t>FY 2018:</w:t>
      </w:r>
    </w:p>
    <w:p w:rsidR="0077741B" w:rsidRPr="0077741B" w:rsidRDefault="0077741B" w:rsidP="0077741B">
      <w:pPr>
        <w:jc w:val="both"/>
        <w:rPr>
          <w:rFonts w:ascii="Times New Roman" w:hAnsi="Times New Roman"/>
          <w:i/>
          <w:color w:val="1F3864"/>
        </w:rPr>
      </w:pPr>
    </w:p>
    <w:p w:rsidR="0077741B" w:rsidRPr="0077741B" w:rsidRDefault="0077741B" w:rsidP="0077741B">
      <w:pPr>
        <w:jc w:val="both"/>
        <w:rPr>
          <w:rFonts w:ascii="Times New Roman" w:hAnsi="Times New Roman"/>
        </w:rPr>
      </w:pPr>
      <w:r w:rsidRPr="0077741B">
        <w:rPr>
          <w:rFonts w:ascii="Times New Roman" w:hAnsi="Times New Roman"/>
          <w:color w:val="000000"/>
        </w:rPr>
        <w:t xml:space="preserve">Wave 10 for FY 2018 was released </w:t>
      </w:r>
      <w:r w:rsidRPr="0077741B">
        <w:rPr>
          <w:rFonts w:ascii="Times New Roman" w:hAnsi="Times New Roman"/>
        </w:rPr>
        <w:t>Friday, June 15</w:t>
      </w:r>
      <w:r w:rsidRPr="0077741B">
        <w:rPr>
          <w:rFonts w:ascii="Times New Roman" w:hAnsi="Times New Roman"/>
          <w:vertAlign w:val="superscript"/>
        </w:rPr>
        <w:t>th</w:t>
      </w:r>
      <w:r w:rsidRPr="0077741B">
        <w:rPr>
          <w:rFonts w:ascii="Times New Roman" w:hAnsi="Times New Roman"/>
        </w:rPr>
        <w:t xml:space="preserve"> for $78.6 million.  Cumulative funding as of Wave 10 is</w:t>
      </w:r>
      <w:r w:rsidRPr="0077741B">
        <w:rPr>
          <w:rFonts w:ascii="Times New Roman" w:hAnsi="Times New Roman"/>
          <w:color w:val="000000"/>
        </w:rPr>
        <w:t xml:space="preserve"> $1.18 billion.  </w:t>
      </w:r>
      <w:r w:rsidRPr="0077741B">
        <w:rPr>
          <w:rFonts w:ascii="Times New Roman" w:hAnsi="Times New Roman"/>
        </w:rPr>
        <w:t xml:space="preserve">Wave 11 is expected later this week. </w:t>
      </w:r>
    </w:p>
    <w:p w:rsidR="0077741B" w:rsidRPr="0077741B" w:rsidRDefault="0077741B" w:rsidP="0077741B">
      <w:pPr>
        <w:jc w:val="both"/>
        <w:rPr>
          <w:rFonts w:ascii="Times New Roman" w:hAnsi="Times New Roman"/>
        </w:rPr>
      </w:pPr>
    </w:p>
    <w:p w:rsidR="0011645A" w:rsidRPr="00181F28" w:rsidRDefault="0011645A" w:rsidP="0011645A">
      <w:pPr>
        <w:jc w:val="both"/>
        <w:rPr>
          <w:rFonts w:ascii="Times New Roman" w:hAnsi="Times New Roman"/>
        </w:rPr>
      </w:pPr>
      <w:r w:rsidRPr="00181F28">
        <w:rPr>
          <w:rFonts w:ascii="Times New Roman" w:hAnsi="Times New Roman"/>
        </w:rPr>
        <w:t>USAC should be complimented on the pace of FY 2018 application review.  Funding decisions have now been issued on roughly 80% of the filed applications and 50% of the requested dollar amounts.  Cumulative funding approved is already four times the FY 2017 approval level as of July 1</w:t>
      </w:r>
      <w:r w:rsidRPr="00181F28">
        <w:rPr>
          <w:rFonts w:ascii="Times New Roman" w:hAnsi="Times New Roman"/>
          <w:vertAlign w:val="superscript"/>
        </w:rPr>
        <w:t>st</w:t>
      </w:r>
      <w:r w:rsidRPr="00181F28">
        <w:rPr>
          <w:rFonts w:ascii="Times New Roman" w:hAnsi="Times New Roman"/>
        </w:rPr>
        <w:t xml:space="preserve"> last year.  Although USAC still has some work to do on larger applications — including fiber special construction requests — it is well on its way to meeting the FCC’s E-Rate Modernization Order target of having all “workable” applications completed by September 1</w:t>
      </w:r>
      <w:r w:rsidRPr="00181F28">
        <w:rPr>
          <w:rFonts w:ascii="Times New Roman" w:hAnsi="Times New Roman"/>
          <w:vertAlign w:val="superscript"/>
        </w:rPr>
        <w:t>st</w:t>
      </w:r>
      <w:r w:rsidRPr="00181F28">
        <w:rPr>
          <w:rFonts w:ascii="Times New Roman" w:hAnsi="Times New Roman"/>
        </w:rPr>
        <w:t>.  Applicants with applications currently in summer deferral mode can help the process by reinitiating PIA contact whenever feasible.</w:t>
      </w:r>
    </w:p>
    <w:p w:rsidR="0011645A" w:rsidRPr="00181F28" w:rsidRDefault="0011645A" w:rsidP="0011645A">
      <w:pPr>
        <w:jc w:val="both"/>
        <w:rPr>
          <w:rFonts w:ascii="Times New Roman" w:hAnsi="Times New Roman"/>
          <w:b/>
          <w:sz w:val="36"/>
          <w:szCs w:val="36"/>
        </w:rPr>
      </w:pPr>
      <w:bookmarkStart w:id="1" w:name="_Hlk494648364"/>
      <w:bookmarkStart w:id="2" w:name="_Hlk497112828"/>
      <w:bookmarkStart w:id="3" w:name="_Hlk497744663"/>
      <w:bookmarkStart w:id="4" w:name="_Hlk497743614"/>
      <w:bookmarkStart w:id="5" w:name="_Hlk498340708"/>
      <w:bookmarkStart w:id="6" w:name="_Hlk499484321"/>
      <w:bookmarkStart w:id="7" w:name="_Hlk501356872"/>
      <w:bookmarkStart w:id="8" w:name="_Hlk516422613"/>
    </w:p>
    <w:p w:rsidR="0011645A" w:rsidRPr="00181F28" w:rsidRDefault="0011645A" w:rsidP="0011645A">
      <w:pPr>
        <w:jc w:val="both"/>
        <w:rPr>
          <w:rFonts w:ascii="Times New Roman" w:hAnsi="Times New Roman"/>
          <w:b/>
          <w:color w:val="1F497D"/>
        </w:rPr>
      </w:pPr>
      <w:bookmarkStart w:id="9" w:name="_Hlk509760088"/>
      <w:bookmarkStart w:id="10" w:name="_Hlk508555962"/>
      <w:bookmarkStart w:id="11" w:name="_Hlk509068311"/>
      <w:bookmarkStart w:id="12" w:name="_Hlk509069254"/>
      <w:bookmarkStart w:id="13" w:name="_Hlk516422805"/>
      <w:r w:rsidRPr="00181F28">
        <w:rPr>
          <w:rFonts w:ascii="Times New Roman" w:hAnsi="Times New Roman"/>
          <w:b/>
          <w:color w:val="1F497D"/>
        </w:rPr>
        <w:t>Updates on USAC’s E-Rate Productivity Center and Legacy System</w:t>
      </w:r>
    </w:p>
    <w:p w:rsidR="0011645A" w:rsidRPr="00181F28" w:rsidRDefault="0011645A" w:rsidP="0011645A">
      <w:pPr>
        <w:jc w:val="both"/>
        <w:rPr>
          <w:rFonts w:ascii="Times New Roman" w:hAnsi="Times New Roman"/>
          <w:i/>
          <w:color w:val="1F497D"/>
          <w:shd w:val="clear" w:color="auto" w:fill="FFFFFF"/>
        </w:rPr>
      </w:pPr>
      <w:bookmarkStart w:id="14" w:name="_Hlk500510421"/>
    </w:p>
    <w:bookmarkEnd w:id="9"/>
    <w:bookmarkEnd w:id="14"/>
    <w:p w:rsidR="0011645A" w:rsidRPr="00181F28" w:rsidRDefault="0011645A" w:rsidP="0011645A">
      <w:pPr>
        <w:jc w:val="both"/>
        <w:rPr>
          <w:rFonts w:ascii="Times New Roman" w:hAnsi="Times New Roman"/>
          <w:i/>
          <w:color w:val="1F497D"/>
        </w:rPr>
      </w:pPr>
      <w:r w:rsidRPr="00181F28">
        <w:rPr>
          <w:rFonts w:ascii="Times New Roman" w:hAnsi="Times New Roman"/>
          <w:i/>
          <w:color w:val="1F497D"/>
        </w:rPr>
        <w:t>EPC Modifications:</w:t>
      </w:r>
    </w:p>
    <w:p w:rsidR="0011645A" w:rsidRPr="00181F28" w:rsidRDefault="0011645A" w:rsidP="0011645A">
      <w:pPr>
        <w:jc w:val="both"/>
        <w:rPr>
          <w:rFonts w:ascii="Times New Roman" w:hAnsi="Times New Roman"/>
          <w:i/>
          <w:color w:val="1F497D"/>
        </w:rPr>
      </w:pPr>
    </w:p>
    <w:p w:rsidR="0011645A" w:rsidRPr="00181F28" w:rsidRDefault="0011645A" w:rsidP="0011645A">
      <w:pPr>
        <w:jc w:val="both"/>
        <w:rPr>
          <w:rFonts w:ascii="Times New Roman" w:hAnsi="Times New Roman"/>
        </w:rPr>
      </w:pPr>
      <w:bookmarkStart w:id="15" w:name="_Hlk514143108"/>
      <w:bookmarkStart w:id="16" w:name="_Hlk514143072"/>
      <w:r w:rsidRPr="00181F28">
        <w:rPr>
          <w:rFonts w:ascii="Times New Roman" w:hAnsi="Times New Roman"/>
        </w:rPr>
        <w:t>Last Friday’s USAC News Brief, referenced below, mentions two minor changes made to EPC’s Form 486 notification system, one enabling state coordinators to access all notifications in their state and one eliminating column headers on the Form 486 CSV file sent to service providers.</w:t>
      </w:r>
    </w:p>
    <w:p w:rsidR="0011645A" w:rsidRPr="00181F28" w:rsidRDefault="0011645A" w:rsidP="0011645A">
      <w:pPr>
        <w:jc w:val="both"/>
        <w:rPr>
          <w:rFonts w:ascii="Times New Roman" w:hAnsi="Times New Roman"/>
          <w:b/>
          <w:color w:val="1F497D"/>
          <w:sz w:val="36"/>
          <w:szCs w:val="36"/>
        </w:rPr>
      </w:pPr>
    </w:p>
    <w:p w:rsidR="0011645A" w:rsidRPr="00181F28" w:rsidRDefault="0011645A" w:rsidP="0011645A">
      <w:pPr>
        <w:jc w:val="both"/>
        <w:rPr>
          <w:rFonts w:ascii="Times New Roman" w:hAnsi="Times New Roman"/>
          <w:b/>
          <w:color w:val="1F497D"/>
        </w:rPr>
      </w:pPr>
      <w:r w:rsidRPr="00181F28">
        <w:rPr>
          <w:rFonts w:ascii="Times New Roman" w:hAnsi="Times New Roman"/>
          <w:b/>
          <w:color w:val="1F497D"/>
        </w:rPr>
        <w:t>E-Rate Updates and Reminders</w:t>
      </w:r>
    </w:p>
    <w:bookmarkEnd w:id="15"/>
    <w:p w:rsidR="0011645A" w:rsidRPr="00181F28" w:rsidRDefault="0011645A" w:rsidP="0011645A">
      <w:pPr>
        <w:jc w:val="both"/>
        <w:rPr>
          <w:rFonts w:ascii="Times New Roman" w:hAnsi="Times New Roman"/>
        </w:rPr>
      </w:pPr>
    </w:p>
    <w:p w:rsidR="0011645A" w:rsidRPr="00181F28" w:rsidRDefault="0011645A" w:rsidP="0011645A">
      <w:pPr>
        <w:jc w:val="both"/>
        <w:rPr>
          <w:rFonts w:ascii="Times New Roman" w:hAnsi="Times New Roman"/>
          <w:i/>
          <w:color w:val="1F497D"/>
        </w:rPr>
      </w:pPr>
      <w:bookmarkStart w:id="17" w:name="_Hlk514143144"/>
      <w:bookmarkStart w:id="18" w:name="_Hlk514143132"/>
      <w:r w:rsidRPr="00181F28">
        <w:rPr>
          <w:rFonts w:ascii="Times New Roman" w:hAnsi="Times New Roman"/>
          <w:i/>
          <w:color w:val="1F497D"/>
        </w:rPr>
        <w:t>Upcoming 2018 E-Rate Dates:</w:t>
      </w:r>
    </w:p>
    <w:p w:rsidR="0011645A" w:rsidRPr="00181F28" w:rsidRDefault="0011645A" w:rsidP="0011645A">
      <w:pPr>
        <w:jc w:val="both"/>
        <w:outlineLvl w:val="0"/>
        <w:rPr>
          <w:rFonts w:ascii="Times New Roman" w:hAnsi="Times New Roman"/>
          <w:color w:val="000000"/>
        </w:rPr>
      </w:pPr>
      <w:bookmarkStart w:id="19" w:name="_Hlk514143153"/>
      <w:bookmarkStart w:id="20" w:name="_Hlk514143462"/>
      <w:bookmarkEnd w:id="17"/>
    </w:p>
    <w:p w:rsidR="0011645A" w:rsidRPr="00181F28" w:rsidRDefault="0011645A" w:rsidP="0011645A">
      <w:pPr>
        <w:spacing w:after="120"/>
        <w:ind w:left="1800" w:hanging="1440"/>
        <w:jc w:val="both"/>
        <w:outlineLvl w:val="0"/>
        <w:rPr>
          <w:rFonts w:ascii="Times New Roman" w:hAnsi="Times New Roman"/>
          <w:color w:val="000000"/>
          <w:lang w:bidi="ar-SA"/>
        </w:rPr>
      </w:pPr>
      <w:bookmarkStart w:id="21" w:name="_Hlk514143767"/>
      <w:r w:rsidRPr="00181F28">
        <w:rPr>
          <w:rFonts w:ascii="Times New Roman" w:hAnsi="Times New Roman"/>
          <w:color w:val="000000"/>
        </w:rPr>
        <w:t>June 22</w:t>
      </w:r>
      <w:r w:rsidRPr="00181F28">
        <w:rPr>
          <w:rFonts w:ascii="Times New Roman" w:hAnsi="Times New Roman"/>
          <w:color w:val="000000"/>
        </w:rPr>
        <w:tab/>
        <w:t xml:space="preserve">FY 2017 </w:t>
      </w:r>
      <w:r w:rsidRPr="00181F28">
        <w:rPr>
          <w:rFonts w:ascii="Times New Roman" w:hAnsi="Times New Roman"/>
        </w:rPr>
        <w:t xml:space="preserve">Form 486 deadline for funding committed in Wave 42.  </w:t>
      </w:r>
      <w:r w:rsidRPr="00181F28">
        <w:rPr>
          <w:rFonts w:ascii="Times New Roman" w:hAnsi="Times New Roman"/>
          <w:color w:val="000000"/>
        </w:rPr>
        <w:t>Other upcoming Form 486 deadlines include:</w:t>
      </w:r>
    </w:p>
    <w:p w:rsidR="0011645A" w:rsidRDefault="0011645A" w:rsidP="0011645A">
      <w:pPr>
        <w:tabs>
          <w:tab w:val="left" w:pos="3240"/>
          <w:tab w:val="left" w:pos="5040"/>
        </w:tabs>
        <w:jc w:val="both"/>
        <w:outlineLvl w:val="0"/>
        <w:rPr>
          <w:rFonts w:ascii="Times New Roman" w:hAnsi="Times New Roman"/>
          <w:color w:val="000000"/>
          <w:lang w:bidi="ar-SA"/>
        </w:rPr>
      </w:pPr>
      <w:r w:rsidRPr="00181F28">
        <w:rPr>
          <w:rFonts w:ascii="Times New Roman" w:hAnsi="Times New Roman"/>
          <w:color w:val="000000"/>
          <w:lang w:bidi="ar-SA"/>
        </w:rPr>
        <w:tab/>
      </w:r>
    </w:p>
    <w:p w:rsidR="00A11A81" w:rsidRPr="00181F28" w:rsidRDefault="00A11A81" w:rsidP="0011645A">
      <w:pPr>
        <w:tabs>
          <w:tab w:val="left" w:pos="3240"/>
          <w:tab w:val="left" w:pos="5040"/>
        </w:tabs>
        <w:jc w:val="both"/>
        <w:outlineLvl w:val="0"/>
        <w:rPr>
          <w:rFonts w:ascii="Times New Roman" w:hAnsi="Times New Roman"/>
          <w:color w:val="000000"/>
          <w:lang w:bidi="ar-SA"/>
        </w:rPr>
      </w:pPr>
    </w:p>
    <w:p w:rsidR="0011645A" w:rsidRPr="00181F28" w:rsidRDefault="0011645A" w:rsidP="0011645A">
      <w:pPr>
        <w:tabs>
          <w:tab w:val="left" w:pos="3240"/>
          <w:tab w:val="left" w:pos="5040"/>
        </w:tabs>
        <w:jc w:val="both"/>
        <w:outlineLvl w:val="0"/>
        <w:rPr>
          <w:rFonts w:ascii="Times New Roman" w:hAnsi="Times New Roman"/>
          <w:color w:val="000000"/>
          <w:lang w:bidi="ar-SA"/>
        </w:rPr>
      </w:pPr>
      <w:r w:rsidRPr="00181F28">
        <w:rPr>
          <w:rFonts w:ascii="Times New Roman" w:hAnsi="Times New Roman"/>
          <w:color w:val="000000"/>
          <w:lang w:bidi="ar-SA"/>
        </w:rPr>
        <w:lastRenderedPageBreak/>
        <w:tab/>
        <w:t>Wave 43</w:t>
      </w:r>
      <w:r w:rsidRPr="00181F28">
        <w:rPr>
          <w:rFonts w:ascii="Times New Roman" w:hAnsi="Times New Roman"/>
          <w:color w:val="000000"/>
          <w:lang w:bidi="ar-SA"/>
        </w:rPr>
        <w:tab/>
        <w:t>06/29/2018</w:t>
      </w:r>
    </w:p>
    <w:p w:rsidR="0011645A" w:rsidRPr="00181F28" w:rsidRDefault="0011645A" w:rsidP="0011645A">
      <w:pPr>
        <w:tabs>
          <w:tab w:val="left" w:pos="3240"/>
          <w:tab w:val="left" w:pos="5040"/>
        </w:tabs>
        <w:jc w:val="both"/>
        <w:outlineLvl w:val="0"/>
        <w:rPr>
          <w:rFonts w:ascii="Times New Roman" w:hAnsi="Times New Roman"/>
          <w:color w:val="000000"/>
          <w:lang w:bidi="ar-SA"/>
        </w:rPr>
      </w:pPr>
      <w:r w:rsidRPr="00181F28">
        <w:rPr>
          <w:rFonts w:ascii="Times New Roman" w:hAnsi="Times New Roman"/>
          <w:color w:val="000000"/>
          <w:lang w:bidi="ar-SA"/>
        </w:rPr>
        <w:tab/>
        <w:t>Wave 44</w:t>
      </w:r>
      <w:r w:rsidRPr="00181F28">
        <w:rPr>
          <w:rFonts w:ascii="Times New Roman" w:hAnsi="Times New Roman"/>
          <w:color w:val="000000"/>
          <w:lang w:bidi="ar-SA"/>
        </w:rPr>
        <w:tab/>
        <w:t>07/02/2018 (hurricane relief wave)</w:t>
      </w:r>
    </w:p>
    <w:p w:rsidR="0011645A" w:rsidRPr="00181F28" w:rsidRDefault="0011645A" w:rsidP="0011645A">
      <w:pPr>
        <w:tabs>
          <w:tab w:val="left" w:pos="3240"/>
          <w:tab w:val="left" w:pos="5040"/>
        </w:tabs>
        <w:jc w:val="both"/>
        <w:outlineLvl w:val="0"/>
        <w:rPr>
          <w:rFonts w:ascii="Times New Roman" w:hAnsi="Times New Roman"/>
          <w:color w:val="000000"/>
          <w:lang w:bidi="ar-SA"/>
        </w:rPr>
      </w:pPr>
      <w:r w:rsidRPr="00181F28">
        <w:rPr>
          <w:rFonts w:ascii="Times New Roman" w:hAnsi="Times New Roman"/>
          <w:color w:val="000000"/>
          <w:lang w:bidi="ar-SA"/>
        </w:rPr>
        <w:tab/>
        <w:t>Wave 45</w:t>
      </w:r>
      <w:r w:rsidRPr="00181F28">
        <w:rPr>
          <w:rFonts w:ascii="Times New Roman" w:hAnsi="Times New Roman"/>
          <w:color w:val="000000"/>
          <w:lang w:bidi="ar-SA"/>
        </w:rPr>
        <w:tab/>
        <w:t>07/06/2018</w:t>
      </w:r>
    </w:p>
    <w:bookmarkEnd w:id="21"/>
    <w:p w:rsidR="0011645A" w:rsidRPr="00181F28" w:rsidRDefault="0011645A" w:rsidP="0011645A">
      <w:pPr>
        <w:tabs>
          <w:tab w:val="left" w:pos="3240"/>
          <w:tab w:val="left" w:pos="5040"/>
        </w:tabs>
        <w:spacing w:before="120"/>
        <w:ind w:left="1800"/>
        <w:jc w:val="both"/>
        <w:outlineLvl w:val="0"/>
        <w:rPr>
          <w:rFonts w:ascii="Times New Roman" w:hAnsi="Times New Roman"/>
          <w:color w:val="000000"/>
          <w:lang w:bidi="ar-SA"/>
        </w:rPr>
      </w:pPr>
      <w:r w:rsidRPr="00181F28">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11645A" w:rsidRPr="00181F28" w:rsidRDefault="0011645A" w:rsidP="0011645A">
      <w:pPr>
        <w:tabs>
          <w:tab w:val="left" w:pos="3240"/>
          <w:tab w:val="left" w:pos="5040"/>
        </w:tabs>
        <w:spacing w:before="120"/>
        <w:ind w:left="1800"/>
        <w:jc w:val="both"/>
        <w:outlineLvl w:val="0"/>
        <w:rPr>
          <w:rFonts w:ascii="Times New Roman" w:hAnsi="Times New Roman"/>
          <w:color w:val="000000"/>
          <w:lang w:bidi="ar-SA"/>
        </w:rPr>
      </w:pPr>
      <w:r w:rsidRPr="00181F28">
        <w:rPr>
          <w:rFonts w:ascii="Times New Roman" w:hAnsi="Times New Roman"/>
          <w:color w:val="000000"/>
          <w:lang w:bidi="ar-SA"/>
        </w:rPr>
        <w:t xml:space="preserve">The first Form 486 deadline for FY </w:t>
      </w:r>
      <w:r w:rsidRPr="00181F28">
        <w:rPr>
          <w:rFonts w:ascii="Times New Roman" w:hAnsi="Times New Roman"/>
          <w:color w:val="000000"/>
          <w:u w:val="single"/>
          <w:lang w:bidi="ar-SA"/>
        </w:rPr>
        <w:t>2018</w:t>
      </w:r>
      <w:r w:rsidRPr="00181F28">
        <w:rPr>
          <w:rFonts w:ascii="Times New Roman" w:hAnsi="Times New Roman"/>
          <w:color w:val="000000"/>
          <w:lang w:bidi="ar-SA"/>
        </w:rPr>
        <w:t xml:space="preserve"> is not until October 29, 2018.</w:t>
      </w:r>
    </w:p>
    <w:p w:rsidR="0011645A" w:rsidRPr="00181F28" w:rsidRDefault="0011645A" w:rsidP="0011645A">
      <w:pPr>
        <w:ind w:left="1800" w:hanging="1800"/>
        <w:jc w:val="both"/>
        <w:outlineLvl w:val="0"/>
        <w:rPr>
          <w:rFonts w:ascii="Times New Roman" w:hAnsi="Times New Roman"/>
          <w:color w:val="000000"/>
          <w:lang w:bidi="ar-SA"/>
        </w:rPr>
      </w:pPr>
    </w:p>
    <w:p w:rsidR="0011645A" w:rsidRPr="00181F28" w:rsidRDefault="0011645A" w:rsidP="0011645A">
      <w:pPr>
        <w:ind w:left="1800" w:hanging="1440"/>
        <w:jc w:val="both"/>
        <w:outlineLvl w:val="0"/>
        <w:rPr>
          <w:rFonts w:ascii="Times New Roman" w:hAnsi="Times New Roman"/>
          <w:color w:val="000000"/>
          <w:lang w:bidi="ar-SA"/>
        </w:rPr>
      </w:pPr>
      <w:r w:rsidRPr="00181F28">
        <w:rPr>
          <w:rFonts w:ascii="Times New Roman" w:hAnsi="Times New Roman"/>
          <w:color w:val="000000"/>
          <w:lang w:bidi="ar-SA"/>
        </w:rPr>
        <w:t>June 20</w:t>
      </w:r>
      <w:r w:rsidRPr="00181F28">
        <w:rPr>
          <w:rFonts w:ascii="Times New Roman" w:hAnsi="Times New Roman"/>
          <w:color w:val="000000"/>
          <w:lang w:bidi="ar-SA"/>
        </w:rPr>
        <w:tab/>
        <w:t xml:space="preserve">USAC webinar on </w:t>
      </w:r>
      <w:hyperlink r:id="rId8" w:history="1">
        <w:r w:rsidRPr="00181F28">
          <w:rPr>
            <w:rFonts w:ascii="Times New Roman" w:hAnsi="Times New Roman"/>
            <w:color w:val="0000FF"/>
            <w:u w:val="single"/>
            <w:lang w:bidi="ar-SA"/>
          </w:rPr>
          <w:t>Understanding Post-Commitment Actions</w:t>
        </w:r>
      </w:hyperlink>
      <w:r w:rsidRPr="00181F28">
        <w:rPr>
          <w:rFonts w:ascii="Times New Roman" w:hAnsi="Times New Roman"/>
          <w:color w:val="000000"/>
          <w:lang w:bidi="ar-SA"/>
        </w:rPr>
        <w:t>.</w:t>
      </w:r>
    </w:p>
    <w:bookmarkEnd w:id="16"/>
    <w:bookmarkEnd w:id="18"/>
    <w:bookmarkEnd w:id="19"/>
    <w:p w:rsidR="0011645A" w:rsidRPr="00181F28" w:rsidRDefault="0011645A" w:rsidP="0011645A">
      <w:pPr>
        <w:ind w:left="1800" w:hanging="1440"/>
        <w:jc w:val="both"/>
        <w:rPr>
          <w:rFonts w:ascii="Times New Roman" w:hAnsi="Times New Roman"/>
          <w:color w:val="0000FF"/>
          <w:u w:val="single"/>
          <w:lang w:val="x-none" w:eastAsia="x-none" w:bidi="ar-SA"/>
        </w:rPr>
      </w:pPr>
    </w:p>
    <w:p w:rsidR="0011645A" w:rsidRPr="00181F28" w:rsidRDefault="0011645A" w:rsidP="0011645A">
      <w:pPr>
        <w:ind w:left="1800" w:hanging="1440"/>
        <w:jc w:val="both"/>
        <w:rPr>
          <w:rFonts w:ascii="Times New Roman" w:hAnsi="Times New Roman"/>
          <w:lang w:eastAsia="x-none" w:bidi="ar-SA"/>
        </w:rPr>
      </w:pPr>
      <w:r w:rsidRPr="00181F28">
        <w:rPr>
          <w:rFonts w:ascii="Times New Roman" w:hAnsi="Times New Roman"/>
          <w:lang w:eastAsia="x-none" w:bidi="ar-SA"/>
        </w:rPr>
        <w:t>June 30</w:t>
      </w:r>
      <w:r w:rsidRPr="00181F28">
        <w:rPr>
          <w:rFonts w:ascii="Times New Roman" w:hAnsi="Times New Roman"/>
          <w:lang w:eastAsia="x-none" w:bidi="ar-SA"/>
        </w:rPr>
        <w:tab/>
      </w:r>
      <w:r w:rsidRPr="00181F28">
        <w:rPr>
          <w:rFonts w:ascii="Times New Roman" w:hAnsi="Times New Roman"/>
          <w:szCs w:val="32"/>
          <w:lang w:val="x-none" w:eastAsia="x-none" w:bidi="ar-SA"/>
        </w:rPr>
        <w:t xml:space="preserve">Last day to file a </w:t>
      </w:r>
      <w:hyperlink r:id="rId9" w:anchor="InnerPageAnchor444ewsletters/News-of-the-Week/ArticleID/1665/May-28-2018" w:history="1">
        <w:r w:rsidRPr="00181F28">
          <w:rPr>
            <w:rFonts w:ascii="Times New Roman" w:hAnsi="Times New Roman"/>
            <w:color w:val="0000FF"/>
            <w:szCs w:val="32"/>
            <w:u w:val="single"/>
            <w:lang w:val="x-none" w:eastAsia="x-none" w:bidi="ar-SA"/>
          </w:rPr>
          <w:t xml:space="preserve">special construction </w:t>
        </w:r>
        <w:r w:rsidRPr="00181F28">
          <w:rPr>
            <w:rFonts w:ascii="Times New Roman" w:hAnsi="Times New Roman"/>
            <w:color w:val="0000FF"/>
            <w:szCs w:val="32"/>
            <w:u w:val="single"/>
            <w:lang w:val="x-none" w:eastAsia="x-none" w:bidi="ar-SA"/>
          </w:rPr>
          <w:t>i</w:t>
        </w:r>
        <w:r w:rsidRPr="00181F28">
          <w:rPr>
            <w:rFonts w:ascii="Times New Roman" w:hAnsi="Times New Roman"/>
            <w:color w:val="0000FF"/>
            <w:szCs w:val="32"/>
            <w:u w:val="single"/>
            <w:lang w:val="x-none" w:eastAsia="x-none" w:bidi="ar-SA"/>
          </w:rPr>
          <w:t>m</w:t>
        </w:r>
        <w:r w:rsidRPr="00181F28">
          <w:rPr>
            <w:rFonts w:ascii="Times New Roman" w:hAnsi="Times New Roman"/>
            <w:color w:val="0000FF"/>
            <w:szCs w:val="32"/>
            <w:u w:val="single"/>
            <w:lang w:val="x-none" w:eastAsia="x-none" w:bidi="ar-SA"/>
          </w:rPr>
          <w:t>p</w:t>
        </w:r>
        <w:r w:rsidRPr="00181F28">
          <w:rPr>
            <w:rFonts w:ascii="Times New Roman" w:hAnsi="Times New Roman"/>
            <w:color w:val="0000FF"/>
            <w:szCs w:val="32"/>
            <w:u w:val="single"/>
            <w:lang w:val="x-none" w:eastAsia="x-none" w:bidi="ar-SA"/>
          </w:rPr>
          <w:t>lementation deadline extension request</w:t>
        </w:r>
      </w:hyperlink>
      <w:r w:rsidRPr="00181F28">
        <w:rPr>
          <w:rFonts w:ascii="Times New Roman" w:hAnsi="Times New Roman"/>
          <w:szCs w:val="32"/>
          <w:lang w:val="x-none" w:eastAsia="x-none" w:bidi="ar-SA"/>
        </w:rPr>
        <w:t xml:space="preserve"> for FY 2017.</w:t>
      </w:r>
    </w:p>
    <w:p w:rsidR="0011645A" w:rsidRPr="00181F28" w:rsidRDefault="0011645A" w:rsidP="0011645A">
      <w:pPr>
        <w:ind w:left="1800" w:hanging="1440"/>
        <w:jc w:val="both"/>
        <w:rPr>
          <w:rFonts w:ascii="Times New Roman" w:hAnsi="Times New Roman"/>
          <w:lang w:eastAsia="x-none" w:bidi="ar-SA"/>
        </w:rPr>
      </w:pPr>
    </w:p>
    <w:p w:rsidR="0011645A" w:rsidRPr="00181F28" w:rsidRDefault="0011645A" w:rsidP="0011645A">
      <w:pPr>
        <w:ind w:left="1800" w:hanging="1440"/>
        <w:jc w:val="both"/>
        <w:rPr>
          <w:rFonts w:ascii="Times New Roman" w:hAnsi="Times New Roman"/>
          <w:lang w:eastAsia="x-none" w:bidi="ar-SA"/>
        </w:rPr>
      </w:pPr>
      <w:r w:rsidRPr="00181F28">
        <w:rPr>
          <w:rFonts w:ascii="Times New Roman" w:hAnsi="Times New Roman"/>
          <w:lang w:eastAsia="x-none" w:bidi="ar-SA"/>
        </w:rPr>
        <w:t>July 2</w:t>
      </w:r>
      <w:r w:rsidRPr="00181F28">
        <w:rPr>
          <w:rFonts w:ascii="Times New Roman" w:hAnsi="Times New Roman"/>
          <w:lang w:eastAsia="x-none" w:bidi="ar-SA"/>
        </w:rPr>
        <w:tab/>
        <w:t xml:space="preserve">Reply comment deadline </w:t>
      </w:r>
      <w:r w:rsidRPr="00181F28">
        <w:rPr>
          <w:rFonts w:ascii="Times New Roman" w:hAnsi="Times New Roman"/>
          <w:color w:val="000000"/>
          <w:szCs w:val="32"/>
          <w:lang w:val="x-none" w:eastAsia="x-none" w:bidi="ar-SA"/>
        </w:rPr>
        <w:t xml:space="preserve">on the FCC’s Notice of Proposed Rulemaking (“NPRM”) on </w:t>
      </w:r>
      <w:r w:rsidRPr="00181F28">
        <w:rPr>
          <w:rFonts w:ascii="Times New Roman" w:hAnsi="Times New Roman"/>
          <w:i/>
          <w:color w:val="000000"/>
          <w:szCs w:val="32"/>
          <w:lang w:val="x-none" w:eastAsia="x-none" w:bidi="ar-SA"/>
        </w:rPr>
        <w:t xml:space="preserve">Protecting Against National Security Threats to the Communications Supply Chain Through FCC Programs </w:t>
      </w:r>
      <w:r w:rsidRPr="00181F28">
        <w:rPr>
          <w:rFonts w:ascii="Times New Roman" w:hAnsi="Times New Roman"/>
          <w:color w:val="000000"/>
          <w:szCs w:val="32"/>
          <w:lang w:val="x-none" w:eastAsia="x-none" w:bidi="ar-SA"/>
        </w:rPr>
        <w:t xml:space="preserve">(see </w:t>
      </w:r>
      <w:hyperlink r:id="rId10" w:history="1">
        <w:r w:rsidRPr="00181F28">
          <w:rPr>
            <w:rFonts w:ascii="Times New Roman" w:hAnsi="Times New Roman"/>
            <w:color w:val="0000FF"/>
            <w:szCs w:val="32"/>
            <w:u w:val="single"/>
            <w:lang w:val="x-none" w:eastAsia="x-none" w:bidi="ar-SA"/>
          </w:rPr>
          <w:t>FCC 18-42</w:t>
        </w:r>
      </w:hyperlink>
      <w:r w:rsidRPr="00181F28">
        <w:rPr>
          <w:rFonts w:ascii="Times New Roman" w:hAnsi="Times New Roman"/>
          <w:color w:val="000000"/>
          <w:szCs w:val="32"/>
          <w:lang w:val="x-none" w:eastAsia="x-none" w:bidi="ar-SA"/>
        </w:rPr>
        <w:t>).</w:t>
      </w:r>
    </w:p>
    <w:p w:rsidR="0011645A" w:rsidRPr="00181F28" w:rsidRDefault="0011645A" w:rsidP="0011645A">
      <w:pPr>
        <w:ind w:left="1800" w:hanging="1440"/>
        <w:jc w:val="both"/>
        <w:rPr>
          <w:rFonts w:ascii="Times New Roman" w:hAnsi="Times New Roman"/>
          <w:color w:val="0000FF"/>
          <w:u w:val="single"/>
          <w:lang w:val="x-none" w:eastAsia="x-none" w:bidi="ar-SA"/>
        </w:rPr>
      </w:pPr>
    </w:p>
    <w:p w:rsidR="0011645A" w:rsidRPr="00181F28" w:rsidRDefault="0011645A" w:rsidP="0011645A">
      <w:pPr>
        <w:ind w:left="1800" w:hanging="1440"/>
        <w:jc w:val="both"/>
        <w:rPr>
          <w:rFonts w:ascii="Times New Roman" w:hAnsi="Times New Roman"/>
          <w:color w:val="0000FF"/>
          <w:lang w:eastAsia="x-none" w:bidi="ar-SA"/>
        </w:rPr>
      </w:pPr>
      <w:r w:rsidRPr="00181F28">
        <w:rPr>
          <w:rFonts w:ascii="Times New Roman" w:hAnsi="Times New Roman"/>
          <w:lang w:eastAsia="x-none" w:bidi="ar-SA"/>
        </w:rPr>
        <w:t>July 23</w:t>
      </w:r>
      <w:r w:rsidRPr="00181F28">
        <w:rPr>
          <w:rFonts w:ascii="Times New Roman" w:hAnsi="Times New Roman"/>
          <w:color w:val="0000FF"/>
          <w:lang w:eastAsia="x-none" w:bidi="ar-SA"/>
        </w:rPr>
        <w:tab/>
      </w:r>
      <w:r w:rsidRPr="00181F28">
        <w:rPr>
          <w:rFonts w:ascii="Times New Roman" w:hAnsi="Times New Roman"/>
          <w:color w:val="000000"/>
          <w:lang w:bidi="ar-SA"/>
        </w:rPr>
        <w:t xml:space="preserve">Deadline for submitting Form 470/471 comments (see </w:t>
      </w:r>
      <w:hyperlink r:id="rId11" w:history="1">
        <w:r w:rsidRPr="00181F28">
          <w:rPr>
            <w:rFonts w:ascii="Times New Roman" w:hAnsi="Times New Roman"/>
            <w:color w:val="0000FF"/>
            <w:u w:val="single"/>
            <w:lang w:bidi="ar-SA"/>
          </w:rPr>
          <w:t>Federal Register notice</w:t>
        </w:r>
      </w:hyperlink>
      <w:r w:rsidRPr="00181F28">
        <w:rPr>
          <w:rFonts w:ascii="Times New Roman" w:hAnsi="Times New Roman"/>
          <w:color w:val="000000"/>
          <w:lang w:bidi="ar-SA"/>
        </w:rPr>
        <w:t>).</w:t>
      </w:r>
      <w:bookmarkEnd w:id="20"/>
    </w:p>
    <w:p w:rsidR="0011645A" w:rsidRPr="00181F28" w:rsidRDefault="0011645A" w:rsidP="0011645A">
      <w:pPr>
        <w:outlineLvl w:val="0"/>
        <w:rPr>
          <w:rFonts w:ascii="Times New Roman" w:hAnsi="Times New Roman"/>
          <w:i/>
          <w:color w:val="1F497D"/>
        </w:rPr>
      </w:pPr>
      <w:bookmarkStart w:id="22" w:name="_Hlk514143203"/>
      <w:bookmarkStart w:id="23" w:name="_Hlk514143783"/>
      <w:bookmarkEnd w:id="1"/>
      <w:bookmarkEnd w:id="2"/>
      <w:bookmarkEnd w:id="3"/>
      <w:bookmarkEnd w:id="4"/>
      <w:bookmarkEnd w:id="5"/>
      <w:bookmarkEnd w:id="6"/>
    </w:p>
    <w:p w:rsidR="0011645A" w:rsidRPr="00181F28" w:rsidRDefault="0011645A" w:rsidP="0011645A">
      <w:pPr>
        <w:outlineLvl w:val="0"/>
        <w:rPr>
          <w:rFonts w:ascii="Times New Roman" w:hAnsi="Times New Roman"/>
          <w:i/>
          <w:color w:val="1F497D"/>
        </w:rPr>
      </w:pPr>
      <w:bookmarkStart w:id="24" w:name="_Hlk516839946"/>
      <w:r w:rsidRPr="00181F28">
        <w:rPr>
          <w:rFonts w:ascii="Times New Roman" w:hAnsi="Times New Roman"/>
          <w:i/>
          <w:color w:val="1F497D"/>
        </w:rPr>
        <w:t>Zero-Funded SPIs:</w:t>
      </w:r>
    </w:p>
    <w:p w:rsidR="0011645A" w:rsidRPr="00181F28" w:rsidRDefault="0011645A" w:rsidP="0011645A">
      <w:pPr>
        <w:outlineLvl w:val="0"/>
        <w:rPr>
          <w:rFonts w:ascii="Times New Roman" w:hAnsi="Times New Roman"/>
          <w:i/>
          <w:color w:val="1F497D"/>
        </w:rPr>
      </w:pPr>
    </w:p>
    <w:p w:rsidR="0011645A" w:rsidRPr="00181F28" w:rsidRDefault="0011645A" w:rsidP="0011645A">
      <w:pPr>
        <w:spacing w:after="200"/>
        <w:jc w:val="both"/>
        <w:outlineLvl w:val="0"/>
        <w:rPr>
          <w:rFonts w:ascii="Times New Roman" w:hAnsi="Times New Roman"/>
        </w:rPr>
      </w:pPr>
      <w:r w:rsidRPr="00181F28">
        <w:rPr>
          <w:rFonts w:ascii="Times New Roman" w:hAnsi="Times New Roman"/>
        </w:rPr>
        <w:t>As of last week, the FRN Status Tool ("</w:t>
      </w:r>
      <w:hyperlink r:id="rId12" w:history="1">
        <w:r w:rsidRPr="00181F28">
          <w:rPr>
            <w:rFonts w:ascii="Times New Roman" w:hAnsi="Times New Roman"/>
            <w:color w:val="0000FF"/>
            <w:u w:val="single"/>
          </w:rPr>
          <w:t>FST</w:t>
        </w:r>
      </w:hyperlink>
      <w:r w:rsidRPr="00181F28">
        <w:rPr>
          <w:rFonts w:ascii="Times New Roman" w:hAnsi="Times New Roman"/>
        </w:rPr>
        <w:t>") showed that 25% of the 3,000 funded FRNs for Time Warner Cable (“TWC” – SPIN 143048275) for FY 2017 were set in the Service Provider Invoice (“SPI”) mode with disbursements of $0.00.  Usually when (a) the invoice mode is set, and (b) zero dollars are shown as disbursed, it means that a BEAR or SPI invoice had been filed and rejected.  This situation is different.  In particular:</w:t>
      </w:r>
    </w:p>
    <w:p w:rsidR="0011645A" w:rsidRPr="00181F28" w:rsidRDefault="0011645A" w:rsidP="0011645A">
      <w:pPr>
        <w:numPr>
          <w:ilvl w:val="0"/>
          <w:numId w:val="23"/>
        </w:numPr>
        <w:spacing w:after="120"/>
        <w:jc w:val="both"/>
        <w:outlineLvl w:val="0"/>
        <w:rPr>
          <w:rFonts w:ascii="Times New Roman" w:hAnsi="Times New Roman"/>
        </w:rPr>
      </w:pPr>
      <w:r w:rsidRPr="00181F28">
        <w:rPr>
          <w:rFonts w:ascii="Times New Roman" w:hAnsi="Times New Roman"/>
        </w:rPr>
        <w:t>TWC filed a series of SPIs for a subset of its own customers explicitly requesting $0.00.  Because the invoice mode for these FRNs had been “NOT SET,” the filings set the mode to “SPI.”  Once the mode has been set to “SPI,” the USAC invoicing system will not accept BEARs.</w:t>
      </w:r>
    </w:p>
    <w:p w:rsidR="0011645A" w:rsidRPr="00181F28" w:rsidRDefault="0011645A" w:rsidP="0011645A">
      <w:pPr>
        <w:numPr>
          <w:ilvl w:val="0"/>
          <w:numId w:val="23"/>
        </w:numPr>
        <w:spacing w:after="120"/>
        <w:jc w:val="both"/>
        <w:outlineLvl w:val="0"/>
        <w:rPr>
          <w:rFonts w:ascii="Times New Roman" w:hAnsi="Times New Roman"/>
        </w:rPr>
      </w:pPr>
      <w:r w:rsidRPr="00181F28">
        <w:rPr>
          <w:rFonts w:ascii="Times New Roman" w:hAnsi="Times New Roman"/>
        </w:rPr>
        <w:t>As a second step, TWC presumably plans to file a second series of SPIs requesting approved discounts on their customers’ total eligible charges for FY 2017.  Those discounts, when paid by USAC, would then be applied as credits towards their customers’ FY 2018 bills.</w:t>
      </w:r>
    </w:p>
    <w:p w:rsidR="0011645A" w:rsidRPr="00181F28" w:rsidRDefault="0011645A" w:rsidP="0011645A">
      <w:pPr>
        <w:numPr>
          <w:ilvl w:val="0"/>
          <w:numId w:val="23"/>
        </w:numPr>
        <w:spacing w:after="120"/>
        <w:jc w:val="both"/>
        <w:outlineLvl w:val="0"/>
        <w:rPr>
          <w:rFonts w:ascii="Times New Roman" w:hAnsi="Times New Roman"/>
        </w:rPr>
      </w:pPr>
      <w:r w:rsidRPr="00181F28">
        <w:rPr>
          <w:rFonts w:ascii="Times New Roman" w:hAnsi="Times New Roman"/>
        </w:rPr>
        <w:t xml:space="preserve">Financially, from the customers’ perspective, the results are much the same as if they’d filed BEARs.  The customers get the same full-year discounts retroactively, but without </w:t>
      </w:r>
      <w:proofErr w:type="gramStart"/>
      <w:r w:rsidRPr="00181F28">
        <w:rPr>
          <w:rFonts w:ascii="Times New Roman" w:hAnsi="Times New Roman"/>
        </w:rPr>
        <w:t>actually preparing</w:t>
      </w:r>
      <w:proofErr w:type="gramEnd"/>
      <w:r w:rsidRPr="00181F28">
        <w:rPr>
          <w:rFonts w:ascii="Times New Roman" w:hAnsi="Times New Roman"/>
        </w:rPr>
        <w:t xml:space="preserve"> and submitting BEARs.  That’s the good “but.”</w:t>
      </w:r>
    </w:p>
    <w:p w:rsidR="0011645A" w:rsidRPr="00181F28" w:rsidRDefault="0011645A" w:rsidP="0011645A">
      <w:pPr>
        <w:numPr>
          <w:ilvl w:val="0"/>
          <w:numId w:val="23"/>
        </w:numPr>
        <w:spacing w:after="120"/>
        <w:jc w:val="both"/>
        <w:outlineLvl w:val="0"/>
        <w:rPr>
          <w:rFonts w:ascii="Times New Roman" w:hAnsi="Times New Roman"/>
        </w:rPr>
      </w:pPr>
      <w:r w:rsidRPr="00181F28">
        <w:rPr>
          <w:rFonts w:ascii="Times New Roman" w:hAnsi="Times New Roman"/>
        </w:rPr>
        <w:t>The other “but” is that, by default, the customers are getting credits, not cash.  This defeats one of the purposes of the change to direct payment BEARs effective July 2016.</w:t>
      </w:r>
    </w:p>
    <w:p w:rsidR="0011645A" w:rsidRPr="00181F28" w:rsidRDefault="0011645A" w:rsidP="0011645A">
      <w:pPr>
        <w:numPr>
          <w:ilvl w:val="0"/>
          <w:numId w:val="23"/>
        </w:numPr>
        <w:contextualSpacing/>
        <w:jc w:val="both"/>
        <w:outlineLvl w:val="0"/>
        <w:rPr>
          <w:rFonts w:ascii="Times New Roman" w:hAnsi="Times New Roman"/>
        </w:rPr>
      </w:pPr>
      <w:r w:rsidRPr="00181F28">
        <w:rPr>
          <w:rFonts w:ascii="Times New Roman" w:hAnsi="Times New Roman"/>
        </w:rPr>
        <w:t xml:space="preserve">One other effect — assuming the customers accept the credits (and assuming they retain TWC services) — is that the customers’ TWC actual payments for FY 2018 are not constant each month.  They begin the year at $0/month while the credits are being </w:t>
      </w:r>
      <w:r w:rsidRPr="00181F28">
        <w:rPr>
          <w:rFonts w:ascii="Times New Roman" w:hAnsi="Times New Roman"/>
        </w:rPr>
        <w:lastRenderedPageBreak/>
        <w:t>applied, then revert to the full monthly undiscounted amount once the credits are fully utilized — a potential source of confusion as the year ends.</w:t>
      </w:r>
    </w:p>
    <w:p w:rsidR="0011645A" w:rsidRPr="00181F28" w:rsidRDefault="0011645A" w:rsidP="0011645A">
      <w:pPr>
        <w:jc w:val="both"/>
        <w:outlineLvl w:val="0"/>
        <w:rPr>
          <w:rFonts w:ascii="Times New Roman" w:hAnsi="Times New Roman"/>
        </w:rPr>
      </w:pPr>
    </w:p>
    <w:p w:rsidR="0011645A" w:rsidRPr="00181F28" w:rsidRDefault="0011645A" w:rsidP="0011645A">
      <w:pPr>
        <w:jc w:val="both"/>
        <w:outlineLvl w:val="0"/>
        <w:rPr>
          <w:rFonts w:ascii="Times New Roman" w:hAnsi="Times New Roman"/>
        </w:rPr>
      </w:pPr>
      <w:r w:rsidRPr="00181F28">
        <w:rPr>
          <w:rFonts w:ascii="Times New Roman" w:hAnsi="Times New Roman"/>
        </w:rPr>
        <w:t xml:space="preserve">It is not immediately clear why some TWC customer accounts are being handled this way, and why others are not.  At least in some cases, the treatment does not appear to be at the customers’ request.  Our recommendation to affected customers who prefer to receive their discounts as cash reimbursements is to request TWC to issue checks for the full credit amount.  </w:t>
      </w:r>
      <w:bookmarkStart w:id="25" w:name="_Hlk516840396"/>
      <w:r w:rsidRPr="00181F28">
        <w:rPr>
          <w:rFonts w:ascii="Times New Roman" w:hAnsi="Times New Roman"/>
        </w:rPr>
        <w:t>This would also be a good time to affirmatively request either SPI or BEAR invoicing treatment for FY 2018.</w:t>
      </w:r>
      <w:bookmarkEnd w:id="25"/>
    </w:p>
    <w:bookmarkEnd w:id="24"/>
    <w:p w:rsidR="0011645A" w:rsidRPr="00181F28" w:rsidRDefault="0011645A" w:rsidP="0011645A">
      <w:pPr>
        <w:outlineLvl w:val="0"/>
        <w:rPr>
          <w:rFonts w:ascii="Times New Roman" w:hAnsi="Times New Roman"/>
          <w:i/>
          <w:color w:val="1F497D"/>
        </w:rPr>
      </w:pPr>
    </w:p>
    <w:p w:rsidR="0011645A" w:rsidRPr="00181F28" w:rsidRDefault="0011645A" w:rsidP="0011645A">
      <w:pPr>
        <w:outlineLvl w:val="0"/>
        <w:rPr>
          <w:rFonts w:ascii="Times New Roman" w:hAnsi="Times New Roman"/>
          <w:i/>
          <w:color w:val="1F497D"/>
        </w:rPr>
      </w:pPr>
      <w:r w:rsidRPr="00181F28">
        <w:rPr>
          <w:rFonts w:ascii="Times New Roman" w:hAnsi="Times New Roman"/>
          <w:i/>
          <w:color w:val="1F497D"/>
        </w:rPr>
        <w:t>3Q18 Projected Contribution Factor:</w:t>
      </w:r>
    </w:p>
    <w:p w:rsidR="0011645A" w:rsidRPr="00181F28" w:rsidRDefault="0011645A" w:rsidP="0011645A">
      <w:pPr>
        <w:outlineLvl w:val="0"/>
        <w:rPr>
          <w:rFonts w:ascii="Times New Roman" w:hAnsi="Times New Roman"/>
          <w:i/>
          <w:color w:val="1F497D"/>
        </w:rPr>
      </w:pPr>
    </w:p>
    <w:p w:rsidR="0011645A" w:rsidRPr="00181F28" w:rsidRDefault="0011645A" w:rsidP="0011645A">
      <w:pPr>
        <w:jc w:val="both"/>
        <w:outlineLvl w:val="0"/>
        <w:rPr>
          <w:rFonts w:ascii="Times New Roman" w:hAnsi="Times New Roman"/>
        </w:rPr>
      </w:pPr>
      <w:r w:rsidRPr="00181F28">
        <w:rPr>
          <w:rFonts w:ascii="Times New Roman" w:hAnsi="Times New Roman"/>
        </w:rPr>
        <w:t>The FCC announced (</w:t>
      </w:r>
      <w:hyperlink r:id="rId13" w:history="1">
        <w:r w:rsidRPr="00181F28">
          <w:rPr>
            <w:rFonts w:ascii="Times New Roman" w:hAnsi="Times New Roman"/>
            <w:color w:val="0000FF"/>
            <w:u w:val="single"/>
          </w:rPr>
          <w:t>DA 18-613</w:t>
        </w:r>
      </w:hyperlink>
      <w:r w:rsidRPr="00181F28">
        <w:rPr>
          <w:rFonts w:ascii="Times New Roman" w:hAnsi="Times New Roman"/>
        </w:rPr>
        <w:t xml:space="preserve">) the proposed Universal Service Fund (“USF”) contribution percentage for the third quarter of calendar 2018 — corresponding to the first funding quarter of E-rate’s FY 2018.  Overall, the contribution factor decreased from 18.4% in 2Q18 to 17.9%.  The decrease is largely the result of the roughly $400 million decline in E-rate demand for FY 2018 versus FY 2017.  The decrease will give the FCC a little </w:t>
      </w:r>
      <w:proofErr w:type="gramStart"/>
      <w:r w:rsidRPr="00181F28">
        <w:rPr>
          <w:rFonts w:ascii="Times New Roman" w:hAnsi="Times New Roman"/>
        </w:rPr>
        <w:t>more slack</w:t>
      </w:r>
      <w:proofErr w:type="gramEnd"/>
      <w:r w:rsidRPr="00181F28">
        <w:rPr>
          <w:rFonts w:ascii="Times New Roman" w:hAnsi="Times New Roman"/>
        </w:rPr>
        <w:t xml:space="preserve"> to fund the </w:t>
      </w:r>
      <w:hyperlink r:id="rId14" w:history="1">
        <w:r w:rsidRPr="00181F28">
          <w:rPr>
            <w:rFonts w:ascii="Times New Roman" w:hAnsi="Times New Roman"/>
            <w:color w:val="0000FF"/>
            <w:u w:val="single"/>
          </w:rPr>
          <w:t>$171 million increase</w:t>
        </w:r>
      </w:hyperlink>
      <w:r w:rsidRPr="00181F28">
        <w:rPr>
          <w:rFonts w:ascii="Times New Roman" w:hAnsi="Times New Roman"/>
        </w:rPr>
        <w:t xml:space="preserve"> in the USF’s Rural Health Care Program that the Commissioners approved last week.</w:t>
      </w:r>
    </w:p>
    <w:p w:rsidR="0011645A" w:rsidRPr="00181F28" w:rsidRDefault="0011645A" w:rsidP="0011645A">
      <w:pPr>
        <w:jc w:val="both"/>
        <w:rPr>
          <w:rFonts w:ascii="Times New Roman" w:hAnsi="Times New Roman"/>
          <w:sz w:val="36"/>
          <w:szCs w:val="36"/>
        </w:rPr>
      </w:pPr>
    </w:p>
    <w:p w:rsidR="0011645A" w:rsidRPr="00181F28" w:rsidRDefault="0011645A" w:rsidP="0011645A">
      <w:pPr>
        <w:jc w:val="both"/>
        <w:rPr>
          <w:rFonts w:ascii="Times New Roman" w:hAnsi="Times New Roman"/>
          <w:b/>
          <w:color w:val="1F497D"/>
        </w:rPr>
      </w:pPr>
      <w:bookmarkStart w:id="26" w:name="_Hlk514143523"/>
      <w:r w:rsidRPr="00181F28">
        <w:rPr>
          <w:rFonts w:ascii="Times New Roman" w:hAnsi="Times New Roman"/>
          <w:b/>
          <w:color w:val="1F497D"/>
        </w:rPr>
        <w:t>USAC News Brief Dated June 15 – News Brief News</w:t>
      </w:r>
    </w:p>
    <w:p w:rsidR="0011645A" w:rsidRPr="00181F28" w:rsidRDefault="0011645A" w:rsidP="0011645A">
      <w:pPr>
        <w:jc w:val="both"/>
        <w:rPr>
          <w:rFonts w:ascii="Times New Roman" w:hAnsi="Times New Roman"/>
          <w:b/>
          <w:color w:val="1F497D"/>
        </w:rPr>
      </w:pPr>
    </w:p>
    <w:p w:rsidR="0011645A" w:rsidRPr="00181F28" w:rsidRDefault="0011645A" w:rsidP="0011645A">
      <w:pPr>
        <w:spacing w:after="160"/>
        <w:jc w:val="both"/>
        <w:rPr>
          <w:rFonts w:ascii="Times New Roman" w:hAnsi="Times New Roman"/>
        </w:rPr>
      </w:pPr>
      <w:hyperlink r:id="rId15" w:history="1">
        <w:r w:rsidRPr="00181F28">
          <w:rPr>
            <w:rFonts w:ascii="Times New Roman" w:hAnsi="Times New Roman"/>
            <w:color w:val="0000FF"/>
            <w:u w:val="single"/>
          </w:rPr>
          <w:t>USAC’s Schools and Libraries News Brief of June 15, 2018</w:t>
        </w:r>
      </w:hyperlink>
      <w:r w:rsidRPr="00181F28">
        <w:rPr>
          <w:rFonts w:ascii="Times New Roman" w:hAnsi="Times New Roman"/>
        </w:rPr>
        <w:t>,</w:t>
      </w:r>
      <w:bookmarkEnd w:id="7"/>
      <w:bookmarkEnd w:id="10"/>
      <w:bookmarkEnd w:id="11"/>
      <w:bookmarkEnd w:id="12"/>
      <w:r w:rsidRPr="00181F28">
        <w:rPr>
          <w:rFonts w:ascii="Times New Roman" w:hAnsi="Times New Roman"/>
        </w:rPr>
        <w:t xml:space="preserve"> provides a few simple instructions for readers of USAC’s weekly News Briefs, namely:</w:t>
      </w:r>
    </w:p>
    <w:p w:rsidR="0011645A" w:rsidRPr="00181F28" w:rsidRDefault="0011645A" w:rsidP="0011645A">
      <w:pPr>
        <w:numPr>
          <w:ilvl w:val="0"/>
          <w:numId w:val="24"/>
        </w:numPr>
        <w:spacing w:after="60"/>
        <w:ind w:left="778"/>
        <w:jc w:val="both"/>
        <w:rPr>
          <w:rFonts w:ascii="Times New Roman" w:hAnsi="Times New Roman"/>
        </w:rPr>
      </w:pPr>
      <w:r w:rsidRPr="00181F28">
        <w:rPr>
          <w:rFonts w:ascii="Times New Roman" w:hAnsi="Times New Roman"/>
        </w:rPr>
        <w:t xml:space="preserve">How to search the News Brief </w:t>
      </w:r>
      <w:hyperlink r:id="rId16" w:history="1">
        <w:r w:rsidRPr="00181F28">
          <w:rPr>
            <w:rFonts w:ascii="Times New Roman" w:hAnsi="Times New Roman"/>
            <w:color w:val="0000FF"/>
            <w:u w:val="single"/>
          </w:rPr>
          <w:t>archive</w:t>
        </w:r>
      </w:hyperlink>
      <w:r w:rsidRPr="00181F28">
        <w:rPr>
          <w:rFonts w:ascii="Times New Roman" w:hAnsi="Times New Roman"/>
        </w:rPr>
        <w:t>.</w:t>
      </w:r>
    </w:p>
    <w:p w:rsidR="0011645A" w:rsidRPr="00181F28" w:rsidRDefault="0011645A" w:rsidP="0011645A">
      <w:pPr>
        <w:numPr>
          <w:ilvl w:val="0"/>
          <w:numId w:val="24"/>
        </w:numPr>
        <w:spacing w:after="60"/>
        <w:ind w:left="778"/>
        <w:jc w:val="both"/>
        <w:rPr>
          <w:rFonts w:ascii="Times New Roman" w:hAnsi="Times New Roman"/>
        </w:rPr>
      </w:pPr>
      <w:r w:rsidRPr="00181F28">
        <w:rPr>
          <w:rFonts w:ascii="Times New Roman" w:hAnsi="Times New Roman"/>
        </w:rPr>
        <w:t>How to search for News Briefs under EPC’s News tab.</w:t>
      </w:r>
    </w:p>
    <w:p w:rsidR="0011645A" w:rsidRPr="00181F28" w:rsidRDefault="0011645A" w:rsidP="0011645A">
      <w:pPr>
        <w:numPr>
          <w:ilvl w:val="0"/>
          <w:numId w:val="24"/>
        </w:numPr>
        <w:spacing w:after="120"/>
        <w:contextualSpacing/>
        <w:jc w:val="both"/>
        <w:rPr>
          <w:rFonts w:ascii="Times New Roman" w:hAnsi="Times New Roman"/>
        </w:rPr>
      </w:pPr>
      <w:r w:rsidRPr="00181F28">
        <w:rPr>
          <w:rFonts w:ascii="Times New Roman" w:hAnsi="Times New Roman"/>
        </w:rPr>
        <w:t>How to subscribe to the News Brief’s email distribution list.</w:t>
      </w:r>
    </w:p>
    <w:bookmarkEnd w:id="8"/>
    <w:bookmarkEnd w:id="13"/>
    <w:bookmarkEnd w:id="22"/>
    <w:bookmarkEnd w:id="23"/>
    <w:bookmarkEnd w:id="26"/>
    <w:p w:rsidR="00765CE2" w:rsidRPr="00765CE2" w:rsidRDefault="00765CE2" w:rsidP="00765CE2">
      <w:pPr>
        <w:jc w:val="both"/>
        <w:rPr>
          <w:rFonts w:ascii="Times New Roman" w:hAnsi="Times New Roman"/>
          <w:b/>
          <w:sz w:val="36"/>
          <w:szCs w:val="36"/>
        </w:rPr>
      </w:pPr>
    </w:p>
    <w:p w:rsidR="00765CE2" w:rsidRDefault="00765CE2" w:rsidP="00C87A65"/>
    <w:p w:rsidR="00765CE2" w:rsidRDefault="00765CE2" w:rsidP="00C87A65"/>
    <w:p w:rsidR="00765CE2" w:rsidRDefault="00765CE2" w:rsidP="00C87A65"/>
    <w:p w:rsidR="0052057B" w:rsidRPr="004A4956" w:rsidRDefault="0052057B" w:rsidP="0052057B">
      <w:pP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rPr>
        <w:t>---------------------------------------------------------------------------------------------------------------------</w:t>
      </w: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8C07A9" w:rsidRDefault="0052057B" w:rsidP="0052057B">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17"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"http://www.e-ratecentral.com/images/icon-twitter.png"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"http://www.e-ratecentral.com/images/icon-twitter.png"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w:instrText>
        </w:r>
        <w:r w:rsidR="00A11A81">
          <w:rPr>
            <w:rFonts w:ascii="Verdana" w:hAnsi="Verdana"/>
            <w:color w:val="0000FF"/>
            <w:sz w:val="16"/>
            <w:szCs w:val="16"/>
          </w:rPr>
          <w:instrText>INCLUDEPICTURE  "http://www.e-ratecentral.com/images/icon-twitter.png" \* MERGEFORMATINET</w:instrText>
        </w:r>
        <w:r w:rsidR="00A11A81">
          <w:rPr>
            <w:rFonts w:ascii="Verdana" w:hAnsi="Verdana"/>
            <w:color w:val="0000FF"/>
            <w:sz w:val="16"/>
            <w:szCs w:val="16"/>
          </w:rPr>
          <w:instrText xml:space="preserve"> </w:instrText>
        </w:r>
        <w:r w:rsidR="00A11A81">
          <w:rPr>
            <w:rFonts w:ascii="Verdana" w:hAnsi="Verdana"/>
            <w:color w:val="0000FF"/>
            <w:sz w:val="16"/>
            <w:szCs w:val="16"/>
          </w:rPr>
          <w:fldChar w:fldCharType="separate"/>
        </w:r>
        <w:r w:rsidR="0011645A">
          <w:rPr>
            <w:rFonts w:ascii="Verdana" w:hAnsi="Verdana"/>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Rate Central on Twitter" style="width:18.4pt;height:18.4pt" o:button="t">
              <v:imagedata r:id="rId18" r:href="rId19"/>
            </v:shape>
          </w:pict>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0"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"http://www.e-ratecentral.com/images/icon-facebook.png"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"http://www.e-ratecentral.com/images/icon-facebook.png"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w:instrText>
        </w:r>
        <w:r w:rsidR="00A11A81">
          <w:rPr>
            <w:rFonts w:ascii="Verdana" w:hAnsi="Verdana"/>
            <w:color w:val="0000FF"/>
            <w:sz w:val="16"/>
            <w:szCs w:val="16"/>
          </w:rPr>
          <w:instrText>INCLUDEPICTURE  "http://www.e-ratecentral.com/images/icon-f</w:instrText>
        </w:r>
        <w:r w:rsidR="00A11A81">
          <w:rPr>
            <w:rFonts w:ascii="Verdana" w:hAnsi="Verdana"/>
            <w:color w:val="0000FF"/>
            <w:sz w:val="16"/>
            <w:szCs w:val="16"/>
          </w:rPr>
          <w:instrText>acebook.png" \* MERGEFORMATINET</w:instrText>
        </w:r>
        <w:r w:rsidR="00A11A81">
          <w:rPr>
            <w:rFonts w:ascii="Verdana" w:hAnsi="Verdana"/>
            <w:color w:val="0000FF"/>
            <w:sz w:val="16"/>
            <w:szCs w:val="16"/>
          </w:rPr>
          <w:instrText xml:space="preserve"> </w:instrText>
        </w:r>
        <w:r w:rsidR="00A11A81">
          <w:rPr>
            <w:rFonts w:ascii="Verdana" w:hAnsi="Verdana"/>
            <w:color w:val="0000FF"/>
            <w:sz w:val="16"/>
            <w:szCs w:val="16"/>
          </w:rPr>
          <w:fldChar w:fldCharType="separate"/>
        </w:r>
        <w:r w:rsidR="0011645A">
          <w:rPr>
            <w:rFonts w:ascii="Verdana" w:hAnsi="Verdana"/>
            <w:color w:val="0000FF"/>
            <w:sz w:val="16"/>
            <w:szCs w:val="16"/>
          </w:rPr>
          <w:pict>
            <v:shape id="_x0000_i1026" type="#_x0000_t75" alt="E-Rate Central on Facebook" style="width:18.4pt;height:18.4pt" o:button="t">
              <v:imagedata r:id="rId21" r:href="rId22"/>
            </v:shape>
          </w:pict>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3"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"http://www.e-ratecentral.com/images/icon-linkedin.png"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"http://www.e-ratecentral.com/images/icon-linkedin.png"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w:instrText>
        </w:r>
        <w:r w:rsidR="00A11A81">
          <w:rPr>
            <w:rFonts w:ascii="Verdana" w:hAnsi="Verdana"/>
            <w:color w:val="0000FF"/>
            <w:sz w:val="16"/>
            <w:szCs w:val="16"/>
          </w:rPr>
          <w:instrText>INCLUDEPICTURE  "http://www.e-ratecentral.com/images/icon-linkedin.png" \* MERGEFORMATINET</w:instrText>
        </w:r>
        <w:r w:rsidR="00A11A81">
          <w:rPr>
            <w:rFonts w:ascii="Verdana" w:hAnsi="Verdana"/>
            <w:color w:val="0000FF"/>
            <w:sz w:val="16"/>
            <w:szCs w:val="16"/>
          </w:rPr>
          <w:instrText xml:space="preserve"> </w:instrText>
        </w:r>
        <w:r w:rsidR="00A11A81">
          <w:rPr>
            <w:rFonts w:ascii="Verdana" w:hAnsi="Verdana"/>
            <w:color w:val="0000FF"/>
            <w:sz w:val="16"/>
            <w:szCs w:val="16"/>
          </w:rPr>
          <w:fldChar w:fldCharType="separate"/>
        </w:r>
        <w:r w:rsidR="0011645A">
          <w:rPr>
            <w:rFonts w:ascii="Verdana" w:hAnsi="Verdana"/>
            <w:color w:val="0000FF"/>
            <w:sz w:val="16"/>
            <w:szCs w:val="16"/>
          </w:rPr>
          <w:pict>
            <v:shape id="_x0000_i1027" type="#_x0000_t75" alt="E-Rate Central on LinkedIn" style="width:18.4pt;height:18.4pt" o:button="t">
              <v:imagedata r:id="rId24" r:href="rId25"/>
            </v:shape>
          </w:pict>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p w:rsidR="0052057B" w:rsidRPr="004A4956" w:rsidRDefault="0052057B" w:rsidP="0052057B">
      <w:pPr>
        <w:jc w:val="both"/>
        <w:rPr>
          <w:rFonts w:ascii="Times New Roman" w:hAnsi="Times New Roman"/>
          <w:color w:val="000000"/>
          <w:sz w:val="18"/>
          <w:szCs w:val="18"/>
        </w:rPr>
      </w:pPr>
    </w:p>
    <w:p w:rsidR="0052057B" w:rsidRPr="00C87A65" w:rsidRDefault="0052057B" w:rsidP="00C87A65"/>
    <w:sectPr w:rsidR="0052057B" w:rsidRPr="00C87A65" w:rsidSect="00A11A81">
      <w:footerReference w:type="default" r:id="rId26"/>
      <w:headerReference w:type="first" r:id="rId27"/>
      <w:footerReference w:type="first" r:id="rId28"/>
      <w:pgSz w:w="12240" w:h="15840" w:code="1"/>
      <w:pgMar w:top="1530" w:right="1440" w:bottom="144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A11A81">
      <w:rPr>
        <w:rStyle w:val="PageNumber"/>
        <w:rFonts w:ascii="Times New Roman" w:hAnsi="Times New Roman"/>
        <w:noProof/>
        <w:color w:val="808080"/>
        <w:sz w:val="20"/>
        <w:szCs w:val="20"/>
      </w:rPr>
      <w:t>3</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6B422C">
      <w:rPr>
        <w:rStyle w:val="PageNumber"/>
        <w:rFonts w:ascii="Times New Roman" w:hAnsi="Times New Roman"/>
        <w:color w:val="808080"/>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A11A81">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6B422C">
      <w:rPr>
        <w:rFonts w:ascii="Times New Roman" w:hAnsi="Times New Roman"/>
        <w:color w:val="7F7F7F"/>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6B422C">
            <w:rPr>
              <w:b/>
              <w:color w:val="003366"/>
              <w:sz w:val="20"/>
              <w:szCs w:val="20"/>
            </w:rPr>
            <w:t>25</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6B422C">
            <w:rPr>
              <w:b/>
              <w:color w:val="003366"/>
              <w:sz w:val="20"/>
              <w:szCs w:val="20"/>
            </w:rPr>
            <w:t>June 18</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2"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97C6312"/>
    <w:multiLevelType w:val="hybridMultilevel"/>
    <w:tmpl w:val="698C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943293D"/>
    <w:multiLevelType w:val="hybridMultilevel"/>
    <w:tmpl w:val="66C6120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8"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19"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22"/>
  </w:num>
  <w:num w:numId="4">
    <w:abstractNumId w:val="11"/>
  </w:num>
  <w:num w:numId="5">
    <w:abstractNumId w:val="21"/>
  </w:num>
  <w:num w:numId="6">
    <w:abstractNumId w:val="14"/>
  </w:num>
  <w:num w:numId="7">
    <w:abstractNumId w:val="19"/>
  </w:num>
  <w:num w:numId="8">
    <w:abstractNumId w:val="0"/>
  </w:num>
  <w:num w:numId="9">
    <w:abstractNumId w:val="10"/>
  </w:num>
  <w:num w:numId="10">
    <w:abstractNumId w:val="5"/>
  </w:num>
  <w:num w:numId="11">
    <w:abstractNumId w:val="23"/>
  </w:num>
  <w:num w:numId="12">
    <w:abstractNumId w:val="6"/>
  </w:num>
  <w:num w:numId="13">
    <w:abstractNumId w:val="4"/>
  </w:num>
  <w:num w:numId="14">
    <w:abstractNumId w:val="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20"/>
  </w:num>
  <w:num w:numId="19">
    <w:abstractNumId w:val="2"/>
  </w:num>
  <w:num w:numId="20">
    <w:abstractNumId w:val="3"/>
  </w:num>
  <w:num w:numId="21">
    <w:abstractNumId w:val="9"/>
  </w:num>
  <w:num w:numId="22">
    <w:abstractNumId w:val="8"/>
  </w:num>
  <w:num w:numId="23">
    <w:abstractNumId w:val="13"/>
  </w:num>
  <w:num w:numId="2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645A"/>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22C"/>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41B"/>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A81"/>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C17BF33"/>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to.webcasts.com/starthere.jsp?ei=1190679&amp;tp_key=eea4819d5d" TargetMode="External"/><Relationship Id="rId13" Type="http://schemas.openxmlformats.org/officeDocument/2006/relationships/hyperlink" Target="https://docs.fcc.gov/public/attachments/DA-18-613A1.pdf" TargetMode="External"/><Relationship Id="rId18" Type="http://schemas.openxmlformats.org/officeDocument/2006/relationships/image" Target="media/image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data.usac.org/publicreports/FRN/Status/FundYear" TargetMode="External"/><Relationship Id="rId17" Type="http://schemas.openxmlformats.org/officeDocument/2006/relationships/hyperlink" Target="https://twitter.com/ERateCentral" TargetMode="External"/><Relationship Id="rId25" Type="http://schemas.openxmlformats.org/officeDocument/2006/relationships/image" Target="http://www.e-ratecentral.com/images/icon-linkedin.png" TargetMode="External"/><Relationship Id="rId2" Type="http://schemas.openxmlformats.org/officeDocument/2006/relationships/numbering" Target="numbering.xml"/><Relationship Id="rId16" Type="http://schemas.openxmlformats.org/officeDocument/2006/relationships/hyperlink" Target="https://www.usac.org/sl/tools/news-briefs/Default.aspx" TargetMode="External"/><Relationship Id="rId20" Type="http://schemas.openxmlformats.org/officeDocument/2006/relationships/hyperlink" Target="https://www.facebook.com/eratecentr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18/05/22/2018-10944/information-collection-being-reviewed-by-the-federal-communications-commission"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e-ratecentral.com/Portals/0/DocFiles/files/sld-news-briefs/841.pdf" TargetMode="External"/><Relationship Id="rId23" Type="http://schemas.openxmlformats.org/officeDocument/2006/relationships/hyperlink" Target="https://www.linkedin.com/company/e-rate-central" TargetMode="External"/><Relationship Id="rId28" Type="http://schemas.openxmlformats.org/officeDocument/2006/relationships/footer" Target="footer2.xml"/><Relationship Id="rId10" Type="http://schemas.openxmlformats.org/officeDocument/2006/relationships/hyperlink" Target="https://apps.fcc.gov/edocs_public/attachmatch/FCC-18-42A1.pdf" TargetMode="External"/><Relationship Id="rId19" Type="http://schemas.openxmlformats.org/officeDocument/2006/relationships/image" Target="http://www.e-ratecentral.com/images/icon-twitter.png" TargetMode="External"/><Relationship Id="rId4" Type="http://schemas.openxmlformats.org/officeDocument/2006/relationships/settings" Target="settings.xml"/><Relationship Id="rId9" Type="http://schemas.openxmlformats.org/officeDocument/2006/relationships/hyperlink" Target="https://e-ratecentral.com/Resources/Newsletters/News-of-the-Week/ArticleID/1665/May-28-2018" TargetMode="External"/><Relationship Id="rId14" Type="http://schemas.openxmlformats.org/officeDocument/2006/relationships/hyperlink" Target="https://docs.fcc.gov/public/attachments/DOC-351633A1.pdf" TargetMode="External"/><Relationship Id="rId22" Type="http://schemas.openxmlformats.org/officeDocument/2006/relationships/image" Target="http://www.e-ratecentral.com/images/icon-facebook.pn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84A3B-0720-4DE2-BF37-5B396FFEE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3618</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24193</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5</cp:revision>
  <cp:lastPrinted>2015-03-23T12:48:00Z</cp:lastPrinted>
  <dcterms:created xsi:type="dcterms:W3CDTF">2018-06-16T15:21:00Z</dcterms:created>
  <dcterms:modified xsi:type="dcterms:W3CDTF">2018-06-17T19:32:00Z</dcterms:modified>
</cp:coreProperties>
</file>