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B68" w:rsidRPr="00575901" w:rsidRDefault="00347B68" w:rsidP="0017591C">
      <w:pPr>
        <w:spacing w:before="120"/>
        <w:outlineLvl w:val="0"/>
        <w:rPr>
          <w:rFonts w:ascii="Times New Roman" w:hAnsi="Times New Roman"/>
          <w:sz w:val="16"/>
          <w:szCs w:val="16"/>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25398753"/>
      <w:bookmarkStart w:id="8" w:name="_Hlk523641510"/>
    </w:p>
    <w:p w:rsidR="00EA7F0C" w:rsidRPr="00EA7F0C" w:rsidRDefault="00EA7F0C" w:rsidP="00EA7F0C">
      <w:pPr>
        <w:numPr>
          <w:ilvl w:val="0"/>
          <w:numId w:val="1"/>
        </w:numPr>
        <w:spacing w:before="120"/>
        <w:jc w:val="left"/>
        <w:outlineLvl w:val="0"/>
        <w:rPr>
          <w:rFonts w:ascii="Times New Roman" w:hAnsi="Times New Roman"/>
        </w:rPr>
      </w:pPr>
      <w:bookmarkStart w:id="9" w:name="_Hlk514143108"/>
      <w:bookmarkStart w:id="10" w:name="_Hlk514143072"/>
      <w:bookmarkStart w:id="11" w:name="_Hlk529203092"/>
      <w:bookmarkStart w:id="12" w:name="_Hlk516308379"/>
      <w:bookmarkStart w:id="13" w:name="_Hlk501354306"/>
      <w:bookmarkStart w:id="14" w:name="_Hlk509759858"/>
      <w:bookmarkStart w:id="15" w:name="_Hlk514143666"/>
      <w:bookmarkEnd w:id="0"/>
      <w:bookmarkEnd w:id="1"/>
      <w:bookmarkEnd w:id="2"/>
      <w:bookmarkEnd w:id="3"/>
      <w:bookmarkEnd w:id="4"/>
      <w:bookmarkEnd w:id="5"/>
      <w:bookmarkEnd w:id="6"/>
      <w:bookmarkEnd w:id="7"/>
      <w:bookmarkEnd w:id="8"/>
      <w:r w:rsidRPr="00EA7F0C">
        <w:rPr>
          <w:rFonts w:ascii="Times New Roman" w:hAnsi="Times New Roman"/>
        </w:rPr>
        <w:t>Funding Status – FY 2019 and FY 2018</w:t>
      </w:r>
    </w:p>
    <w:p w:rsidR="00EA7F0C" w:rsidRPr="00EA7F0C" w:rsidRDefault="00EA7F0C" w:rsidP="00EA7F0C">
      <w:pPr>
        <w:numPr>
          <w:ilvl w:val="0"/>
          <w:numId w:val="1"/>
        </w:numPr>
        <w:spacing w:before="120"/>
        <w:jc w:val="left"/>
        <w:outlineLvl w:val="0"/>
        <w:rPr>
          <w:rFonts w:ascii="Times New Roman" w:hAnsi="Times New Roman"/>
        </w:rPr>
      </w:pPr>
      <w:r w:rsidRPr="00EA7F0C">
        <w:rPr>
          <w:rFonts w:ascii="Times New Roman" w:hAnsi="Times New Roman"/>
        </w:rPr>
        <w:t>Government Reopening and the FCC Race for Certainty</w:t>
      </w:r>
    </w:p>
    <w:p w:rsidR="00EA7F0C" w:rsidRPr="00EA7F0C" w:rsidRDefault="00EA7F0C" w:rsidP="00EA7F0C">
      <w:pPr>
        <w:numPr>
          <w:ilvl w:val="0"/>
          <w:numId w:val="1"/>
        </w:numPr>
        <w:spacing w:before="120"/>
        <w:jc w:val="left"/>
        <w:outlineLvl w:val="0"/>
        <w:rPr>
          <w:rFonts w:ascii="Times New Roman" w:hAnsi="Times New Roman"/>
        </w:rPr>
      </w:pPr>
      <w:r w:rsidRPr="00EA7F0C">
        <w:rPr>
          <w:rFonts w:ascii="Times New Roman" w:hAnsi="Times New Roman"/>
        </w:rPr>
        <w:t>E-Rate</w:t>
      </w:r>
      <w:r w:rsidRPr="00EA7F0C">
        <w:rPr>
          <w:rFonts w:ascii="Times New Roman" w:hAnsi="Times New Roman"/>
          <w:i/>
        </w:rPr>
        <w:t xml:space="preserve"> </w:t>
      </w:r>
      <w:r w:rsidRPr="00EA7F0C">
        <w:rPr>
          <w:rFonts w:ascii="Times New Roman" w:hAnsi="Times New Roman"/>
        </w:rPr>
        <w:t>Updates and Reminders</w:t>
      </w:r>
    </w:p>
    <w:p w:rsidR="00EA7F0C" w:rsidRPr="00EA7F0C" w:rsidRDefault="00EA7F0C" w:rsidP="00EA7F0C">
      <w:pPr>
        <w:numPr>
          <w:ilvl w:val="1"/>
          <w:numId w:val="1"/>
        </w:numPr>
        <w:spacing w:before="20"/>
        <w:ind w:left="810"/>
        <w:contextualSpacing/>
        <w:jc w:val="left"/>
        <w:outlineLvl w:val="0"/>
        <w:rPr>
          <w:rFonts w:ascii="Times New Roman" w:hAnsi="Times New Roman"/>
        </w:rPr>
      </w:pPr>
      <w:r w:rsidRPr="00EA7F0C">
        <w:rPr>
          <w:rFonts w:ascii="Times New Roman" w:hAnsi="Times New Roman"/>
        </w:rPr>
        <w:t>Upcoming E-Rate Dates</w:t>
      </w:r>
    </w:p>
    <w:p w:rsidR="00EA7F0C" w:rsidRPr="00EA7F0C" w:rsidRDefault="00EA7F0C" w:rsidP="00EA7F0C">
      <w:pPr>
        <w:numPr>
          <w:ilvl w:val="1"/>
          <w:numId w:val="1"/>
        </w:numPr>
        <w:spacing w:before="20"/>
        <w:ind w:left="810"/>
        <w:contextualSpacing/>
        <w:jc w:val="left"/>
        <w:outlineLvl w:val="0"/>
        <w:rPr>
          <w:rFonts w:ascii="Times New Roman" w:hAnsi="Times New Roman"/>
        </w:rPr>
      </w:pPr>
      <w:r w:rsidRPr="00EA7F0C">
        <w:rPr>
          <w:rFonts w:ascii="Times New Roman" w:hAnsi="Times New Roman"/>
        </w:rPr>
        <w:t>Category 2 RFPs and Building Floor Plans</w:t>
      </w:r>
    </w:p>
    <w:p w:rsidR="00EA7F0C" w:rsidRPr="00EA7F0C" w:rsidRDefault="00EA7F0C" w:rsidP="00EA7F0C">
      <w:pPr>
        <w:numPr>
          <w:ilvl w:val="0"/>
          <w:numId w:val="1"/>
        </w:numPr>
        <w:spacing w:before="120"/>
        <w:jc w:val="left"/>
        <w:outlineLvl w:val="0"/>
        <w:rPr>
          <w:rFonts w:ascii="Times New Roman" w:hAnsi="Times New Roman"/>
          <w:b/>
          <w:color w:val="1F497D"/>
          <w:lang w:bidi="ar-SA"/>
        </w:rPr>
      </w:pPr>
      <w:r w:rsidRPr="00EA7F0C">
        <w:rPr>
          <w:rFonts w:ascii="Times New Roman" w:hAnsi="Times New Roman"/>
        </w:rPr>
        <w:t>USAC News Brief Dated January 25 – New “Office Hours” Webinars</w:t>
      </w:r>
    </w:p>
    <w:p w:rsidR="00EA7F0C" w:rsidRPr="00EA7F0C" w:rsidRDefault="00EA7F0C" w:rsidP="00EA7F0C">
      <w:pPr>
        <w:ind w:left="720" w:hanging="360"/>
        <w:rPr>
          <w:rFonts w:ascii="Times New Roman" w:hAnsi="Times New Roman"/>
          <w:b/>
          <w:color w:val="1F497D"/>
          <w:sz w:val="48"/>
          <w:szCs w:val="48"/>
        </w:rPr>
      </w:pPr>
    </w:p>
    <w:p w:rsidR="00EA7F0C" w:rsidRPr="00EA7F0C" w:rsidRDefault="00EA7F0C" w:rsidP="00EA7F0C">
      <w:pPr>
        <w:rPr>
          <w:rFonts w:ascii="Times New Roman" w:hAnsi="Times New Roman"/>
          <w:b/>
          <w:color w:val="2F5496"/>
        </w:rPr>
      </w:pPr>
      <w:r w:rsidRPr="00EA7F0C">
        <w:rPr>
          <w:rFonts w:ascii="Times New Roman" w:hAnsi="Times New Roman"/>
          <w:b/>
          <w:color w:val="2F5496"/>
        </w:rPr>
        <w:t>Funding Status – FY 2019 and FY 2018</w:t>
      </w:r>
    </w:p>
    <w:p w:rsidR="00EA7F0C" w:rsidRPr="00EA7F0C" w:rsidRDefault="00EA7F0C" w:rsidP="00EA7F0C">
      <w:pPr>
        <w:rPr>
          <w:rFonts w:ascii="Times New Roman" w:hAnsi="Times New Roman"/>
        </w:rPr>
      </w:pPr>
    </w:p>
    <w:p w:rsidR="00EA7F0C" w:rsidRPr="00EA7F0C" w:rsidRDefault="00EA7F0C" w:rsidP="00EA7F0C">
      <w:pPr>
        <w:rPr>
          <w:rFonts w:ascii="Times New Roman" w:hAnsi="Times New Roman"/>
          <w:i/>
          <w:color w:val="2F5496"/>
        </w:rPr>
      </w:pPr>
      <w:r w:rsidRPr="00EA7F0C">
        <w:rPr>
          <w:rFonts w:ascii="Times New Roman" w:hAnsi="Times New Roman"/>
          <w:i/>
          <w:color w:val="2F5496"/>
        </w:rPr>
        <w:t>FY 2019:</w:t>
      </w:r>
    </w:p>
    <w:p w:rsidR="00EA7F0C" w:rsidRPr="00EA7F0C" w:rsidRDefault="00EA7F0C" w:rsidP="00EA7F0C">
      <w:pPr>
        <w:rPr>
          <w:rFonts w:ascii="Times New Roman" w:hAnsi="Times New Roman"/>
          <w:i/>
          <w:color w:val="1F3864"/>
        </w:rPr>
      </w:pPr>
    </w:p>
    <w:p w:rsidR="00EA7F0C" w:rsidRPr="00EA7F0C" w:rsidRDefault="00EA7F0C" w:rsidP="00EA7F0C">
      <w:pPr>
        <w:rPr>
          <w:rFonts w:ascii="Times New Roman" w:hAnsi="Times New Roman"/>
        </w:rPr>
      </w:pPr>
      <w:bookmarkStart w:id="16" w:name="_Hlk533170053"/>
      <w:r w:rsidRPr="00EA7F0C">
        <w:rPr>
          <w:rFonts w:ascii="Times New Roman" w:hAnsi="Times New Roman"/>
        </w:rPr>
        <w:t>The Form 471 application window is open.  It will close at 11:59 p.m. EDT on Wednesday, March 27</w:t>
      </w:r>
      <w:r w:rsidRPr="00EA7F0C">
        <w:rPr>
          <w:rFonts w:ascii="Times New Roman" w:hAnsi="Times New Roman"/>
          <w:vertAlign w:val="superscript"/>
        </w:rPr>
        <w:t>th</w:t>
      </w:r>
      <w:r w:rsidRPr="00EA7F0C">
        <w:rPr>
          <w:rFonts w:ascii="Times New Roman" w:hAnsi="Times New Roman"/>
        </w:rPr>
        <w:t>.</w:t>
      </w:r>
      <w:bookmarkStart w:id="17" w:name="_Hlk533175781"/>
      <w:bookmarkEnd w:id="16"/>
      <w:r w:rsidRPr="00EA7F0C">
        <w:rPr>
          <w:rFonts w:ascii="Times New Roman" w:hAnsi="Times New Roman"/>
        </w:rPr>
        <w:t xml:space="preserve">  </w:t>
      </w:r>
    </w:p>
    <w:bookmarkEnd w:id="17"/>
    <w:p w:rsidR="00EA7F0C" w:rsidRPr="00EA7F0C" w:rsidRDefault="00EA7F0C" w:rsidP="00EA7F0C">
      <w:pPr>
        <w:rPr>
          <w:rFonts w:ascii="Times New Roman" w:hAnsi="Times New Roman"/>
          <w:b/>
          <w:color w:val="1F497D"/>
        </w:rPr>
      </w:pPr>
    </w:p>
    <w:p w:rsidR="00EA7F0C" w:rsidRPr="00EA7F0C" w:rsidRDefault="00EA7F0C" w:rsidP="00EA7F0C">
      <w:pPr>
        <w:rPr>
          <w:rFonts w:ascii="Times New Roman" w:hAnsi="Times New Roman"/>
          <w:i/>
          <w:color w:val="2F5496"/>
        </w:rPr>
      </w:pPr>
      <w:r w:rsidRPr="00EA7F0C">
        <w:rPr>
          <w:rFonts w:ascii="Times New Roman" w:hAnsi="Times New Roman"/>
          <w:i/>
          <w:color w:val="2F5496"/>
        </w:rPr>
        <w:t>FY 2018:</w:t>
      </w:r>
    </w:p>
    <w:p w:rsidR="00EA7F0C" w:rsidRPr="00EA7F0C" w:rsidRDefault="00EA7F0C" w:rsidP="00EA7F0C">
      <w:pPr>
        <w:rPr>
          <w:rFonts w:ascii="Times New Roman" w:hAnsi="Times New Roman"/>
          <w:i/>
          <w:color w:val="1F3864"/>
        </w:rPr>
      </w:pPr>
    </w:p>
    <w:p w:rsidR="004155F0" w:rsidRDefault="00EA7F0C" w:rsidP="00EA7F0C">
      <w:pPr>
        <w:rPr>
          <w:rFonts w:ascii="Times New Roman" w:hAnsi="Times New Roman"/>
          <w:color w:val="000000"/>
        </w:rPr>
      </w:pPr>
      <w:r w:rsidRPr="0076459B">
        <w:rPr>
          <w:rFonts w:ascii="Times New Roman" w:hAnsi="Times New Roman"/>
        </w:rPr>
        <w:t>USAC issued Wave 42 for FY 2018 on Friday, January 25</w:t>
      </w:r>
      <w:r w:rsidRPr="0076459B">
        <w:rPr>
          <w:rFonts w:ascii="Times New Roman" w:hAnsi="Times New Roman"/>
          <w:vertAlign w:val="superscript"/>
        </w:rPr>
        <w:t>th</w:t>
      </w:r>
      <w:r w:rsidRPr="0076459B">
        <w:rPr>
          <w:rFonts w:ascii="Times New Roman" w:hAnsi="Times New Roman"/>
        </w:rPr>
        <w:t>, for $13.7 million.  Cumulative funding as of Wave 21 is</w:t>
      </w:r>
      <w:r w:rsidRPr="0076459B">
        <w:rPr>
          <w:rFonts w:ascii="Times New Roman" w:hAnsi="Times New Roman"/>
          <w:color w:val="000000"/>
        </w:rPr>
        <w:t xml:space="preserve"> $2.11 billion</w:t>
      </w:r>
      <w:r>
        <w:rPr>
          <w:rFonts w:ascii="Times New Roman" w:hAnsi="Times New Roman"/>
          <w:color w:val="000000"/>
        </w:rPr>
        <w:t>.</w:t>
      </w:r>
    </w:p>
    <w:p w:rsidR="00EA7F0C" w:rsidRPr="004155F0" w:rsidRDefault="00EA7F0C" w:rsidP="00EA7F0C">
      <w:pPr>
        <w:rPr>
          <w:rFonts w:ascii="Times New Roman" w:hAnsi="Times New Roman"/>
          <w:b/>
          <w:color w:val="1F497D"/>
          <w:sz w:val="36"/>
          <w:szCs w:val="36"/>
        </w:rPr>
      </w:pPr>
    </w:p>
    <w:p w:rsidR="00F72D72" w:rsidRPr="00516F66" w:rsidRDefault="00F72D72" w:rsidP="00F72D72">
      <w:pPr>
        <w:rPr>
          <w:rFonts w:ascii="Times New Roman" w:hAnsi="Times New Roman"/>
          <w:b/>
          <w:color w:val="2F5496"/>
        </w:rPr>
      </w:pPr>
      <w:bookmarkStart w:id="18" w:name="_Hlk525483677"/>
      <w:bookmarkStart w:id="19" w:name="_Hlk500510421"/>
      <w:bookmarkStart w:id="20" w:name="_Hlk535860261"/>
      <w:bookmarkEnd w:id="9"/>
      <w:bookmarkEnd w:id="10"/>
      <w:bookmarkEnd w:id="11"/>
      <w:r w:rsidRPr="00516F66">
        <w:rPr>
          <w:rFonts w:ascii="Times New Roman" w:hAnsi="Times New Roman"/>
          <w:b/>
          <w:color w:val="2F5496"/>
        </w:rPr>
        <w:t>Government Reopening and the FCC Race for Certainty</w:t>
      </w:r>
    </w:p>
    <w:bookmarkEnd w:id="19"/>
    <w:p w:rsidR="00F72D72" w:rsidRPr="00516F66" w:rsidRDefault="00F72D72" w:rsidP="00F72D72">
      <w:pPr>
        <w:rPr>
          <w:rFonts w:ascii="Times New Roman" w:hAnsi="Times New Roman"/>
          <w:color w:val="1F497D"/>
          <w:shd w:val="clear" w:color="auto" w:fill="FFFFFF"/>
        </w:rPr>
      </w:pPr>
    </w:p>
    <w:p w:rsidR="00F72D72" w:rsidRPr="00516F66" w:rsidRDefault="00F72D72" w:rsidP="00F72D72">
      <w:pPr>
        <w:rPr>
          <w:rFonts w:ascii="Times New Roman" w:hAnsi="Times New Roman"/>
        </w:rPr>
      </w:pPr>
      <w:r w:rsidRPr="00516F66">
        <w:rPr>
          <w:rFonts w:ascii="Times New Roman" w:hAnsi="Times New Roman"/>
        </w:rPr>
        <w:t xml:space="preserve">With the reopening of the U.S. government and the threat of another shutdown in less than three weeks, E-rate eyes turn back to the FCC with a focus on several pending decisions affecting the FY 2019 application cycle.  We view the next few weeks as a “race for certainty.”  At this point, clear FCC decisions — </w:t>
      </w:r>
      <w:r w:rsidRPr="00516F66">
        <w:rPr>
          <w:rFonts w:ascii="Times New Roman" w:hAnsi="Times New Roman"/>
          <w:u w:val="single"/>
        </w:rPr>
        <w:t>any</w:t>
      </w:r>
      <w:r w:rsidRPr="00516F66">
        <w:rPr>
          <w:rFonts w:ascii="Times New Roman" w:hAnsi="Times New Roman"/>
        </w:rPr>
        <w:t xml:space="preserve"> FCC decisions — would be better than none.</w:t>
      </w:r>
    </w:p>
    <w:p w:rsidR="00F72D72" w:rsidRPr="00516F66" w:rsidRDefault="00F72D72" w:rsidP="00F72D72">
      <w:pPr>
        <w:rPr>
          <w:rFonts w:ascii="Times New Roman" w:hAnsi="Times New Roman"/>
        </w:rPr>
      </w:pPr>
    </w:p>
    <w:p w:rsidR="00F72D72" w:rsidRPr="00516F66" w:rsidRDefault="00F72D72" w:rsidP="00F72D72">
      <w:pPr>
        <w:rPr>
          <w:rFonts w:ascii="Times New Roman" w:hAnsi="Times New Roman"/>
        </w:rPr>
      </w:pPr>
      <w:r w:rsidRPr="00516F66">
        <w:rPr>
          <w:rFonts w:ascii="Times New Roman" w:hAnsi="Times New Roman"/>
        </w:rPr>
        <w:t xml:space="preserve">For applicants planning major Category 1 special construction projects for FY 2019, a critical issue is whether installation charges of $500,000 or more may be fully funded in the first year or whether such expenses for E-rate purposes must be amortized over a period of at least three years.  Without FCC relief, freedom from the amortization requirement, which the FCC had suspended only for FY 2015 – FY 2018, would end as of FY 2019.  As discussed in our </w:t>
      </w:r>
      <w:hyperlink r:id="rId8" w:anchor="InnerPageAnchor222" w:history="1">
        <w:r w:rsidRPr="00516F66">
          <w:rPr>
            <w:rFonts w:ascii="Times New Roman" w:hAnsi="Times New Roman"/>
            <w:color w:val="0000FF"/>
            <w:u w:val="single"/>
          </w:rPr>
          <w:t>newsletter of January 7</w:t>
        </w:r>
        <w:r w:rsidRPr="00516F66">
          <w:rPr>
            <w:rFonts w:ascii="Times New Roman" w:hAnsi="Times New Roman"/>
            <w:color w:val="0000FF"/>
            <w:u w:val="single"/>
            <w:vertAlign w:val="superscript"/>
          </w:rPr>
          <w:t>th</w:t>
        </w:r>
      </w:hyperlink>
      <w:r w:rsidRPr="00516F66">
        <w:rPr>
          <w:rFonts w:ascii="Times New Roman" w:hAnsi="Times New Roman"/>
        </w:rPr>
        <w:t>, the FCC is considering permanently or temporarily discontinuing the amortization requirement.  Amortization or non-amortization dramatically affects not only the economics of large network projects, but the related aspects of bid proposals, contracts, state matching programs (where available), and E-rate application processing.  An FCC amortization decision for FY 2019 is an E-rate priority.</w:t>
      </w:r>
    </w:p>
    <w:p w:rsidR="00F72D72" w:rsidRPr="00516F66" w:rsidRDefault="00F72D72" w:rsidP="00F72D72">
      <w:pPr>
        <w:rPr>
          <w:rFonts w:ascii="Times New Roman" w:hAnsi="Times New Roman"/>
        </w:rPr>
      </w:pPr>
    </w:p>
    <w:p w:rsidR="00F72D72" w:rsidRPr="00516F66" w:rsidRDefault="00F72D72" w:rsidP="00F72D72">
      <w:pPr>
        <w:rPr>
          <w:rFonts w:ascii="Times New Roman" w:hAnsi="Times New Roman"/>
        </w:rPr>
      </w:pPr>
      <w:r w:rsidRPr="00516F66">
        <w:rPr>
          <w:rFonts w:ascii="Times New Roman" w:hAnsi="Times New Roman"/>
        </w:rPr>
        <w:t xml:space="preserve">Another key FCC E-rate decision still pending is the future of the five-year Category 2 budget mechanism.  Technically, an FCC decision on this issue is not required until later this year in preparation for the FY 2020 competitive bidding cycle.  But uncertainty as to Category 2 funding in FY 2020 and beyond is driving applicant plans to utilize remaining budget amounts by the end </w:t>
      </w:r>
      <w:r w:rsidRPr="00516F66">
        <w:rPr>
          <w:rFonts w:ascii="Times New Roman" w:hAnsi="Times New Roman"/>
        </w:rPr>
        <w:lastRenderedPageBreak/>
        <w:t>of</w:t>
      </w:r>
      <w:r>
        <w:rPr>
          <w:rFonts w:ascii="Times New Roman" w:hAnsi="Times New Roman"/>
        </w:rPr>
        <w:t xml:space="preserve"> </w:t>
      </w:r>
      <w:r w:rsidRPr="00516F66">
        <w:rPr>
          <w:rFonts w:ascii="Times New Roman" w:hAnsi="Times New Roman"/>
        </w:rPr>
        <w:t>FY 2019.  We believe that the FCC will continue to fund Category 2 beyond FY 2019 but would welcome at least some formal hint supporting that belief.  More specifically, applicants who began utilizing their Category 2 budgets after FY 2015 need to know whether their “five years” extend beyond FY 2019, or whether their entire budgets must be used by FY 2019.</w:t>
      </w:r>
    </w:p>
    <w:p w:rsidR="00F72D72" w:rsidRPr="00516F66" w:rsidRDefault="00F72D72" w:rsidP="00F72D72">
      <w:pPr>
        <w:rPr>
          <w:rFonts w:ascii="Times New Roman" w:hAnsi="Times New Roman"/>
        </w:rPr>
      </w:pPr>
    </w:p>
    <w:p w:rsidR="00F72D72" w:rsidRPr="00516F66" w:rsidRDefault="00F72D72" w:rsidP="00F72D72">
      <w:pPr>
        <w:rPr>
          <w:rFonts w:ascii="Times New Roman" w:hAnsi="Times New Roman"/>
        </w:rPr>
      </w:pPr>
      <w:r w:rsidRPr="00516F66">
        <w:rPr>
          <w:rFonts w:ascii="Times New Roman" w:hAnsi="Times New Roman"/>
        </w:rPr>
        <w:t>One other important FCC decision that could be delayed by a resumption of a government shutdown in mid-February is the annual determination of the E-rate inflation factor for FY 2019.  This affects both the funding cap for the Program in its entirety as well as the Category 2 budgets for individual applicants.  Last year the FCC announced the E-rate inflation factor on February 20</w:t>
      </w:r>
      <w:r w:rsidRPr="00516F66">
        <w:rPr>
          <w:rFonts w:ascii="Times New Roman" w:hAnsi="Times New Roman"/>
          <w:vertAlign w:val="superscript"/>
        </w:rPr>
        <w:t>th</w:t>
      </w:r>
      <w:r w:rsidRPr="00516F66">
        <w:rPr>
          <w:rFonts w:ascii="Times New Roman" w:hAnsi="Times New Roman"/>
        </w:rPr>
        <w:t>.  This year’s announcement, which will depend upon economic data prepared by other government entities, may already have been adversely affected by the earlier shutdown.  Applicants seeking Category 2 funding at their inflation-adjusted caps for FY 2019 may have to estimate their Form 471 requests, fine-tuning them later via RAL corrections or during PIA review.</w:t>
      </w:r>
    </w:p>
    <w:p w:rsidR="00F72D72" w:rsidRPr="00516F66" w:rsidRDefault="00F72D72" w:rsidP="00F72D72">
      <w:pPr>
        <w:ind w:left="1080" w:hanging="360"/>
        <w:rPr>
          <w:rFonts w:ascii="Times New Roman" w:hAnsi="Times New Roman"/>
          <w:b/>
          <w:color w:val="1F497D"/>
          <w:sz w:val="36"/>
          <w:szCs w:val="36"/>
        </w:rPr>
      </w:pPr>
    </w:p>
    <w:p w:rsidR="00F72D72" w:rsidRPr="00516F66" w:rsidRDefault="00F72D72" w:rsidP="00F72D72">
      <w:pPr>
        <w:rPr>
          <w:rFonts w:ascii="Times New Roman" w:hAnsi="Times New Roman"/>
          <w:b/>
          <w:color w:val="2F5496"/>
        </w:rPr>
      </w:pPr>
      <w:bookmarkStart w:id="21" w:name="_Hlk524285973"/>
      <w:r w:rsidRPr="00516F66">
        <w:rPr>
          <w:rFonts w:ascii="Times New Roman" w:hAnsi="Times New Roman"/>
          <w:b/>
          <w:color w:val="2F5496"/>
        </w:rPr>
        <w:t>E-Rate Updates and Reminders</w:t>
      </w:r>
    </w:p>
    <w:p w:rsidR="00F72D72" w:rsidRPr="00516F66" w:rsidRDefault="00F72D72" w:rsidP="00F72D72">
      <w:pPr>
        <w:ind w:left="720" w:hanging="360"/>
        <w:rPr>
          <w:rFonts w:ascii="Times New Roman" w:hAnsi="Times New Roman"/>
        </w:rPr>
      </w:pPr>
    </w:p>
    <w:p w:rsidR="00F72D72" w:rsidRPr="00516F66" w:rsidRDefault="00F72D72" w:rsidP="00F72D72">
      <w:pPr>
        <w:rPr>
          <w:rFonts w:ascii="Times New Roman" w:hAnsi="Times New Roman"/>
          <w:i/>
          <w:color w:val="2F5496"/>
        </w:rPr>
      </w:pPr>
      <w:bookmarkStart w:id="22" w:name="_Hlk514143144"/>
      <w:bookmarkStart w:id="23" w:name="_Hlk514143132"/>
      <w:r w:rsidRPr="00516F66">
        <w:rPr>
          <w:rFonts w:ascii="Times New Roman" w:hAnsi="Times New Roman"/>
          <w:i/>
          <w:color w:val="2F5496"/>
        </w:rPr>
        <w:t>Upcoming E-Rate Dates:</w:t>
      </w:r>
      <w:bookmarkStart w:id="24" w:name="_Hlk514143767"/>
      <w:bookmarkStart w:id="25" w:name="_Hlk514143153"/>
      <w:bookmarkStart w:id="26" w:name="_Hlk514143462"/>
      <w:bookmarkEnd w:id="22"/>
    </w:p>
    <w:p w:rsidR="00F72D72" w:rsidRPr="00516F66" w:rsidRDefault="00F72D72" w:rsidP="00F72D72">
      <w:pPr>
        <w:ind w:left="720" w:hanging="360"/>
        <w:rPr>
          <w:rFonts w:ascii="Times New Roman" w:hAnsi="Times New Roman"/>
          <w:color w:val="1F497D"/>
        </w:rPr>
      </w:pPr>
    </w:p>
    <w:bookmarkEnd w:id="23"/>
    <w:bookmarkEnd w:id="24"/>
    <w:bookmarkEnd w:id="25"/>
    <w:p w:rsidR="00F72D72" w:rsidRPr="00516F66" w:rsidRDefault="00F72D72" w:rsidP="00F72D72">
      <w:pPr>
        <w:spacing w:after="120"/>
        <w:ind w:left="2160" w:hanging="1800"/>
        <w:rPr>
          <w:rFonts w:ascii="Times New Roman" w:hAnsi="Times New Roman"/>
          <w:color w:val="000000"/>
          <w:lang w:bidi="ar-SA"/>
        </w:rPr>
      </w:pPr>
      <w:r w:rsidRPr="00516F66">
        <w:rPr>
          <w:rFonts w:ascii="Times New Roman" w:hAnsi="Times New Roman"/>
        </w:rPr>
        <w:t>January 28</w:t>
      </w:r>
      <w:r w:rsidRPr="00516F66">
        <w:rPr>
          <w:rFonts w:ascii="Times New Roman" w:hAnsi="Times New Roman"/>
        </w:rPr>
        <w:tab/>
        <w:t>Form 486 deadline for FY 2018 funding committed in Wave 25.  More generally, the Form 486 deadline is 120 days from the FCDL date or the service start date (typically July 1</w:t>
      </w:r>
      <w:r w:rsidRPr="00516F66">
        <w:rPr>
          <w:rFonts w:ascii="Times New Roman" w:hAnsi="Times New Roman"/>
          <w:vertAlign w:val="superscript"/>
        </w:rPr>
        <w:t>st</w:t>
      </w:r>
      <w:r w:rsidRPr="00516F66">
        <w:rPr>
          <w:rFonts w:ascii="Times New Roman" w:hAnsi="Times New Roman"/>
        </w:rPr>
        <w:t xml:space="preserve">), whichever is later.  </w:t>
      </w:r>
      <w:r w:rsidRPr="00516F66">
        <w:rPr>
          <w:rFonts w:ascii="Times New Roman" w:hAnsi="Times New Roman"/>
          <w:color w:val="000000"/>
        </w:rPr>
        <w:t>Other upcoming Form 486 deadlines are:</w:t>
      </w:r>
    </w:p>
    <w:p w:rsidR="00F72D72" w:rsidRPr="00516F66" w:rsidRDefault="00F72D72" w:rsidP="00F72D72">
      <w:pPr>
        <w:tabs>
          <w:tab w:val="left" w:pos="3240"/>
          <w:tab w:val="left" w:pos="5040"/>
        </w:tabs>
        <w:ind w:left="2880" w:hanging="1800"/>
        <w:outlineLvl w:val="0"/>
        <w:rPr>
          <w:rFonts w:ascii="Times New Roman" w:hAnsi="Times New Roman"/>
          <w:color w:val="000000"/>
          <w:lang w:bidi="ar-SA"/>
        </w:rPr>
      </w:pPr>
      <w:r w:rsidRPr="00516F66">
        <w:rPr>
          <w:rFonts w:ascii="Times New Roman" w:hAnsi="Times New Roman"/>
          <w:color w:val="000000"/>
          <w:lang w:bidi="ar-SA"/>
        </w:rPr>
        <w:tab/>
        <w:t>Wave 26</w:t>
      </w:r>
      <w:r w:rsidRPr="00516F66">
        <w:rPr>
          <w:rFonts w:ascii="Times New Roman" w:hAnsi="Times New Roman"/>
          <w:color w:val="000000"/>
          <w:lang w:bidi="ar-SA"/>
        </w:rPr>
        <w:tab/>
        <w:t>02/04/2019</w:t>
      </w:r>
    </w:p>
    <w:p w:rsidR="00F72D72" w:rsidRPr="00516F66" w:rsidRDefault="00F72D72" w:rsidP="00F72D72">
      <w:pPr>
        <w:tabs>
          <w:tab w:val="left" w:pos="3240"/>
          <w:tab w:val="left" w:pos="5040"/>
        </w:tabs>
        <w:ind w:left="2880" w:hanging="1800"/>
        <w:outlineLvl w:val="0"/>
        <w:rPr>
          <w:rFonts w:ascii="Times New Roman" w:hAnsi="Times New Roman"/>
          <w:color w:val="000000"/>
          <w:lang w:bidi="ar-SA"/>
        </w:rPr>
      </w:pPr>
      <w:r w:rsidRPr="00516F66">
        <w:rPr>
          <w:rFonts w:ascii="Times New Roman" w:hAnsi="Times New Roman"/>
          <w:color w:val="000000"/>
          <w:lang w:bidi="ar-SA"/>
        </w:rPr>
        <w:tab/>
        <w:t>Wave 27</w:t>
      </w:r>
      <w:r w:rsidRPr="00516F66">
        <w:rPr>
          <w:rFonts w:ascii="Times New Roman" w:hAnsi="Times New Roman"/>
          <w:color w:val="000000"/>
          <w:lang w:bidi="ar-SA"/>
        </w:rPr>
        <w:tab/>
        <w:t>02/11/2019</w:t>
      </w:r>
    </w:p>
    <w:p w:rsidR="00F72D72" w:rsidRPr="00516F66" w:rsidRDefault="00F72D72" w:rsidP="00F72D72">
      <w:pPr>
        <w:tabs>
          <w:tab w:val="left" w:pos="3240"/>
          <w:tab w:val="left" w:pos="5040"/>
        </w:tabs>
        <w:ind w:left="2880" w:hanging="1800"/>
        <w:outlineLvl w:val="0"/>
        <w:rPr>
          <w:rFonts w:ascii="Times New Roman" w:hAnsi="Times New Roman"/>
          <w:color w:val="000000"/>
          <w:lang w:bidi="ar-SA"/>
        </w:rPr>
      </w:pPr>
      <w:r w:rsidRPr="00516F66">
        <w:rPr>
          <w:rFonts w:ascii="Times New Roman" w:hAnsi="Times New Roman"/>
          <w:color w:val="000000"/>
          <w:lang w:bidi="ar-SA"/>
        </w:rPr>
        <w:tab/>
        <w:t>Wave 28</w:t>
      </w:r>
      <w:r w:rsidRPr="00516F66">
        <w:rPr>
          <w:rFonts w:ascii="Times New Roman" w:hAnsi="Times New Roman"/>
          <w:color w:val="000000"/>
          <w:lang w:bidi="ar-SA"/>
        </w:rPr>
        <w:tab/>
        <w:t>02/18/2019</w:t>
      </w:r>
    </w:p>
    <w:p w:rsidR="00F72D72" w:rsidRPr="00516F66" w:rsidRDefault="00F72D72" w:rsidP="00F72D72">
      <w:pPr>
        <w:tabs>
          <w:tab w:val="left" w:pos="3240"/>
          <w:tab w:val="left" w:pos="5040"/>
        </w:tabs>
        <w:ind w:left="2880" w:hanging="1800"/>
        <w:outlineLvl w:val="0"/>
        <w:rPr>
          <w:rFonts w:ascii="Times New Roman" w:hAnsi="Times New Roman"/>
          <w:color w:val="000000"/>
          <w:lang w:bidi="ar-SA"/>
        </w:rPr>
      </w:pPr>
      <w:r w:rsidRPr="00516F66">
        <w:rPr>
          <w:rFonts w:ascii="Times New Roman" w:hAnsi="Times New Roman"/>
          <w:color w:val="000000"/>
          <w:lang w:bidi="ar-SA"/>
        </w:rPr>
        <w:tab/>
        <w:t>Wave 29</w:t>
      </w:r>
      <w:r w:rsidRPr="00516F66">
        <w:rPr>
          <w:rFonts w:ascii="Times New Roman" w:hAnsi="Times New Roman"/>
          <w:color w:val="000000"/>
          <w:lang w:bidi="ar-SA"/>
        </w:rPr>
        <w:tab/>
        <w:t>02/22/2019</w:t>
      </w:r>
    </w:p>
    <w:p w:rsidR="00F72D72" w:rsidRPr="00516F66" w:rsidRDefault="00F72D72" w:rsidP="00F72D72">
      <w:pPr>
        <w:spacing w:before="120"/>
        <w:ind w:left="2160"/>
        <w:outlineLvl w:val="0"/>
        <w:rPr>
          <w:rFonts w:ascii="Times New Roman" w:hAnsi="Times New Roman"/>
          <w:color w:val="000000"/>
          <w:lang w:bidi="ar-SA"/>
        </w:rPr>
      </w:pPr>
      <w:r w:rsidRPr="00516F66">
        <w:rPr>
          <w:rFonts w:ascii="Times New Roman" w:hAnsi="Times New Roman"/>
          <w:color w:val="000000"/>
          <w:lang w:bidi="ar-SA"/>
        </w:rPr>
        <w:t>Note:  Applicants missing any Form 486 deadline should watch carefully for “Form 486 Urgent Reminder Letters” in their EPC News Feed.  These Reminder Letters afford applicants 15-day extensions to submit their Form 486s without penalty.</w:t>
      </w:r>
    </w:p>
    <w:p w:rsidR="00F72D72" w:rsidRPr="00516F66" w:rsidRDefault="00F72D72" w:rsidP="00F72D72">
      <w:pPr>
        <w:spacing w:before="120"/>
        <w:ind w:left="2160" w:hanging="1800"/>
        <w:outlineLvl w:val="0"/>
        <w:rPr>
          <w:rFonts w:ascii="Times New Roman" w:hAnsi="Times New Roman"/>
          <w:color w:val="000000"/>
          <w:lang w:bidi="ar-SA"/>
        </w:rPr>
      </w:pPr>
      <w:r w:rsidRPr="00516F66">
        <w:rPr>
          <w:rFonts w:ascii="Times New Roman" w:hAnsi="Times New Roman"/>
          <w:color w:val="000000"/>
          <w:lang w:bidi="ar-SA"/>
        </w:rPr>
        <w:t>January 28</w:t>
      </w:r>
      <w:r w:rsidRPr="00516F66">
        <w:rPr>
          <w:rFonts w:ascii="Times New Roman" w:hAnsi="Times New Roman"/>
          <w:color w:val="000000"/>
          <w:lang w:bidi="ar-SA"/>
        </w:rPr>
        <w:tab/>
        <w:t>Invoice deadline — and the deadline for requesting a 120-day extension — for FY 2017 non-recurring services.</w:t>
      </w:r>
    </w:p>
    <w:p w:rsidR="00F72D72" w:rsidRPr="00516F66" w:rsidRDefault="00F72D72" w:rsidP="00F72D72">
      <w:pPr>
        <w:spacing w:before="120"/>
        <w:ind w:left="2160" w:hanging="1800"/>
        <w:outlineLvl w:val="0"/>
        <w:rPr>
          <w:rFonts w:ascii="Times New Roman" w:hAnsi="Times New Roman"/>
          <w:color w:val="000000"/>
          <w:lang w:bidi="ar-SA"/>
        </w:rPr>
      </w:pPr>
      <w:r w:rsidRPr="00516F66">
        <w:rPr>
          <w:rFonts w:ascii="Times New Roman" w:hAnsi="Times New Roman"/>
          <w:color w:val="000000"/>
          <w:lang w:bidi="ar-SA"/>
        </w:rPr>
        <w:t>February 26</w:t>
      </w:r>
      <w:r w:rsidRPr="00516F66">
        <w:rPr>
          <w:rFonts w:ascii="Times New Roman" w:hAnsi="Times New Roman"/>
          <w:color w:val="000000"/>
          <w:lang w:bidi="ar-SA"/>
        </w:rPr>
        <w:tab/>
        <w:t>Extended invoice deadline for FY 2017 recurring services.</w:t>
      </w:r>
    </w:p>
    <w:p w:rsidR="00F72D72" w:rsidRPr="00516F66" w:rsidRDefault="00F72D72" w:rsidP="00F72D72">
      <w:pPr>
        <w:spacing w:before="120"/>
        <w:ind w:left="2160" w:hanging="1800"/>
        <w:outlineLvl w:val="0"/>
        <w:rPr>
          <w:rFonts w:ascii="Times New Roman" w:hAnsi="Times New Roman"/>
          <w:color w:val="000000"/>
          <w:lang w:bidi="ar-SA"/>
        </w:rPr>
      </w:pPr>
      <w:r w:rsidRPr="00516F66">
        <w:rPr>
          <w:rFonts w:ascii="Times New Roman" w:hAnsi="Times New Roman"/>
          <w:color w:val="000000"/>
          <w:lang w:bidi="ar-SA"/>
        </w:rPr>
        <w:t>March 27</w:t>
      </w:r>
      <w:r w:rsidRPr="00516F66">
        <w:rPr>
          <w:rFonts w:ascii="Times New Roman" w:hAnsi="Times New Roman"/>
          <w:color w:val="000000"/>
          <w:lang w:bidi="ar-SA"/>
        </w:rPr>
        <w:tab/>
        <w:t>Close of the FY 2019 Form 471 application window.</w:t>
      </w:r>
    </w:p>
    <w:p w:rsidR="00F72D72" w:rsidRPr="00516F66" w:rsidRDefault="00F72D72" w:rsidP="00F72D72">
      <w:pPr>
        <w:rPr>
          <w:rFonts w:ascii="Times New Roman" w:hAnsi="Times New Roman"/>
          <w:i/>
          <w:color w:val="2F5496"/>
        </w:rPr>
      </w:pPr>
    </w:p>
    <w:p w:rsidR="00F72D72" w:rsidRPr="00516F66" w:rsidRDefault="00F72D72" w:rsidP="00F72D72">
      <w:pPr>
        <w:rPr>
          <w:rFonts w:ascii="Times New Roman" w:hAnsi="Times New Roman"/>
          <w:i/>
          <w:color w:val="2F5496"/>
        </w:rPr>
      </w:pPr>
      <w:r w:rsidRPr="00516F66">
        <w:rPr>
          <w:rFonts w:ascii="Times New Roman" w:hAnsi="Times New Roman"/>
          <w:i/>
          <w:color w:val="2F5496"/>
        </w:rPr>
        <w:t>Category 2 RFPs and Building Floor Plans:</w:t>
      </w:r>
    </w:p>
    <w:p w:rsidR="00F72D72" w:rsidRPr="00516F66" w:rsidRDefault="00F72D72" w:rsidP="00F72D72">
      <w:pPr>
        <w:rPr>
          <w:rFonts w:ascii="Times New Roman" w:hAnsi="Times New Roman"/>
          <w:i/>
          <w:color w:val="1F3864"/>
        </w:rPr>
      </w:pPr>
    </w:p>
    <w:p w:rsidR="00F72D72" w:rsidRDefault="00F72D72" w:rsidP="00F72D72">
      <w:pPr>
        <w:outlineLvl w:val="0"/>
        <w:rPr>
          <w:rFonts w:ascii="Times New Roman" w:hAnsi="Times New Roman"/>
        </w:rPr>
      </w:pPr>
      <w:r w:rsidRPr="00516F66">
        <w:rPr>
          <w:rFonts w:ascii="Times New Roman" w:hAnsi="Times New Roman"/>
        </w:rPr>
        <w:t>It is easy to envision situations in which service providers bidding on cabling and/or wireless Category 2 projects would find it useful to have floor plans for the associated buildings.  Putting such plans in public RFP documents, however, is discouraged and, in some states, explicitly prohibited if only as a security measure</w:t>
      </w:r>
    </w:p>
    <w:p w:rsidR="00F72D72" w:rsidRPr="00516F66" w:rsidRDefault="00F72D72" w:rsidP="00F72D72">
      <w:pPr>
        <w:outlineLvl w:val="0"/>
        <w:rPr>
          <w:rFonts w:ascii="Times New Roman" w:hAnsi="Times New Roman"/>
        </w:rPr>
      </w:pPr>
    </w:p>
    <w:p w:rsidR="00F72D72" w:rsidRPr="00516F66" w:rsidRDefault="00F72D72" w:rsidP="00F72D72">
      <w:pPr>
        <w:outlineLvl w:val="0"/>
        <w:rPr>
          <w:rFonts w:ascii="Times New Roman" w:hAnsi="Times New Roman"/>
          <w:color w:val="000000"/>
          <w:lang w:bidi="ar-SA"/>
        </w:rPr>
      </w:pPr>
      <w:r w:rsidRPr="00516F66">
        <w:rPr>
          <w:rFonts w:ascii="Times New Roman" w:hAnsi="Times New Roman"/>
        </w:rPr>
        <w:t xml:space="preserve">Schools have found several ways to deal with this issue while still providing bidders with floor plan access.  One strict approach is to establish a timeframe and place for authorized service </w:t>
      </w:r>
      <w:r w:rsidRPr="00516F66">
        <w:rPr>
          <w:rFonts w:ascii="Times New Roman" w:hAnsi="Times New Roman"/>
        </w:rPr>
        <w:lastRenderedPageBreak/>
        <w:t>providers to view, but neither copy nor take, building plans.  A somewhat less restrictive approach would be to require service providers to complete non-disclosure/confidentiality agreements before emailing them floor plans or providing access to password-protected websites.  In all cases, building floor plans should be clearly marked “Confidential.”</w:t>
      </w:r>
    </w:p>
    <w:p w:rsidR="00F72D72" w:rsidRPr="00516F66" w:rsidRDefault="00F72D72" w:rsidP="00F72D72">
      <w:pPr>
        <w:rPr>
          <w:rFonts w:ascii="Times New Roman" w:hAnsi="Times New Roman"/>
          <w:b/>
          <w:color w:val="1F497D"/>
          <w:sz w:val="36"/>
          <w:szCs w:val="36"/>
        </w:rPr>
      </w:pPr>
      <w:bookmarkStart w:id="27" w:name="_Hlk514143523"/>
      <w:bookmarkStart w:id="28" w:name="_Hlk514143783"/>
      <w:bookmarkStart w:id="29" w:name="_Hlk514143203"/>
      <w:bookmarkEnd w:id="21"/>
      <w:bookmarkEnd w:id="26"/>
    </w:p>
    <w:bookmarkEnd w:id="27"/>
    <w:bookmarkEnd w:id="28"/>
    <w:bookmarkEnd w:id="29"/>
    <w:p w:rsidR="00F72D72" w:rsidRPr="00516F66" w:rsidRDefault="00F72D72" w:rsidP="00F72D72">
      <w:pPr>
        <w:rPr>
          <w:rFonts w:ascii="Times New Roman" w:hAnsi="Times New Roman"/>
          <w:b/>
          <w:color w:val="2F5496"/>
        </w:rPr>
      </w:pPr>
      <w:r w:rsidRPr="00516F66">
        <w:rPr>
          <w:rFonts w:ascii="Times New Roman" w:hAnsi="Times New Roman"/>
          <w:b/>
          <w:color w:val="2F5496"/>
        </w:rPr>
        <w:t>USAC News Brief Dated January 25 – New “Office Hours” Webinars</w:t>
      </w:r>
    </w:p>
    <w:p w:rsidR="00F72D72" w:rsidRPr="00516F66" w:rsidRDefault="00F72D72" w:rsidP="00F72D72">
      <w:pPr>
        <w:rPr>
          <w:rFonts w:ascii="Times New Roman" w:hAnsi="Times New Roman"/>
          <w:b/>
          <w:color w:val="1F497D"/>
        </w:rPr>
      </w:pPr>
    </w:p>
    <w:p w:rsidR="00F72D72" w:rsidRPr="00516F66" w:rsidRDefault="00F72D72" w:rsidP="00F72D72">
      <w:pPr>
        <w:rPr>
          <w:rFonts w:ascii="Times New Roman" w:hAnsi="Times New Roman"/>
        </w:rPr>
      </w:pPr>
      <w:hyperlink r:id="rId9" w:history="1">
        <w:r w:rsidRPr="00516F66">
          <w:rPr>
            <w:rFonts w:ascii="Times New Roman" w:hAnsi="Times New Roman"/>
            <w:color w:val="0000FF"/>
            <w:u w:val="single"/>
          </w:rPr>
          <w:t>USAC’s Schools and Libraries News Brief of January 25, 2019</w:t>
        </w:r>
      </w:hyperlink>
      <w:r w:rsidRPr="00516F66">
        <w:rPr>
          <w:rFonts w:ascii="Times New Roman" w:hAnsi="Times New Roman"/>
        </w:rPr>
        <w:t xml:space="preserve">, announces a new series of hour-long webinars that USAC plans to run during the FY 2019 application window. </w:t>
      </w:r>
      <w:bookmarkEnd w:id="20"/>
      <w:r w:rsidRPr="00516F66">
        <w:rPr>
          <w:rFonts w:ascii="Times New Roman" w:hAnsi="Times New Roman"/>
        </w:rPr>
        <w:t xml:space="preserve"> Unlike more traditional webinars, predominately a prepared presentation followed by a short Q&amp;A session, USAC is planning a “</w:t>
      </w:r>
      <w:hyperlink r:id="rId10" w:history="1">
        <w:r w:rsidRPr="00516F66">
          <w:rPr>
            <w:rFonts w:ascii="Times New Roman" w:hAnsi="Times New Roman"/>
            <w:color w:val="0000FF"/>
            <w:u w:val="single"/>
          </w:rPr>
          <w:t>flipped classroom</w:t>
        </w:r>
      </w:hyperlink>
      <w:r w:rsidRPr="00516F66">
        <w:rPr>
          <w:rFonts w:ascii="Times New Roman" w:hAnsi="Times New Roman"/>
        </w:rPr>
        <w:t>” approach.  The full presentation will be available beforehand for study.  The so-called “office hours” webinar will start with a brief overview but will devote most of the allotted time for questions and answers.</w:t>
      </w:r>
    </w:p>
    <w:p w:rsidR="00F72D72" w:rsidRPr="00516F66" w:rsidRDefault="00F72D72" w:rsidP="00F72D72">
      <w:pPr>
        <w:rPr>
          <w:rFonts w:ascii="Times New Roman" w:hAnsi="Times New Roman"/>
        </w:rPr>
      </w:pPr>
    </w:p>
    <w:p w:rsidR="00F72D72" w:rsidRPr="00516F66" w:rsidRDefault="00F72D72" w:rsidP="00F72D72">
      <w:pPr>
        <w:rPr>
          <w:rFonts w:ascii="Times New Roman" w:hAnsi="Times New Roman"/>
        </w:rPr>
      </w:pPr>
      <w:r w:rsidRPr="00516F66">
        <w:rPr>
          <w:rFonts w:ascii="Times New Roman" w:hAnsi="Times New Roman"/>
        </w:rPr>
        <w:t xml:space="preserve">Separate sessions for both beginners and advanced E-rate users will be scheduled on USAC’s </w:t>
      </w:r>
      <w:hyperlink r:id="rId11" w:history="1">
        <w:r w:rsidRPr="00516F66">
          <w:rPr>
            <w:rFonts w:ascii="Times New Roman" w:hAnsi="Times New Roman"/>
            <w:color w:val="0000FF"/>
            <w:u w:val="single"/>
          </w:rPr>
          <w:t>Webinars webpage</w:t>
        </w:r>
      </w:hyperlink>
      <w:r w:rsidRPr="00516F66">
        <w:rPr>
          <w:rFonts w:ascii="Times New Roman" w:hAnsi="Times New Roman"/>
        </w:rPr>
        <w:t>.  Users should register ahead of time and study the individual modules beforehand.  The first two sessions will be held this coming Thursday.</w:t>
      </w:r>
    </w:p>
    <w:p w:rsidR="00F72D72" w:rsidRPr="00516F66" w:rsidRDefault="00F72D72" w:rsidP="00F72D72">
      <w:pPr>
        <w:rPr>
          <w:rFonts w:ascii="Times New Roman" w:hAnsi="Times New Roman"/>
          <w:sz w:val="20"/>
          <w:szCs w:val="20"/>
        </w:rPr>
      </w:pPr>
      <w:r w:rsidRPr="00516F66">
        <w:rPr>
          <w:rFonts w:ascii="Times New Roman" w:hAnsi="Times New Roman"/>
        </w:rPr>
        <w:tab/>
      </w:r>
    </w:p>
    <w:tbl>
      <w:tblPr>
        <w:tblW w:w="8350" w:type="dxa"/>
        <w:tblCellSpacing w:w="6" w:type="dxa"/>
        <w:tblInd w:w="57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682"/>
        <w:gridCol w:w="2483"/>
        <w:gridCol w:w="976"/>
        <w:gridCol w:w="2209"/>
      </w:tblGrid>
      <w:tr w:rsidR="00F72D72" w:rsidRPr="00516F66" w:rsidTr="005D0685">
        <w:trPr>
          <w:trHeight w:val="232"/>
          <w:tblCellSpacing w:w="6" w:type="dxa"/>
        </w:trPr>
        <w:tc>
          <w:tcPr>
            <w:tcW w:w="2664" w:type="dxa"/>
            <w:tcBorders>
              <w:top w:val="outset" w:sz="6" w:space="0" w:color="auto"/>
              <w:left w:val="outset" w:sz="6" w:space="0" w:color="auto"/>
              <w:bottom w:val="outset" w:sz="6" w:space="0" w:color="auto"/>
              <w:right w:val="outset" w:sz="6" w:space="0" w:color="auto"/>
            </w:tcBorders>
            <w:vAlign w:val="center"/>
            <w:hideMark/>
          </w:tcPr>
          <w:p w:rsidR="00F72D72" w:rsidRPr="00516F66" w:rsidRDefault="00F72D72" w:rsidP="005D0685">
            <w:pPr>
              <w:spacing w:line="225" w:lineRule="atLeast"/>
              <w:ind w:left="720" w:hanging="360"/>
              <w:rPr>
                <w:rFonts w:ascii="Times New Roman" w:hAnsi="Times New Roman"/>
                <w:color w:val="333333"/>
                <w:sz w:val="22"/>
                <w:szCs w:val="22"/>
                <w:lang w:bidi="ar-SA"/>
              </w:rPr>
            </w:pPr>
            <w:r w:rsidRPr="00516F66">
              <w:rPr>
                <w:rFonts w:ascii="Times New Roman" w:hAnsi="Times New Roman"/>
                <w:b/>
                <w:bCs/>
                <w:color w:val="333333"/>
                <w:sz w:val="22"/>
                <w:szCs w:val="22"/>
              </w:rPr>
              <w:t>Date and Time</w:t>
            </w:r>
          </w:p>
        </w:tc>
        <w:tc>
          <w:tcPr>
            <w:tcW w:w="2471" w:type="dxa"/>
            <w:tcBorders>
              <w:top w:val="outset" w:sz="6" w:space="0" w:color="auto"/>
              <w:left w:val="outset" w:sz="6" w:space="0" w:color="auto"/>
              <w:bottom w:val="outset" w:sz="6" w:space="0" w:color="auto"/>
              <w:right w:val="outset" w:sz="6" w:space="0" w:color="auto"/>
            </w:tcBorders>
            <w:vAlign w:val="center"/>
            <w:hideMark/>
          </w:tcPr>
          <w:p w:rsidR="00F72D72" w:rsidRPr="00516F66" w:rsidRDefault="00F72D72" w:rsidP="005D0685">
            <w:pPr>
              <w:spacing w:line="225" w:lineRule="atLeast"/>
              <w:ind w:left="720" w:hanging="360"/>
              <w:rPr>
                <w:rFonts w:ascii="Times New Roman" w:hAnsi="Times New Roman"/>
                <w:color w:val="333333"/>
                <w:sz w:val="22"/>
                <w:szCs w:val="22"/>
              </w:rPr>
            </w:pPr>
            <w:r w:rsidRPr="00516F66">
              <w:rPr>
                <w:rFonts w:ascii="Times New Roman" w:hAnsi="Times New Roman"/>
                <w:b/>
                <w:bCs/>
                <w:color w:val="333333"/>
                <w:sz w:val="22"/>
                <w:szCs w:val="22"/>
              </w:rPr>
              <w:t>Topic</w:t>
            </w:r>
          </w:p>
        </w:tc>
        <w:tc>
          <w:tcPr>
            <w:tcW w:w="0" w:type="auto"/>
            <w:tcBorders>
              <w:top w:val="outset" w:sz="6" w:space="0" w:color="auto"/>
              <w:left w:val="outset" w:sz="6" w:space="0" w:color="auto"/>
              <w:bottom w:val="outset" w:sz="6" w:space="0" w:color="auto"/>
              <w:right w:val="outset" w:sz="6" w:space="0" w:color="auto"/>
            </w:tcBorders>
            <w:vAlign w:val="center"/>
            <w:hideMark/>
          </w:tcPr>
          <w:p w:rsidR="00F72D72" w:rsidRPr="00516F66" w:rsidRDefault="00F72D72" w:rsidP="005D0685">
            <w:pPr>
              <w:spacing w:line="225" w:lineRule="atLeast"/>
              <w:ind w:left="720" w:hanging="546"/>
              <w:rPr>
                <w:rFonts w:ascii="Times New Roman" w:hAnsi="Times New Roman"/>
                <w:color w:val="333333"/>
                <w:sz w:val="22"/>
                <w:szCs w:val="22"/>
              </w:rPr>
            </w:pPr>
            <w:r w:rsidRPr="00516F66">
              <w:rPr>
                <w:rFonts w:ascii="Times New Roman" w:hAnsi="Times New Roman"/>
                <w:b/>
                <w:bCs/>
                <w:color w:val="333333"/>
                <w:sz w:val="22"/>
                <w:szCs w:val="22"/>
              </w:rPr>
              <w:t>Level</w:t>
            </w:r>
          </w:p>
        </w:tc>
        <w:tc>
          <w:tcPr>
            <w:tcW w:w="2191" w:type="dxa"/>
            <w:tcBorders>
              <w:top w:val="outset" w:sz="6" w:space="0" w:color="auto"/>
              <w:left w:val="outset" w:sz="6" w:space="0" w:color="auto"/>
              <w:bottom w:val="outset" w:sz="6" w:space="0" w:color="auto"/>
              <w:right w:val="outset" w:sz="6" w:space="0" w:color="auto"/>
            </w:tcBorders>
            <w:vAlign w:val="center"/>
            <w:hideMark/>
          </w:tcPr>
          <w:p w:rsidR="00F72D72" w:rsidRPr="00516F66" w:rsidRDefault="00F72D72" w:rsidP="005D0685">
            <w:pPr>
              <w:spacing w:line="225" w:lineRule="atLeast"/>
              <w:ind w:left="720" w:hanging="360"/>
              <w:rPr>
                <w:rFonts w:ascii="Times New Roman" w:hAnsi="Times New Roman"/>
                <w:color w:val="333333"/>
                <w:sz w:val="22"/>
                <w:szCs w:val="22"/>
              </w:rPr>
            </w:pPr>
            <w:r w:rsidRPr="00516F66">
              <w:rPr>
                <w:rFonts w:ascii="Times New Roman" w:hAnsi="Times New Roman"/>
                <w:b/>
                <w:bCs/>
                <w:color w:val="333333"/>
                <w:sz w:val="22"/>
                <w:szCs w:val="22"/>
              </w:rPr>
              <w:t>Module</w:t>
            </w:r>
          </w:p>
        </w:tc>
      </w:tr>
      <w:tr w:rsidR="00F72D72" w:rsidRPr="00516F66" w:rsidTr="005D0685">
        <w:trPr>
          <w:trHeight w:val="685"/>
          <w:tblCellSpacing w:w="6" w:type="dxa"/>
        </w:trPr>
        <w:tc>
          <w:tcPr>
            <w:tcW w:w="2664" w:type="dxa"/>
            <w:tcBorders>
              <w:top w:val="outset" w:sz="6" w:space="0" w:color="auto"/>
              <w:left w:val="outset" w:sz="6" w:space="0" w:color="auto"/>
              <w:bottom w:val="outset" w:sz="6" w:space="0" w:color="auto"/>
              <w:right w:val="outset" w:sz="6" w:space="0" w:color="auto"/>
            </w:tcBorders>
            <w:vAlign w:val="center"/>
            <w:hideMark/>
          </w:tcPr>
          <w:p w:rsidR="00F72D72" w:rsidRPr="00516F66" w:rsidRDefault="00F72D72" w:rsidP="005D0685">
            <w:pPr>
              <w:spacing w:line="225" w:lineRule="atLeast"/>
              <w:ind w:left="582" w:right="270" w:hanging="360"/>
              <w:rPr>
                <w:rFonts w:ascii="Times New Roman" w:hAnsi="Times New Roman"/>
                <w:color w:val="333333"/>
                <w:sz w:val="22"/>
                <w:szCs w:val="22"/>
              </w:rPr>
            </w:pPr>
            <w:hyperlink r:id="rId12" w:history="1">
              <w:r w:rsidRPr="00516F66">
                <w:rPr>
                  <w:rFonts w:ascii="Times New Roman" w:hAnsi="Times New Roman"/>
                  <w:color w:val="0000FF"/>
                  <w:sz w:val="22"/>
                  <w:szCs w:val="22"/>
                  <w:u w:val="single"/>
                </w:rPr>
                <w:t>Thursday, January 31 at 2:00 p.m. EST</w:t>
              </w:r>
            </w:hyperlink>
          </w:p>
        </w:tc>
        <w:tc>
          <w:tcPr>
            <w:tcW w:w="2471" w:type="dxa"/>
            <w:tcBorders>
              <w:top w:val="outset" w:sz="6" w:space="0" w:color="auto"/>
              <w:left w:val="outset" w:sz="6" w:space="0" w:color="auto"/>
              <w:bottom w:val="outset" w:sz="6" w:space="0" w:color="auto"/>
              <w:right w:val="outset" w:sz="6" w:space="0" w:color="auto"/>
            </w:tcBorders>
            <w:vAlign w:val="center"/>
            <w:hideMark/>
          </w:tcPr>
          <w:p w:rsidR="00F72D72" w:rsidRPr="00516F66" w:rsidRDefault="00F72D72" w:rsidP="005D0685">
            <w:pPr>
              <w:spacing w:line="225" w:lineRule="atLeast"/>
              <w:ind w:left="420" w:hanging="360"/>
              <w:jc w:val="center"/>
              <w:rPr>
                <w:rFonts w:ascii="Times New Roman" w:hAnsi="Times New Roman"/>
                <w:color w:val="333333"/>
                <w:sz w:val="22"/>
                <w:szCs w:val="22"/>
              </w:rPr>
            </w:pPr>
            <w:r w:rsidRPr="00516F66">
              <w:rPr>
                <w:rFonts w:ascii="Times New Roman" w:hAnsi="Times New Roman"/>
                <w:color w:val="333333"/>
                <w:sz w:val="22"/>
                <w:szCs w:val="22"/>
              </w:rPr>
              <w:t>Basic Program Concepts</w:t>
            </w:r>
          </w:p>
        </w:tc>
        <w:tc>
          <w:tcPr>
            <w:tcW w:w="0" w:type="auto"/>
            <w:tcBorders>
              <w:top w:val="outset" w:sz="6" w:space="0" w:color="auto"/>
              <w:left w:val="outset" w:sz="6" w:space="0" w:color="auto"/>
              <w:bottom w:val="outset" w:sz="6" w:space="0" w:color="auto"/>
              <w:right w:val="outset" w:sz="6" w:space="0" w:color="auto"/>
            </w:tcBorders>
            <w:vAlign w:val="center"/>
            <w:hideMark/>
          </w:tcPr>
          <w:p w:rsidR="00F72D72" w:rsidRPr="00516F66" w:rsidRDefault="00F72D72" w:rsidP="005D0685">
            <w:pPr>
              <w:spacing w:line="225" w:lineRule="atLeast"/>
              <w:ind w:left="378" w:hanging="360"/>
              <w:rPr>
                <w:rFonts w:ascii="Times New Roman" w:hAnsi="Times New Roman"/>
                <w:color w:val="333333"/>
                <w:sz w:val="22"/>
                <w:szCs w:val="22"/>
              </w:rPr>
            </w:pPr>
            <w:r w:rsidRPr="00516F66">
              <w:rPr>
                <w:rFonts w:ascii="Times New Roman" w:hAnsi="Times New Roman"/>
                <w:color w:val="333333"/>
                <w:sz w:val="22"/>
                <w:szCs w:val="22"/>
              </w:rPr>
              <w:t>Beginner</w:t>
            </w:r>
          </w:p>
        </w:tc>
        <w:tc>
          <w:tcPr>
            <w:tcW w:w="2191" w:type="dxa"/>
            <w:tcBorders>
              <w:top w:val="outset" w:sz="6" w:space="0" w:color="auto"/>
              <w:left w:val="outset" w:sz="6" w:space="0" w:color="auto"/>
              <w:bottom w:val="outset" w:sz="6" w:space="0" w:color="auto"/>
              <w:right w:val="outset" w:sz="6" w:space="0" w:color="auto"/>
            </w:tcBorders>
            <w:vAlign w:val="center"/>
            <w:hideMark/>
          </w:tcPr>
          <w:p w:rsidR="00F72D72" w:rsidRPr="00516F66" w:rsidRDefault="00F72D72" w:rsidP="005D0685">
            <w:pPr>
              <w:spacing w:line="225" w:lineRule="atLeast"/>
              <w:ind w:left="552" w:hanging="360"/>
              <w:rPr>
                <w:rFonts w:ascii="Times New Roman" w:hAnsi="Times New Roman"/>
                <w:color w:val="333333"/>
                <w:sz w:val="22"/>
                <w:szCs w:val="22"/>
              </w:rPr>
            </w:pPr>
            <w:hyperlink r:id="rId13" w:history="1">
              <w:r w:rsidRPr="00516F66">
                <w:rPr>
                  <w:rFonts w:ascii="Times New Roman" w:hAnsi="Times New Roman"/>
                  <w:color w:val="0000FF"/>
                  <w:sz w:val="22"/>
                  <w:szCs w:val="22"/>
                  <w:u w:val="single"/>
                </w:rPr>
                <w:t>Basic Concepts</w:t>
              </w:r>
            </w:hyperlink>
            <w:r w:rsidRPr="00516F66">
              <w:rPr>
                <w:rFonts w:ascii="Times New Roman" w:hAnsi="Times New Roman"/>
                <w:color w:val="333333"/>
                <w:sz w:val="22"/>
                <w:szCs w:val="22"/>
              </w:rPr>
              <w:t xml:space="preserve"> </w:t>
            </w:r>
          </w:p>
        </w:tc>
      </w:tr>
      <w:tr w:rsidR="00F72D72" w:rsidRPr="00516F66" w:rsidTr="005D0685">
        <w:trPr>
          <w:trHeight w:val="685"/>
          <w:tblCellSpacing w:w="6" w:type="dxa"/>
        </w:trPr>
        <w:tc>
          <w:tcPr>
            <w:tcW w:w="2664" w:type="dxa"/>
            <w:tcBorders>
              <w:top w:val="outset" w:sz="6" w:space="0" w:color="auto"/>
              <w:left w:val="outset" w:sz="6" w:space="0" w:color="auto"/>
              <w:bottom w:val="outset" w:sz="6" w:space="0" w:color="auto"/>
              <w:right w:val="outset" w:sz="6" w:space="0" w:color="auto"/>
            </w:tcBorders>
            <w:vAlign w:val="center"/>
            <w:hideMark/>
          </w:tcPr>
          <w:p w:rsidR="00F72D72" w:rsidRPr="00516F66" w:rsidRDefault="00F72D72" w:rsidP="005D0685">
            <w:pPr>
              <w:spacing w:line="225" w:lineRule="atLeast"/>
              <w:ind w:left="582" w:right="270" w:hanging="360"/>
              <w:rPr>
                <w:rFonts w:ascii="Times New Roman" w:hAnsi="Times New Roman"/>
                <w:color w:val="333333"/>
                <w:sz w:val="22"/>
                <w:szCs w:val="22"/>
              </w:rPr>
            </w:pPr>
            <w:hyperlink r:id="rId14" w:history="1">
              <w:r w:rsidRPr="00516F66">
                <w:rPr>
                  <w:rFonts w:ascii="Times New Roman" w:hAnsi="Times New Roman"/>
                  <w:color w:val="0000FF"/>
                  <w:sz w:val="22"/>
                  <w:szCs w:val="22"/>
                  <w:u w:val="single"/>
                </w:rPr>
                <w:t>Thursday, January 31 at 3:00 p.m. EST</w:t>
              </w:r>
            </w:hyperlink>
          </w:p>
        </w:tc>
        <w:tc>
          <w:tcPr>
            <w:tcW w:w="2471" w:type="dxa"/>
            <w:tcBorders>
              <w:top w:val="outset" w:sz="6" w:space="0" w:color="auto"/>
              <w:left w:val="outset" w:sz="6" w:space="0" w:color="auto"/>
              <w:bottom w:val="outset" w:sz="6" w:space="0" w:color="auto"/>
              <w:right w:val="outset" w:sz="6" w:space="0" w:color="auto"/>
            </w:tcBorders>
            <w:vAlign w:val="center"/>
            <w:hideMark/>
          </w:tcPr>
          <w:p w:rsidR="00F72D72" w:rsidRPr="00516F66" w:rsidRDefault="00F72D72" w:rsidP="005D0685">
            <w:pPr>
              <w:spacing w:line="225" w:lineRule="atLeast"/>
              <w:ind w:left="510" w:hanging="360"/>
              <w:jc w:val="left"/>
              <w:rPr>
                <w:rFonts w:ascii="Times New Roman" w:hAnsi="Times New Roman"/>
                <w:color w:val="333333"/>
                <w:sz w:val="22"/>
                <w:szCs w:val="22"/>
              </w:rPr>
            </w:pPr>
            <w:r w:rsidRPr="00516F66">
              <w:rPr>
                <w:rFonts w:ascii="Times New Roman" w:hAnsi="Times New Roman"/>
                <w:color w:val="333333"/>
                <w:sz w:val="22"/>
                <w:szCs w:val="22"/>
              </w:rPr>
              <w:t>Advanced Competitive Bidding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F72D72" w:rsidRPr="00516F66" w:rsidRDefault="00F72D72" w:rsidP="005D0685">
            <w:pPr>
              <w:spacing w:line="225" w:lineRule="atLeast"/>
              <w:ind w:left="378" w:hanging="360"/>
              <w:rPr>
                <w:rFonts w:ascii="Times New Roman" w:hAnsi="Times New Roman"/>
                <w:color w:val="333333"/>
                <w:sz w:val="22"/>
                <w:szCs w:val="22"/>
              </w:rPr>
            </w:pPr>
            <w:r w:rsidRPr="00516F66">
              <w:rPr>
                <w:rFonts w:ascii="Times New Roman" w:hAnsi="Times New Roman"/>
                <w:color w:val="333333"/>
                <w:sz w:val="22"/>
                <w:szCs w:val="22"/>
              </w:rPr>
              <w:t>Advanced</w:t>
            </w:r>
          </w:p>
        </w:tc>
        <w:tc>
          <w:tcPr>
            <w:tcW w:w="2191" w:type="dxa"/>
            <w:tcBorders>
              <w:top w:val="outset" w:sz="6" w:space="0" w:color="auto"/>
              <w:left w:val="outset" w:sz="6" w:space="0" w:color="auto"/>
              <w:bottom w:val="outset" w:sz="6" w:space="0" w:color="auto"/>
              <w:right w:val="outset" w:sz="6" w:space="0" w:color="auto"/>
            </w:tcBorders>
            <w:vAlign w:val="center"/>
            <w:hideMark/>
          </w:tcPr>
          <w:p w:rsidR="00F72D72" w:rsidRPr="00516F66" w:rsidRDefault="00F72D72" w:rsidP="005D0685">
            <w:pPr>
              <w:spacing w:line="225" w:lineRule="atLeast"/>
              <w:ind w:left="552" w:hanging="360"/>
              <w:rPr>
                <w:rFonts w:ascii="Times New Roman" w:hAnsi="Times New Roman"/>
                <w:color w:val="333333"/>
                <w:sz w:val="22"/>
                <w:szCs w:val="22"/>
              </w:rPr>
            </w:pPr>
            <w:hyperlink r:id="rId15" w:history="1">
              <w:r w:rsidRPr="00516F66">
                <w:rPr>
                  <w:rFonts w:ascii="Times New Roman" w:hAnsi="Times New Roman"/>
                  <w:color w:val="0000FF"/>
                  <w:sz w:val="22"/>
                  <w:szCs w:val="22"/>
                  <w:u w:val="single"/>
                </w:rPr>
                <w:t>Competitive Bidding</w:t>
              </w:r>
            </w:hyperlink>
          </w:p>
        </w:tc>
      </w:tr>
    </w:tbl>
    <w:p w:rsidR="00F72D72" w:rsidRPr="00516F66" w:rsidRDefault="00F72D72" w:rsidP="00F72D72">
      <w:pPr>
        <w:rPr>
          <w:rFonts w:ascii="Times New Roman" w:hAnsi="Times New Roman"/>
        </w:rPr>
      </w:pPr>
    </w:p>
    <w:p w:rsidR="00F72D72" w:rsidRPr="00516F66" w:rsidRDefault="00F72D72" w:rsidP="00F72D72">
      <w:pPr>
        <w:rPr>
          <w:rFonts w:ascii="Times New Roman" w:hAnsi="Times New Roman"/>
        </w:rPr>
      </w:pPr>
      <w:r w:rsidRPr="00516F66">
        <w:rPr>
          <w:rFonts w:ascii="Times New Roman" w:hAnsi="Times New Roman"/>
        </w:rPr>
        <w:t>The topics addressed in these first two modules are:</w:t>
      </w:r>
    </w:p>
    <w:p w:rsidR="00F72D72" w:rsidRPr="00516F66" w:rsidRDefault="00F72D72" w:rsidP="00F72D72">
      <w:pPr>
        <w:rPr>
          <w:rFonts w:ascii="Times New Roman" w:hAnsi="Times New Roman"/>
          <w:sz w:val="20"/>
          <w:szCs w:val="20"/>
        </w:rPr>
      </w:pPr>
    </w:p>
    <w:tbl>
      <w:tblPr>
        <w:tblStyle w:val="TableGrid"/>
        <w:tblW w:w="0" w:type="auto"/>
        <w:tblInd w:w="576" w:type="dxa"/>
        <w:tblLook w:val="04A0" w:firstRow="1" w:lastRow="0" w:firstColumn="1" w:lastColumn="0" w:noHBand="0" w:noVBand="1"/>
      </w:tblPr>
      <w:tblGrid>
        <w:gridCol w:w="4189"/>
        <w:gridCol w:w="4230"/>
      </w:tblGrid>
      <w:tr w:rsidR="00F72D72" w:rsidRPr="00516F66" w:rsidTr="005D0685">
        <w:tc>
          <w:tcPr>
            <w:tcW w:w="4189" w:type="dxa"/>
          </w:tcPr>
          <w:p w:rsidR="00F72D72" w:rsidRPr="00516F66" w:rsidRDefault="00F72D72" w:rsidP="005D0685">
            <w:pPr>
              <w:rPr>
                <w:rFonts w:ascii="Times New Roman" w:hAnsi="Times New Roman"/>
              </w:rPr>
            </w:pPr>
            <w:r w:rsidRPr="00516F66">
              <w:rPr>
                <w:rFonts w:ascii="Times New Roman" w:hAnsi="Times New Roman"/>
              </w:rPr>
              <w:t>Basic E-rate Program Concepts</w:t>
            </w:r>
          </w:p>
          <w:p w:rsidR="00F72D72" w:rsidRPr="00516F66" w:rsidRDefault="00F72D72" w:rsidP="005D0685">
            <w:pPr>
              <w:jc w:val="left"/>
              <w:rPr>
                <w:rFonts w:ascii="Times New Roman" w:hAnsi="Times New Roman"/>
                <w:sz w:val="8"/>
                <w:szCs w:val="8"/>
              </w:rPr>
            </w:pPr>
          </w:p>
          <w:p w:rsidR="00F72D72" w:rsidRPr="00516F66" w:rsidRDefault="00F72D72" w:rsidP="00F72D72">
            <w:pPr>
              <w:numPr>
                <w:ilvl w:val="0"/>
                <w:numId w:val="27"/>
              </w:numPr>
              <w:ind w:left="486"/>
              <w:contextualSpacing/>
              <w:jc w:val="left"/>
              <w:rPr>
                <w:rFonts w:ascii="Times New Roman" w:hAnsi="Times New Roman"/>
                <w:sz w:val="20"/>
                <w:szCs w:val="20"/>
              </w:rPr>
            </w:pPr>
            <w:r w:rsidRPr="00516F66">
              <w:rPr>
                <w:rFonts w:ascii="Times New Roman" w:hAnsi="Times New Roman"/>
                <w:sz w:val="20"/>
                <w:szCs w:val="20"/>
              </w:rPr>
              <w:t>Eligibility (entities, services, locations)</w:t>
            </w:r>
          </w:p>
          <w:p w:rsidR="00F72D72" w:rsidRPr="00516F66" w:rsidRDefault="00F72D72" w:rsidP="00F72D72">
            <w:pPr>
              <w:numPr>
                <w:ilvl w:val="0"/>
                <w:numId w:val="27"/>
              </w:numPr>
              <w:ind w:left="486"/>
              <w:contextualSpacing/>
              <w:jc w:val="left"/>
              <w:rPr>
                <w:rFonts w:ascii="Times New Roman" w:hAnsi="Times New Roman"/>
                <w:sz w:val="20"/>
                <w:szCs w:val="20"/>
              </w:rPr>
            </w:pPr>
            <w:r w:rsidRPr="00516F66">
              <w:rPr>
                <w:rFonts w:ascii="Times New Roman" w:hAnsi="Times New Roman"/>
                <w:sz w:val="20"/>
                <w:szCs w:val="20"/>
              </w:rPr>
              <w:t>Funding Year</w:t>
            </w:r>
          </w:p>
          <w:p w:rsidR="00F72D72" w:rsidRPr="00516F66" w:rsidRDefault="00F72D72" w:rsidP="00F72D72">
            <w:pPr>
              <w:numPr>
                <w:ilvl w:val="0"/>
                <w:numId w:val="27"/>
              </w:numPr>
              <w:ind w:left="486"/>
              <w:contextualSpacing/>
              <w:jc w:val="left"/>
              <w:rPr>
                <w:rFonts w:ascii="Times New Roman" w:hAnsi="Times New Roman"/>
                <w:sz w:val="20"/>
                <w:szCs w:val="20"/>
              </w:rPr>
            </w:pPr>
            <w:r w:rsidRPr="00516F66">
              <w:rPr>
                <w:rFonts w:ascii="Times New Roman" w:hAnsi="Times New Roman"/>
                <w:sz w:val="20"/>
                <w:szCs w:val="20"/>
              </w:rPr>
              <w:t>Identifying Numbers (BEN, SPIN, CRN)</w:t>
            </w:r>
          </w:p>
          <w:p w:rsidR="00F72D72" w:rsidRPr="00516F66" w:rsidRDefault="00F72D72" w:rsidP="00F72D72">
            <w:pPr>
              <w:numPr>
                <w:ilvl w:val="0"/>
                <w:numId w:val="27"/>
              </w:numPr>
              <w:ind w:left="486"/>
              <w:contextualSpacing/>
              <w:jc w:val="left"/>
              <w:rPr>
                <w:rFonts w:ascii="Times New Roman" w:hAnsi="Times New Roman"/>
                <w:sz w:val="20"/>
                <w:szCs w:val="20"/>
              </w:rPr>
            </w:pPr>
            <w:r w:rsidRPr="00516F66">
              <w:rPr>
                <w:rFonts w:ascii="Times New Roman" w:hAnsi="Times New Roman"/>
                <w:sz w:val="20"/>
                <w:szCs w:val="20"/>
              </w:rPr>
              <w:t>Discounts</w:t>
            </w:r>
          </w:p>
          <w:p w:rsidR="00F72D72" w:rsidRPr="00516F66" w:rsidRDefault="00F72D72" w:rsidP="00F72D72">
            <w:pPr>
              <w:numPr>
                <w:ilvl w:val="0"/>
                <w:numId w:val="27"/>
              </w:numPr>
              <w:ind w:left="486"/>
              <w:contextualSpacing/>
              <w:jc w:val="left"/>
              <w:rPr>
                <w:rFonts w:ascii="Times New Roman" w:hAnsi="Times New Roman"/>
                <w:sz w:val="20"/>
                <w:szCs w:val="20"/>
              </w:rPr>
            </w:pPr>
            <w:r w:rsidRPr="00516F66">
              <w:rPr>
                <w:rFonts w:ascii="Times New Roman" w:hAnsi="Times New Roman"/>
                <w:sz w:val="20"/>
                <w:szCs w:val="20"/>
              </w:rPr>
              <w:t>Funding Request Numbers (FRNs</w:t>
            </w:r>
          </w:p>
          <w:p w:rsidR="00516F66" w:rsidRPr="00516F66" w:rsidRDefault="00F72D72" w:rsidP="005D0685">
            <w:pPr>
              <w:ind w:left="126"/>
              <w:jc w:val="left"/>
              <w:rPr>
                <w:rFonts w:ascii="Times New Roman" w:hAnsi="Times New Roman"/>
              </w:rPr>
            </w:pPr>
          </w:p>
        </w:tc>
        <w:tc>
          <w:tcPr>
            <w:tcW w:w="4230" w:type="dxa"/>
          </w:tcPr>
          <w:p w:rsidR="00F72D72" w:rsidRPr="00516F66" w:rsidRDefault="00F72D72" w:rsidP="005D0685">
            <w:pPr>
              <w:rPr>
                <w:rFonts w:ascii="Times New Roman" w:hAnsi="Times New Roman"/>
              </w:rPr>
            </w:pPr>
            <w:r w:rsidRPr="00516F66">
              <w:rPr>
                <w:rFonts w:ascii="Times New Roman" w:hAnsi="Times New Roman"/>
              </w:rPr>
              <w:t>Advanced Competitive Bidding</w:t>
            </w:r>
          </w:p>
          <w:p w:rsidR="00F72D72" w:rsidRPr="00516F66" w:rsidRDefault="00F72D72" w:rsidP="005D0685">
            <w:pPr>
              <w:rPr>
                <w:rFonts w:ascii="Times New Roman" w:hAnsi="Times New Roman"/>
                <w:sz w:val="8"/>
                <w:szCs w:val="8"/>
              </w:rPr>
            </w:pPr>
          </w:p>
          <w:p w:rsidR="00F72D72" w:rsidRPr="00516F66" w:rsidRDefault="00F72D72" w:rsidP="00F72D72">
            <w:pPr>
              <w:numPr>
                <w:ilvl w:val="0"/>
                <w:numId w:val="28"/>
              </w:numPr>
              <w:ind w:left="516"/>
              <w:contextualSpacing/>
              <w:rPr>
                <w:rFonts w:ascii="Times New Roman" w:hAnsi="Times New Roman"/>
                <w:sz w:val="20"/>
                <w:szCs w:val="20"/>
              </w:rPr>
            </w:pPr>
            <w:r w:rsidRPr="00516F66">
              <w:rPr>
                <w:rFonts w:ascii="Times New Roman" w:hAnsi="Times New Roman"/>
                <w:sz w:val="20"/>
                <w:szCs w:val="20"/>
              </w:rPr>
              <w:t>Competitive Bidding (FCC Form 470)</w:t>
            </w:r>
          </w:p>
          <w:p w:rsidR="00F72D72" w:rsidRPr="00516F66" w:rsidRDefault="00F72D72" w:rsidP="00F72D72">
            <w:pPr>
              <w:numPr>
                <w:ilvl w:val="0"/>
                <w:numId w:val="28"/>
              </w:numPr>
              <w:ind w:left="516"/>
              <w:contextualSpacing/>
              <w:rPr>
                <w:rFonts w:ascii="Times New Roman" w:hAnsi="Times New Roman"/>
                <w:sz w:val="20"/>
                <w:szCs w:val="20"/>
              </w:rPr>
            </w:pPr>
            <w:r w:rsidRPr="00516F66">
              <w:rPr>
                <w:rFonts w:ascii="Times New Roman" w:hAnsi="Times New Roman"/>
                <w:sz w:val="20"/>
                <w:szCs w:val="20"/>
              </w:rPr>
              <w:t>Program Compliance Issues</w:t>
            </w:r>
          </w:p>
          <w:p w:rsidR="00F72D72" w:rsidRPr="00516F66" w:rsidRDefault="00F72D72" w:rsidP="00F72D72">
            <w:pPr>
              <w:numPr>
                <w:ilvl w:val="0"/>
                <w:numId w:val="28"/>
              </w:numPr>
              <w:ind w:left="516"/>
              <w:contextualSpacing/>
              <w:rPr>
                <w:rFonts w:ascii="Times New Roman" w:hAnsi="Times New Roman"/>
                <w:sz w:val="20"/>
                <w:szCs w:val="20"/>
              </w:rPr>
            </w:pPr>
            <w:r w:rsidRPr="00516F66">
              <w:rPr>
                <w:rFonts w:ascii="Times New Roman" w:hAnsi="Times New Roman"/>
                <w:sz w:val="20"/>
                <w:szCs w:val="20"/>
              </w:rPr>
              <w:t>Requesting Funding (FCC Form 471)</w:t>
            </w:r>
          </w:p>
          <w:p w:rsidR="00F72D72" w:rsidRPr="00516F66" w:rsidRDefault="00F72D72" w:rsidP="00F72D72">
            <w:pPr>
              <w:numPr>
                <w:ilvl w:val="0"/>
                <w:numId w:val="28"/>
              </w:numPr>
              <w:ind w:left="516"/>
              <w:contextualSpacing/>
              <w:rPr>
                <w:rFonts w:ascii="Times New Roman" w:hAnsi="Times New Roman"/>
                <w:sz w:val="20"/>
                <w:szCs w:val="20"/>
              </w:rPr>
            </w:pPr>
            <w:r w:rsidRPr="00516F66">
              <w:rPr>
                <w:rFonts w:ascii="Times New Roman" w:hAnsi="Times New Roman"/>
                <w:sz w:val="20"/>
                <w:szCs w:val="20"/>
              </w:rPr>
              <w:t>Application Review</w:t>
            </w:r>
          </w:p>
          <w:p w:rsidR="00F72D72" w:rsidRPr="00516F66" w:rsidRDefault="00F72D72" w:rsidP="00F72D72">
            <w:pPr>
              <w:numPr>
                <w:ilvl w:val="0"/>
                <w:numId w:val="28"/>
              </w:numPr>
              <w:ind w:left="516"/>
              <w:contextualSpacing/>
              <w:rPr>
                <w:rFonts w:ascii="Times New Roman" w:hAnsi="Times New Roman"/>
                <w:sz w:val="20"/>
                <w:szCs w:val="20"/>
              </w:rPr>
            </w:pPr>
            <w:r w:rsidRPr="00516F66">
              <w:rPr>
                <w:rFonts w:ascii="Times New Roman" w:hAnsi="Times New Roman"/>
                <w:sz w:val="20"/>
                <w:szCs w:val="20"/>
              </w:rPr>
              <w:t xml:space="preserve">Funding Commitments  </w:t>
            </w:r>
          </w:p>
          <w:p w:rsidR="00F72D72" w:rsidRPr="00516F66" w:rsidRDefault="00F72D72" w:rsidP="00F72D72">
            <w:pPr>
              <w:numPr>
                <w:ilvl w:val="0"/>
                <w:numId w:val="28"/>
              </w:numPr>
              <w:ind w:left="516"/>
              <w:contextualSpacing/>
              <w:rPr>
                <w:rFonts w:ascii="Times New Roman" w:hAnsi="Times New Roman"/>
                <w:sz w:val="20"/>
                <w:szCs w:val="20"/>
              </w:rPr>
            </w:pPr>
            <w:r w:rsidRPr="00516F66">
              <w:rPr>
                <w:rFonts w:ascii="Times New Roman" w:hAnsi="Times New Roman"/>
                <w:sz w:val="20"/>
                <w:szCs w:val="20"/>
              </w:rPr>
              <w:t>Document Retention</w:t>
            </w:r>
          </w:p>
          <w:p w:rsidR="00F72D72" w:rsidRPr="00516F66" w:rsidRDefault="00F72D72" w:rsidP="00F72D72">
            <w:pPr>
              <w:numPr>
                <w:ilvl w:val="0"/>
                <w:numId w:val="28"/>
              </w:numPr>
              <w:ind w:left="516"/>
              <w:contextualSpacing/>
              <w:rPr>
                <w:rFonts w:ascii="Times New Roman" w:hAnsi="Times New Roman"/>
                <w:sz w:val="20"/>
                <w:szCs w:val="20"/>
              </w:rPr>
            </w:pPr>
            <w:r w:rsidRPr="00516F66">
              <w:rPr>
                <w:rFonts w:ascii="Times New Roman" w:hAnsi="Times New Roman"/>
                <w:sz w:val="20"/>
                <w:szCs w:val="20"/>
              </w:rPr>
              <w:t>Case Studies</w:t>
            </w:r>
          </w:p>
          <w:p w:rsidR="00516F66" w:rsidRPr="00516F66" w:rsidRDefault="00F72D72" w:rsidP="005D0685">
            <w:pPr>
              <w:rPr>
                <w:rFonts w:ascii="Times New Roman" w:hAnsi="Times New Roman"/>
                <w:sz w:val="16"/>
                <w:szCs w:val="16"/>
              </w:rPr>
            </w:pPr>
          </w:p>
        </w:tc>
      </w:tr>
      <w:bookmarkEnd w:id="18"/>
    </w:tbl>
    <w:p w:rsidR="001A0141" w:rsidRDefault="001A0141" w:rsidP="00DF4005">
      <w:pPr>
        <w:rPr>
          <w:rFonts w:ascii="Times New Roman" w:hAnsi="Times New Roman"/>
          <w:i/>
          <w:color w:val="1F3864"/>
        </w:rPr>
      </w:pPr>
    </w:p>
    <w:p w:rsidR="001A0141" w:rsidRPr="00DF12B3" w:rsidRDefault="001A0141" w:rsidP="00DF4005">
      <w:pPr>
        <w:rPr>
          <w:rFonts w:ascii="Times New Roman" w:hAnsi="Times New Roman"/>
          <w:i/>
          <w:color w:val="1F3864"/>
        </w:rPr>
      </w:pPr>
    </w:p>
    <w:bookmarkEnd w:id="12"/>
    <w:bookmarkEnd w:id="13"/>
    <w:bookmarkEnd w:id="14"/>
    <w:bookmarkEnd w:id="15"/>
    <w:p w:rsidR="00260807" w:rsidRDefault="007839F0" w:rsidP="00260807">
      <w:pPr>
        <w:rPr>
          <w:rFonts w:ascii="Times New Roman" w:hAnsi="Times New Roman"/>
          <w:i/>
          <w:sz w:val="18"/>
          <w:szCs w:val="18"/>
        </w:rPr>
      </w:pPr>
      <w:r w:rsidRPr="007839F0">
        <w:rPr>
          <w:rFonts w:ascii="Times New Roman" w:hAnsi="Times New Roman"/>
        </w:rPr>
        <w:t>---------------------------------------------------------------------------------------------------------------------</w:t>
      </w:r>
      <w:r w:rsidR="00260807"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00260807"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260807" w:rsidRDefault="00260807" w:rsidP="00260807">
      <w:pPr>
        <w:rPr>
          <w:rFonts w:ascii="Times New Roman" w:hAnsi="Times New Roman"/>
          <w:i/>
          <w:sz w:val="18"/>
          <w:szCs w:val="18"/>
        </w:rPr>
      </w:pPr>
    </w:p>
    <w:p w:rsidR="007839F0" w:rsidRPr="007839F0" w:rsidRDefault="00260807" w:rsidP="00260807">
      <w:pPr>
        <w:rPr>
          <w:rFonts w:ascii="Times New Roman" w:hAnsi="Times New Roman"/>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w:t>
      </w:r>
      <w:r w:rsidR="007839F0" w:rsidRPr="007839F0">
        <w:rPr>
          <w:rFonts w:ascii="Times New Roman" w:hAnsi="Times New Roman"/>
          <w:i/>
          <w:sz w:val="16"/>
          <w:szCs w:val="16"/>
        </w:rPr>
        <w:t xml:space="preserve">.  </w:t>
      </w:r>
    </w:p>
    <w:p w:rsidR="007839F0" w:rsidRPr="00400E8C" w:rsidRDefault="007839F0" w:rsidP="00400E8C">
      <w:pPr>
        <w:pStyle w:val="Header"/>
        <w:rPr>
          <w:rFonts w:ascii="Verdana" w:hAnsi="Verdana"/>
          <w:color w:val="000000"/>
          <w:sz w:val="16"/>
          <w:szCs w:val="16"/>
        </w:rPr>
      </w:pPr>
      <w:r w:rsidRPr="00703BA7">
        <w:rPr>
          <w:i/>
          <w:sz w:val="16"/>
          <w:szCs w:val="16"/>
        </w:rPr>
        <w:t xml:space="preserve"> </w:t>
      </w:r>
      <w:hyperlink r:id="rId16"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"http://www.e-ratecentral.com/images/icon-twitter.png"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"http://www.e-ratecentral.com/images/icon-twitter.png"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"http://www.e-ratecentral.com/images/icon-twitter.png"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"http://www.e-ratecentral.com/images/icon-twitter.png"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"http://www.e-ratecentral.com/images/icon-twitter.png"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"http://www.e-ratecentral.com/images/icon-twitter.png"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"http://www.e-ratecentral.com/images/icon-twitter.png"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"http://www.e-ratecentral.com/images/icon-twitter.png"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"http://www.e-ratecentral.com/images/icon-twitter.png"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"http://www.e-ratecentral.com/images/icon-twitter.png"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"http://www.e-ratecentral.com/images/icon-twitter.png"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"http://www.e-ratecentral.com/images/icon-twitter.png"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"http://www.e-ratecentral.com/images/icon-twitter.png"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"http://www.e-ratecentral.com/images/icon-twitter.png"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"http://www.e-ratecentral.com/images/icon-twitter.png"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"http://www.e-ratecentral.com/images/icon-twitter.png"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"http://www.e-ratecentral.com/images/icon-twitter.png"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"http://www.e-ratecentral.com/images/icon-twitter.png"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"http://www.e-ratecentral.com/images/icon-twitter.png"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"http://www.e-ratecentral.com/images/icon-twitter.png"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"http://www.e-ratecentral.com/images/icon-twitter.png"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"http://www.e-ratecentral.com/images/icon-twitter.png"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"http://www.e-ratecentral.com/images/icon-twitter.png"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INCLUDEPICTURE  "http://www.e-ratecentral.com/images/icon-twitter.png" \* MERGEFORMATINET </w:instrText>
        </w:r>
        <w:r w:rsidR="00BB455C">
          <w:rPr>
            <w:rFonts w:ascii="Verdana" w:hAnsi="Verdana"/>
            <w:color w:val="0000FF"/>
            <w:sz w:val="16"/>
            <w:szCs w:val="16"/>
          </w:rPr>
          <w:fldChar w:fldCharType="separate"/>
        </w:r>
        <w:r w:rsidR="000B1B1C">
          <w:rPr>
            <w:rFonts w:ascii="Verdana" w:hAnsi="Verdana"/>
            <w:color w:val="0000FF"/>
            <w:sz w:val="16"/>
            <w:szCs w:val="16"/>
          </w:rPr>
          <w:fldChar w:fldCharType="begin"/>
        </w:r>
        <w:r w:rsidR="000B1B1C">
          <w:rPr>
            <w:rFonts w:ascii="Verdana" w:hAnsi="Verdana"/>
            <w:color w:val="0000FF"/>
            <w:sz w:val="16"/>
            <w:szCs w:val="16"/>
          </w:rPr>
          <w:instrText xml:space="preserve"> INCLUDEPICTURE  "http://www.e-ratecentral.com/images/icon-twitter.png" \* MERGEFORMATINET </w:instrText>
        </w:r>
        <w:r w:rsidR="000B1B1C">
          <w:rPr>
            <w:rFonts w:ascii="Verdana" w:hAnsi="Verdana"/>
            <w:color w:val="0000FF"/>
            <w:sz w:val="16"/>
            <w:szCs w:val="16"/>
          </w:rPr>
          <w:fldChar w:fldCharType="separate"/>
        </w:r>
        <w:r w:rsidR="00851DCB">
          <w:rPr>
            <w:rFonts w:ascii="Verdana" w:hAnsi="Verdana"/>
            <w:color w:val="0000FF"/>
            <w:sz w:val="16"/>
            <w:szCs w:val="16"/>
          </w:rPr>
          <w:fldChar w:fldCharType="begin"/>
        </w:r>
        <w:r w:rsidR="00851DCB">
          <w:rPr>
            <w:rFonts w:ascii="Verdana" w:hAnsi="Verdana"/>
            <w:color w:val="0000FF"/>
            <w:sz w:val="16"/>
            <w:szCs w:val="16"/>
          </w:rPr>
          <w:instrText xml:space="preserve"> INCLUDEPICTURE  "http://www.e-ratecentral.com/images/icon-twitter.png" \* MERGEFORMATINET </w:instrText>
        </w:r>
        <w:r w:rsidR="00851DCB">
          <w:rPr>
            <w:rFonts w:ascii="Verdana" w:hAnsi="Verdana"/>
            <w:color w:val="0000FF"/>
            <w:sz w:val="16"/>
            <w:szCs w:val="16"/>
          </w:rPr>
          <w:fldChar w:fldCharType="separate"/>
        </w:r>
        <w:r w:rsidR="00BB3947">
          <w:rPr>
            <w:rFonts w:ascii="Verdana" w:hAnsi="Verdana"/>
            <w:color w:val="0000FF"/>
            <w:sz w:val="16"/>
            <w:szCs w:val="16"/>
          </w:rPr>
          <w:fldChar w:fldCharType="begin"/>
        </w:r>
        <w:r w:rsidR="00BB3947">
          <w:rPr>
            <w:rFonts w:ascii="Verdana" w:hAnsi="Verdana"/>
            <w:color w:val="0000FF"/>
            <w:sz w:val="16"/>
            <w:szCs w:val="16"/>
          </w:rPr>
          <w:instrText xml:space="preserve"> INCLUDEPICTURE  "http://www.e-ratecentral.com/images/icon-twitter.png" \* MERGEFORMATINET </w:instrText>
        </w:r>
        <w:r w:rsidR="00BB3947">
          <w:rPr>
            <w:rFonts w:ascii="Verdana" w:hAnsi="Verdana"/>
            <w:color w:val="0000FF"/>
            <w:sz w:val="16"/>
            <w:szCs w:val="16"/>
          </w:rPr>
          <w:fldChar w:fldCharType="separate"/>
        </w:r>
        <w:r w:rsidR="00AB417F">
          <w:rPr>
            <w:rFonts w:ascii="Verdana" w:hAnsi="Verdana"/>
            <w:color w:val="0000FF"/>
            <w:sz w:val="16"/>
            <w:szCs w:val="16"/>
          </w:rPr>
          <w:fldChar w:fldCharType="begin"/>
        </w:r>
        <w:r w:rsidR="00AB417F">
          <w:rPr>
            <w:rFonts w:ascii="Verdana" w:hAnsi="Verdana"/>
            <w:color w:val="0000FF"/>
            <w:sz w:val="16"/>
            <w:szCs w:val="16"/>
          </w:rPr>
          <w:instrText xml:space="preserve"> INCLUDEPICTURE  "http://www.e-ratecentral.com/images/icon-twitter.png" \* MERGEFORMATINET </w:instrText>
        </w:r>
        <w:r w:rsidR="00AB417F">
          <w:rPr>
            <w:rFonts w:ascii="Verdana" w:hAnsi="Verdana"/>
            <w:color w:val="0000FF"/>
            <w:sz w:val="16"/>
            <w:szCs w:val="16"/>
          </w:rPr>
          <w:fldChar w:fldCharType="separate"/>
        </w:r>
        <w:r w:rsidR="001A0141">
          <w:rPr>
            <w:rFonts w:ascii="Verdana" w:hAnsi="Verdana"/>
            <w:color w:val="0000FF"/>
            <w:sz w:val="16"/>
            <w:szCs w:val="16"/>
          </w:rPr>
          <w:fldChar w:fldCharType="begin"/>
        </w:r>
        <w:r w:rsidR="001A0141">
          <w:rPr>
            <w:rFonts w:ascii="Verdana" w:hAnsi="Verdana"/>
            <w:color w:val="0000FF"/>
            <w:sz w:val="16"/>
            <w:szCs w:val="16"/>
          </w:rPr>
          <w:instrText xml:space="preserve"> INCLUDEPICTURE  "http://www.e-ratecentral.com/images/icon-twitter.png" \* MERGEFORMATINET </w:instrText>
        </w:r>
        <w:r w:rsidR="001A0141">
          <w:rPr>
            <w:rFonts w:ascii="Verdana" w:hAnsi="Verdana"/>
            <w:color w:val="0000FF"/>
            <w:sz w:val="16"/>
            <w:szCs w:val="16"/>
          </w:rPr>
          <w:fldChar w:fldCharType="separate"/>
        </w:r>
        <w:r w:rsidR="00A70851">
          <w:rPr>
            <w:rFonts w:ascii="Verdana" w:hAnsi="Verdana"/>
            <w:color w:val="0000FF"/>
            <w:sz w:val="16"/>
            <w:szCs w:val="16"/>
          </w:rPr>
          <w:fldChar w:fldCharType="begin"/>
        </w:r>
        <w:r w:rsidR="00A70851">
          <w:rPr>
            <w:rFonts w:ascii="Verdana" w:hAnsi="Verdana"/>
            <w:color w:val="0000FF"/>
            <w:sz w:val="16"/>
            <w:szCs w:val="16"/>
          </w:rPr>
          <w:instrText xml:space="preserve"> INCLUDEPICTURE  "http://www.e-ratecentral.com/images/icon-twitter.png" \* MERGEFORMATINET </w:instrText>
        </w:r>
        <w:r w:rsidR="00A70851">
          <w:rPr>
            <w:rFonts w:ascii="Verdana" w:hAnsi="Verdana"/>
            <w:color w:val="0000FF"/>
            <w:sz w:val="16"/>
            <w:szCs w:val="16"/>
          </w:rPr>
          <w:fldChar w:fldCharType="separate"/>
        </w:r>
        <w:r w:rsidR="004155F0">
          <w:rPr>
            <w:rFonts w:ascii="Verdana" w:hAnsi="Verdana"/>
            <w:color w:val="0000FF"/>
            <w:sz w:val="16"/>
            <w:szCs w:val="16"/>
          </w:rPr>
          <w:fldChar w:fldCharType="begin"/>
        </w:r>
        <w:r w:rsidR="004155F0">
          <w:rPr>
            <w:rFonts w:ascii="Verdana" w:hAnsi="Verdana"/>
            <w:color w:val="0000FF"/>
            <w:sz w:val="16"/>
            <w:szCs w:val="16"/>
          </w:rPr>
          <w:instrText xml:space="preserve"> INCLUDEPICTURE  "http://www.e-ratecentral.com/images/icon-twitter.png" \* MERGEFORMATINET </w:instrText>
        </w:r>
        <w:r w:rsidR="004155F0">
          <w:rPr>
            <w:rFonts w:ascii="Verdana" w:hAnsi="Verdana"/>
            <w:color w:val="0000FF"/>
            <w:sz w:val="16"/>
            <w:szCs w:val="16"/>
          </w:rPr>
          <w:fldChar w:fldCharType="separate"/>
        </w:r>
        <w:r w:rsidR="00D70232">
          <w:rPr>
            <w:rFonts w:ascii="Verdana" w:hAnsi="Verdana"/>
            <w:color w:val="0000FF"/>
            <w:sz w:val="16"/>
            <w:szCs w:val="16"/>
          </w:rPr>
          <w:fldChar w:fldCharType="begin"/>
        </w:r>
        <w:r w:rsidR="00D70232">
          <w:rPr>
            <w:rFonts w:ascii="Verdana" w:hAnsi="Verdana"/>
            <w:color w:val="0000FF"/>
            <w:sz w:val="16"/>
            <w:szCs w:val="16"/>
          </w:rPr>
          <w:instrText xml:space="preserve"> INCLUDEPICTURE  "http://www.e-ratecentral.com/images/icon-twitter.png" \* MERGEFORMATINET </w:instrText>
        </w:r>
        <w:r w:rsidR="00D70232">
          <w:rPr>
            <w:rFonts w:ascii="Verdana" w:hAnsi="Verdana"/>
            <w:color w:val="0000FF"/>
            <w:sz w:val="16"/>
            <w:szCs w:val="16"/>
          </w:rPr>
          <w:fldChar w:fldCharType="separate"/>
        </w:r>
        <w:r w:rsidR="00F72D72">
          <w:rPr>
            <w:rFonts w:ascii="Verdana" w:hAnsi="Verdana"/>
            <w:color w:val="0000FF"/>
            <w:sz w:val="16"/>
            <w:szCs w:val="16"/>
          </w:rPr>
          <w:fldChar w:fldCharType="begin"/>
        </w:r>
        <w:r w:rsidR="00F72D72">
          <w:rPr>
            <w:rFonts w:ascii="Verdana" w:hAnsi="Verdana"/>
            <w:color w:val="0000FF"/>
            <w:sz w:val="16"/>
            <w:szCs w:val="16"/>
          </w:rPr>
          <w:instrText xml:space="preserve"> </w:instrText>
        </w:r>
        <w:r w:rsidR="00F72D72">
          <w:rPr>
            <w:rFonts w:ascii="Verdana" w:hAnsi="Verdana"/>
            <w:color w:val="0000FF"/>
            <w:sz w:val="16"/>
            <w:szCs w:val="16"/>
          </w:rPr>
          <w:instrText>INCLUDEPICTURE  "http:</w:instrText>
        </w:r>
        <w:r w:rsidR="00F72D72">
          <w:rPr>
            <w:rFonts w:ascii="Verdana" w:hAnsi="Verdana"/>
            <w:color w:val="0000FF"/>
            <w:sz w:val="16"/>
            <w:szCs w:val="16"/>
          </w:rPr>
          <w:instrText>//www.e-ratecentral.com/images/icon-twitter.png" \* MERGEFORMATINET</w:instrText>
        </w:r>
        <w:r w:rsidR="00F72D72">
          <w:rPr>
            <w:rFonts w:ascii="Verdana" w:hAnsi="Verdana"/>
            <w:color w:val="0000FF"/>
            <w:sz w:val="16"/>
            <w:szCs w:val="16"/>
          </w:rPr>
          <w:instrText xml:space="preserve"> </w:instrText>
        </w:r>
        <w:r w:rsidR="00F72D72">
          <w:rPr>
            <w:rFonts w:ascii="Verdana" w:hAnsi="Verdana"/>
            <w:color w:val="0000FF"/>
            <w:sz w:val="16"/>
            <w:szCs w:val="16"/>
          </w:rPr>
          <w:fldChar w:fldCharType="separate"/>
        </w:r>
        <w:r w:rsidR="00F72D72">
          <w:rPr>
            <w:rFonts w:ascii="Verdana" w:hAnsi="Verdana"/>
            <w:color w:val="0000F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Rate Central on Twitter" style="width:18pt;height:18pt" o:button="t">
              <v:imagedata r:id="rId17" r:href="rId18"/>
            </v:shape>
          </w:pict>
        </w:r>
        <w:r w:rsidR="00F72D72">
          <w:rPr>
            <w:rFonts w:ascii="Verdana" w:hAnsi="Verdana"/>
            <w:color w:val="0000FF"/>
            <w:sz w:val="16"/>
            <w:szCs w:val="16"/>
          </w:rPr>
          <w:fldChar w:fldCharType="end"/>
        </w:r>
        <w:r w:rsidR="00D70232">
          <w:rPr>
            <w:rFonts w:ascii="Verdana" w:hAnsi="Verdana"/>
            <w:color w:val="0000FF"/>
            <w:sz w:val="16"/>
            <w:szCs w:val="16"/>
          </w:rPr>
          <w:fldChar w:fldCharType="end"/>
        </w:r>
        <w:r w:rsidR="004155F0">
          <w:rPr>
            <w:rFonts w:ascii="Verdana" w:hAnsi="Verdana"/>
            <w:color w:val="0000FF"/>
            <w:sz w:val="16"/>
            <w:szCs w:val="16"/>
          </w:rPr>
          <w:fldChar w:fldCharType="end"/>
        </w:r>
        <w:r w:rsidR="00A70851">
          <w:rPr>
            <w:rFonts w:ascii="Verdana" w:hAnsi="Verdana"/>
            <w:color w:val="0000FF"/>
            <w:sz w:val="16"/>
            <w:szCs w:val="16"/>
          </w:rPr>
          <w:fldChar w:fldCharType="end"/>
        </w:r>
        <w:r w:rsidR="001A0141">
          <w:rPr>
            <w:rFonts w:ascii="Verdana" w:hAnsi="Verdana"/>
            <w:color w:val="0000FF"/>
            <w:sz w:val="16"/>
            <w:szCs w:val="16"/>
          </w:rPr>
          <w:fldChar w:fldCharType="end"/>
        </w:r>
        <w:r w:rsidR="00AB417F">
          <w:rPr>
            <w:rFonts w:ascii="Verdana" w:hAnsi="Verdana"/>
            <w:color w:val="0000FF"/>
            <w:sz w:val="16"/>
            <w:szCs w:val="16"/>
          </w:rPr>
          <w:fldChar w:fldCharType="end"/>
        </w:r>
        <w:r w:rsidR="00BB3947">
          <w:rPr>
            <w:rFonts w:ascii="Verdana" w:hAnsi="Verdana"/>
            <w:color w:val="0000FF"/>
            <w:sz w:val="16"/>
            <w:szCs w:val="16"/>
          </w:rPr>
          <w:fldChar w:fldCharType="end"/>
        </w:r>
        <w:r w:rsidR="00851DCB">
          <w:rPr>
            <w:rFonts w:ascii="Verdana" w:hAnsi="Verdana"/>
            <w:color w:val="0000FF"/>
            <w:sz w:val="16"/>
            <w:szCs w:val="16"/>
          </w:rPr>
          <w:fldChar w:fldCharType="end"/>
        </w:r>
        <w:r w:rsidR="000B1B1C">
          <w:rPr>
            <w:rFonts w:ascii="Verdana" w:hAnsi="Verdana"/>
            <w:color w:val="0000FF"/>
            <w:sz w:val="16"/>
            <w:szCs w:val="16"/>
          </w:rPr>
          <w:fldChar w:fldCharType="end"/>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19"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"http://www.e-ratecentral.com/images/icon-facebook.png"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"http://www.e-ratecentral.com/images/icon-facebook.png"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"http://www.e-ratecentral.com/images/icon-facebook.png"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"http://www.e-ratecentral.com/images/icon-facebook.png"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"http://www.e-ratecentral.com/images/icon-facebook.png"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"http://www.e-ratecentral.com/images/icon-facebook.png"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"http://www.e-ratecentral.com/images/icon-facebook.png"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"http://www.e-ratecentral.com/images/icon-facebook.png"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"http://www.e-ratecentral.com/images/icon-facebook.png"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"http://www.e-ratecentral.com/images/icon-facebook.png"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"http://www.e-ratecentral.com/images/icon-facebook.png"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"http://www.e-ratecentral.com/images/icon-facebook.png"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"http://www.e-ratecentral.com/images/icon-facebook.png"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"http://www.e-ratecentral.com/images/icon-facebook.png"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"http://www.e-ratecentral.com/images/icon-facebook.png"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"http://www.e-ratecentral.com/images/icon-facebook.png"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"http://www.e-ratecentral.com/images/icon-facebook.png"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"http://www.e-ratecentral.com/images/icon-facebook.png"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"http://www.e-ratecentral.com/images/icon-facebook.png"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"http://www.e-ratecentral.com/images/icon-facebook.png"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"http://www.e-ratecentral.com/images/icon-facebook.png"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"http://www.e-ratecentral.com/images/icon-facebook.png"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"http://www.e-ratecentral.com/images/icon-facebook.png"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INCLUDEPICTURE  "http://www.e-ratecentral.com/images/icon-facebook.png" \* MERGEFORMATINET </w:instrText>
        </w:r>
        <w:r w:rsidR="00BB455C">
          <w:rPr>
            <w:rFonts w:ascii="Verdana" w:hAnsi="Verdana"/>
            <w:color w:val="0000FF"/>
            <w:sz w:val="16"/>
            <w:szCs w:val="16"/>
          </w:rPr>
          <w:fldChar w:fldCharType="separate"/>
        </w:r>
        <w:r w:rsidR="000B1B1C">
          <w:rPr>
            <w:rFonts w:ascii="Verdana" w:hAnsi="Verdana"/>
            <w:color w:val="0000FF"/>
            <w:sz w:val="16"/>
            <w:szCs w:val="16"/>
          </w:rPr>
          <w:fldChar w:fldCharType="begin"/>
        </w:r>
        <w:r w:rsidR="000B1B1C">
          <w:rPr>
            <w:rFonts w:ascii="Verdana" w:hAnsi="Verdana"/>
            <w:color w:val="0000FF"/>
            <w:sz w:val="16"/>
            <w:szCs w:val="16"/>
          </w:rPr>
          <w:instrText xml:space="preserve"> INCLUDEPICTURE  "http://www.e-ratecentral.com/images/icon-facebook.png" \* MERGEFORMATINET </w:instrText>
        </w:r>
        <w:r w:rsidR="000B1B1C">
          <w:rPr>
            <w:rFonts w:ascii="Verdana" w:hAnsi="Verdana"/>
            <w:color w:val="0000FF"/>
            <w:sz w:val="16"/>
            <w:szCs w:val="16"/>
          </w:rPr>
          <w:fldChar w:fldCharType="separate"/>
        </w:r>
        <w:r w:rsidR="00851DCB">
          <w:rPr>
            <w:rFonts w:ascii="Verdana" w:hAnsi="Verdana"/>
            <w:color w:val="0000FF"/>
            <w:sz w:val="16"/>
            <w:szCs w:val="16"/>
          </w:rPr>
          <w:fldChar w:fldCharType="begin"/>
        </w:r>
        <w:r w:rsidR="00851DCB">
          <w:rPr>
            <w:rFonts w:ascii="Verdana" w:hAnsi="Verdana"/>
            <w:color w:val="0000FF"/>
            <w:sz w:val="16"/>
            <w:szCs w:val="16"/>
          </w:rPr>
          <w:instrText xml:space="preserve"> INCLUDEPICTURE  "http://www.e-ratecentral.com/images/icon-facebook.png" \* MERGEFORMATINET </w:instrText>
        </w:r>
        <w:r w:rsidR="00851DCB">
          <w:rPr>
            <w:rFonts w:ascii="Verdana" w:hAnsi="Verdana"/>
            <w:color w:val="0000FF"/>
            <w:sz w:val="16"/>
            <w:szCs w:val="16"/>
          </w:rPr>
          <w:fldChar w:fldCharType="separate"/>
        </w:r>
        <w:r w:rsidR="00BB3947">
          <w:rPr>
            <w:rFonts w:ascii="Verdana" w:hAnsi="Verdana"/>
            <w:color w:val="0000FF"/>
            <w:sz w:val="16"/>
            <w:szCs w:val="16"/>
          </w:rPr>
          <w:fldChar w:fldCharType="begin"/>
        </w:r>
        <w:r w:rsidR="00BB3947">
          <w:rPr>
            <w:rFonts w:ascii="Verdana" w:hAnsi="Verdana"/>
            <w:color w:val="0000FF"/>
            <w:sz w:val="16"/>
            <w:szCs w:val="16"/>
          </w:rPr>
          <w:instrText xml:space="preserve"> INCLUDEPICTURE  "http://www.e-ratecentral.com/images/icon-facebook.png" \* MERGEFORMATINET </w:instrText>
        </w:r>
        <w:r w:rsidR="00BB3947">
          <w:rPr>
            <w:rFonts w:ascii="Verdana" w:hAnsi="Verdana"/>
            <w:color w:val="0000FF"/>
            <w:sz w:val="16"/>
            <w:szCs w:val="16"/>
          </w:rPr>
          <w:fldChar w:fldCharType="separate"/>
        </w:r>
        <w:r w:rsidR="00AB417F">
          <w:rPr>
            <w:rFonts w:ascii="Verdana" w:hAnsi="Verdana"/>
            <w:color w:val="0000FF"/>
            <w:sz w:val="16"/>
            <w:szCs w:val="16"/>
          </w:rPr>
          <w:fldChar w:fldCharType="begin"/>
        </w:r>
        <w:r w:rsidR="00AB417F">
          <w:rPr>
            <w:rFonts w:ascii="Verdana" w:hAnsi="Verdana"/>
            <w:color w:val="0000FF"/>
            <w:sz w:val="16"/>
            <w:szCs w:val="16"/>
          </w:rPr>
          <w:instrText xml:space="preserve"> INCLUDEPICTURE  "http://www.e-ratecentral.com/images/icon-facebook.png" \* MERGEFORMATINET </w:instrText>
        </w:r>
        <w:r w:rsidR="00AB417F">
          <w:rPr>
            <w:rFonts w:ascii="Verdana" w:hAnsi="Verdana"/>
            <w:color w:val="0000FF"/>
            <w:sz w:val="16"/>
            <w:szCs w:val="16"/>
          </w:rPr>
          <w:fldChar w:fldCharType="separate"/>
        </w:r>
        <w:r w:rsidR="001A0141">
          <w:rPr>
            <w:rFonts w:ascii="Verdana" w:hAnsi="Verdana"/>
            <w:color w:val="0000FF"/>
            <w:sz w:val="16"/>
            <w:szCs w:val="16"/>
          </w:rPr>
          <w:fldChar w:fldCharType="begin"/>
        </w:r>
        <w:r w:rsidR="001A0141">
          <w:rPr>
            <w:rFonts w:ascii="Verdana" w:hAnsi="Verdana"/>
            <w:color w:val="0000FF"/>
            <w:sz w:val="16"/>
            <w:szCs w:val="16"/>
          </w:rPr>
          <w:instrText xml:space="preserve"> INCLUDEPICTURE  "http://www.e-ratecentral.com/images/icon-facebook.png" \* MERGEFORMATINET </w:instrText>
        </w:r>
        <w:r w:rsidR="001A0141">
          <w:rPr>
            <w:rFonts w:ascii="Verdana" w:hAnsi="Verdana"/>
            <w:color w:val="0000FF"/>
            <w:sz w:val="16"/>
            <w:szCs w:val="16"/>
          </w:rPr>
          <w:fldChar w:fldCharType="separate"/>
        </w:r>
        <w:r w:rsidR="00A70851">
          <w:rPr>
            <w:rFonts w:ascii="Verdana" w:hAnsi="Verdana"/>
            <w:color w:val="0000FF"/>
            <w:sz w:val="16"/>
            <w:szCs w:val="16"/>
          </w:rPr>
          <w:fldChar w:fldCharType="begin"/>
        </w:r>
        <w:r w:rsidR="00A70851">
          <w:rPr>
            <w:rFonts w:ascii="Verdana" w:hAnsi="Verdana"/>
            <w:color w:val="0000FF"/>
            <w:sz w:val="16"/>
            <w:szCs w:val="16"/>
          </w:rPr>
          <w:instrText xml:space="preserve"> INCLUDEPICTURE  "http://www.e-ratecentral.com/images/icon-facebook.png" \* MERGEFORMATINET </w:instrText>
        </w:r>
        <w:r w:rsidR="00A70851">
          <w:rPr>
            <w:rFonts w:ascii="Verdana" w:hAnsi="Verdana"/>
            <w:color w:val="0000FF"/>
            <w:sz w:val="16"/>
            <w:szCs w:val="16"/>
          </w:rPr>
          <w:fldChar w:fldCharType="separate"/>
        </w:r>
        <w:r w:rsidR="004155F0">
          <w:rPr>
            <w:rFonts w:ascii="Verdana" w:hAnsi="Verdana"/>
            <w:color w:val="0000FF"/>
            <w:sz w:val="16"/>
            <w:szCs w:val="16"/>
          </w:rPr>
          <w:fldChar w:fldCharType="begin"/>
        </w:r>
        <w:r w:rsidR="004155F0">
          <w:rPr>
            <w:rFonts w:ascii="Verdana" w:hAnsi="Verdana"/>
            <w:color w:val="0000FF"/>
            <w:sz w:val="16"/>
            <w:szCs w:val="16"/>
          </w:rPr>
          <w:instrText xml:space="preserve"> INCLUDEPICTURE  "http://www.e-ratecentral.com/images/icon-facebook.png" \* MERGEFORMATINET </w:instrText>
        </w:r>
        <w:r w:rsidR="004155F0">
          <w:rPr>
            <w:rFonts w:ascii="Verdana" w:hAnsi="Verdana"/>
            <w:color w:val="0000FF"/>
            <w:sz w:val="16"/>
            <w:szCs w:val="16"/>
          </w:rPr>
          <w:fldChar w:fldCharType="separate"/>
        </w:r>
        <w:r w:rsidR="00D70232">
          <w:rPr>
            <w:rFonts w:ascii="Verdana" w:hAnsi="Verdana"/>
            <w:color w:val="0000FF"/>
            <w:sz w:val="16"/>
            <w:szCs w:val="16"/>
          </w:rPr>
          <w:fldChar w:fldCharType="begin"/>
        </w:r>
        <w:r w:rsidR="00D70232">
          <w:rPr>
            <w:rFonts w:ascii="Verdana" w:hAnsi="Verdana"/>
            <w:color w:val="0000FF"/>
            <w:sz w:val="16"/>
            <w:szCs w:val="16"/>
          </w:rPr>
          <w:instrText xml:space="preserve"> INCLUDEPICTURE  "http://www.e-ratecentral.com/images/icon-facebook.png" \* MERGEFORMATINET </w:instrText>
        </w:r>
        <w:r w:rsidR="00D70232">
          <w:rPr>
            <w:rFonts w:ascii="Verdana" w:hAnsi="Verdana"/>
            <w:color w:val="0000FF"/>
            <w:sz w:val="16"/>
            <w:szCs w:val="16"/>
          </w:rPr>
          <w:fldChar w:fldCharType="separate"/>
        </w:r>
        <w:r w:rsidR="00F72D72">
          <w:rPr>
            <w:rFonts w:ascii="Verdana" w:hAnsi="Verdana"/>
            <w:color w:val="0000FF"/>
            <w:sz w:val="16"/>
            <w:szCs w:val="16"/>
          </w:rPr>
          <w:fldChar w:fldCharType="begin"/>
        </w:r>
        <w:r w:rsidR="00F72D72">
          <w:rPr>
            <w:rFonts w:ascii="Verdana" w:hAnsi="Verdana"/>
            <w:color w:val="0000FF"/>
            <w:sz w:val="16"/>
            <w:szCs w:val="16"/>
          </w:rPr>
          <w:instrText xml:space="preserve"> </w:instrText>
        </w:r>
        <w:r w:rsidR="00F72D72">
          <w:rPr>
            <w:rFonts w:ascii="Verdana" w:hAnsi="Verdana"/>
            <w:color w:val="0000FF"/>
            <w:sz w:val="16"/>
            <w:szCs w:val="16"/>
          </w:rPr>
          <w:instrText>INCLUDEPICTURE  "http://www.e-ratecentral.com/images/icon-facebook.png" \* MERGEFORMATINET</w:instrText>
        </w:r>
        <w:r w:rsidR="00F72D72">
          <w:rPr>
            <w:rFonts w:ascii="Verdana" w:hAnsi="Verdana"/>
            <w:color w:val="0000FF"/>
            <w:sz w:val="16"/>
            <w:szCs w:val="16"/>
          </w:rPr>
          <w:instrText xml:space="preserve"> </w:instrText>
        </w:r>
        <w:r w:rsidR="00F72D72">
          <w:rPr>
            <w:rFonts w:ascii="Verdana" w:hAnsi="Verdana"/>
            <w:color w:val="0000FF"/>
            <w:sz w:val="16"/>
            <w:szCs w:val="16"/>
          </w:rPr>
          <w:fldChar w:fldCharType="separate"/>
        </w:r>
        <w:r w:rsidR="00F72D72">
          <w:rPr>
            <w:rFonts w:ascii="Verdana" w:hAnsi="Verdana"/>
            <w:color w:val="0000FF"/>
            <w:sz w:val="16"/>
            <w:szCs w:val="16"/>
          </w:rPr>
          <w:pict>
            <v:shape id="_x0000_i1026" type="#_x0000_t75" alt="E-Rate Central on Facebook" style="width:18pt;height:18pt" o:button="t">
              <v:imagedata r:id="rId20" r:href="rId21"/>
            </v:shape>
          </w:pict>
        </w:r>
        <w:r w:rsidR="00F72D72">
          <w:rPr>
            <w:rFonts w:ascii="Verdana" w:hAnsi="Verdana"/>
            <w:color w:val="0000FF"/>
            <w:sz w:val="16"/>
            <w:szCs w:val="16"/>
          </w:rPr>
          <w:fldChar w:fldCharType="end"/>
        </w:r>
        <w:r w:rsidR="00D70232">
          <w:rPr>
            <w:rFonts w:ascii="Verdana" w:hAnsi="Verdana"/>
            <w:color w:val="0000FF"/>
            <w:sz w:val="16"/>
            <w:szCs w:val="16"/>
          </w:rPr>
          <w:fldChar w:fldCharType="end"/>
        </w:r>
        <w:r w:rsidR="004155F0">
          <w:rPr>
            <w:rFonts w:ascii="Verdana" w:hAnsi="Verdana"/>
            <w:color w:val="0000FF"/>
            <w:sz w:val="16"/>
            <w:szCs w:val="16"/>
          </w:rPr>
          <w:fldChar w:fldCharType="end"/>
        </w:r>
        <w:r w:rsidR="00A70851">
          <w:rPr>
            <w:rFonts w:ascii="Verdana" w:hAnsi="Verdana"/>
            <w:color w:val="0000FF"/>
            <w:sz w:val="16"/>
            <w:szCs w:val="16"/>
          </w:rPr>
          <w:fldChar w:fldCharType="end"/>
        </w:r>
        <w:r w:rsidR="001A0141">
          <w:rPr>
            <w:rFonts w:ascii="Verdana" w:hAnsi="Verdana"/>
            <w:color w:val="0000FF"/>
            <w:sz w:val="16"/>
            <w:szCs w:val="16"/>
          </w:rPr>
          <w:fldChar w:fldCharType="end"/>
        </w:r>
        <w:r w:rsidR="00AB417F">
          <w:rPr>
            <w:rFonts w:ascii="Verdana" w:hAnsi="Verdana"/>
            <w:color w:val="0000FF"/>
            <w:sz w:val="16"/>
            <w:szCs w:val="16"/>
          </w:rPr>
          <w:fldChar w:fldCharType="end"/>
        </w:r>
        <w:r w:rsidR="00BB3947">
          <w:rPr>
            <w:rFonts w:ascii="Verdana" w:hAnsi="Verdana"/>
            <w:color w:val="0000FF"/>
            <w:sz w:val="16"/>
            <w:szCs w:val="16"/>
          </w:rPr>
          <w:fldChar w:fldCharType="end"/>
        </w:r>
        <w:r w:rsidR="00851DCB">
          <w:rPr>
            <w:rFonts w:ascii="Verdana" w:hAnsi="Verdana"/>
            <w:color w:val="0000FF"/>
            <w:sz w:val="16"/>
            <w:szCs w:val="16"/>
          </w:rPr>
          <w:fldChar w:fldCharType="end"/>
        </w:r>
        <w:r w:rsidR="000B1B1C">
          <w:rPr>
            <w:rFonts w:ascii="Verdana" w:hAnsi="Verdana"/>
            <w:color w:val="0000FF"/>
            <w:sz w:val="16"/>
            <w:szCs w:val="16"/>
          </w:rPr>
          <w:fldChar w:fldCharType="end"/>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2"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"http://www.e-ratecentral.com/images/icon-linkedin.png"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"http://www.e-ratecentral.com/images/icon-linkedin.png"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"http://www.e-ratecentral.com/images/icon-linkedin.png"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"http://www.e-ratecentral.com/images/icon-linkedin.png"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"http://www.e-ratecentral.com/images/icon-linkedin.png"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"http://www.e-ratecentral.com/images/icon-linkedin.png"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"http://www.e-ratecentral.com/images/icon-linkedin.png"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"http://www.e-ratecentral.com/images/icon-linkedin.png"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"http://www.e-ratecentral.com/images/icon-linkedin.png"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"http://www.e-ratecentral.com/images/icon-linkedin.png"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"http://www.e-ratecentral.com/images/icon-linkedin.png"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"http://www.e-ratecentral.com/images/icon-linkedin.png"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"http://www.e-ratecentral.com/images/icon-linkedin.png"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"http://www.e-ratecentral.com/images/icon-linkedin.png"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"http://www.e-ratecentral.com/images/icon-linkedin.png"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"http://www.e-ratecentral.com/images/icon-linkedin.png"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"http://www.e-ratecentral.com/images/icon-linkedin.png"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"http://www.e-ratecentral.com/images/icon-linkedin.png"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"http://www.e-ratecentral.com/images/icon-linkedin.png"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"http://www.e-ratecentral.com/images/icon-linkedin.png"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"http://www.e-ratecentral.com/images/icon-linkedin.png"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"http://www.e-ratecentral.com/images/icon-linkedin.png"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"http://www.e-ratecentral.com/images/icon-linkedin.png"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INCLUDEPICTURE  "http://www.e-ratecentral.com/images/icon-linkedin.png" \* MERGEFORMATINET </w:instrText>
        </w:r>
        <w:r w:rsidR="00BB455C">
          <w:rPr>
            <w:rFonts w:ascii="Verdana" w:hAnsi="Verdana"/>
            <w:color w:val="0000FF"/>
            <w:sz w:val="16"/>
            <w:szCs w:val="16"/>
          </w:rPr>
          <w:fldChar w:fldCharType="separate"/>
        </w:r>
        <w:r w:rsidR="000B1B1C">
          <w:rPr>
            <w:rFonts w:ascii="Verdana" w:hAnsi="Verdana"/>
            <w:color w:val="0000FF"/>
            <w:sz w:val="16"/>
            <w:szCs w:val="16"/>
          </w:rPr>
          <w:fldChar w:fldCharType="begin"/>
        </w:r>
        <w:r w:rsidR="000B1B1C">
          <w:rPr>
            <w:rFonts w:ascii="Verdana" w:hAnsi="Verdana"/>
            <w:color w:val="0000FF"/>
            <w:sz w:val="16"/>
            <w:szCs w:val="16"/>
          </w:rPr>
          <w:instrText xml:space="preserve"> INCLUDEPICTURE  "http://www.e-ratecentral.com/images/icon-linkedin.png" \* MERGEFORMATINET </w:instrText>
        </w:r>
        <w:r w:rsidR="000B1B1C">
          <w:rPr>
            <w:rFonts w:ascii="Verdana" w:hAnsi="Verdana"/>
            <w:color w:val="0000FF"/>
            <w:sz w:val="16"/>
            <w:szCs w:val="16"/>
          </w:rPr>
          <w:fldChar w:fldCharType="separate"/>
        </w:r>
        <w:r w:rsidR="00851DCB">
          <w:rPr>
            <w:rFonts w:ascii="Verdana" w:hAnsi="Verdana"/>
            <w:color w:val="0000FF"/>
            <w:sz w:val="16"/>
            <w:szCs w:val="16"/>
          </w:rPr>
          <w:fldChar w:fldCharType="begin"/>
        </w:r>
        <w:r w:rsidR="00851DCB">
          <w:rPr>
            <w:rFonts w:ascii="Verdana" w:hAnsi="Verdana"/>
            <w:color w:val="0000FF"/>
            <w:sz w:val="16"/>
            <w:szCs w:val="16"/>
          </w:rPr>
          <w:instrText xml:space="preserve"> INCLUDEPICTURE  "http://www.e-ratecentral.com/images/icon-linkedin.png" \* MERGEFORMATINET </w:instrText>
        </w:r>
        <w:r w:rsidR="00851DCB">
          <w:rPr>
            <w:rFonts w:ascii="Verdana" w:hAnsi="Verdana"/>
            <w:color w:val="0000FF"/>
            <w:sz w:val="16"/>
            <w:szCs w:val="16"/>
          </w:rPr>
          <w:fldChar w:fldCharType="separate"/>
        </w:r>
        <w:r w:rsidR="00BB3947">
          <w:rPr>
            <w:rFonts w:ascii="Verdana" w:hAnsi="Verdana"/>
            <w:color w:val="0000FF"/>
            <w:sz w:val="16"/>
            <w:szCs w:val="16"/>
          </w:rPr>
          <w:fldChar w:fldCharType="begin"/>
        </w:r>
        <w:r w:rsidR="00BB3947">
          <w:rPr>
            <w:rFonts w:ascii="Verdana" w:hAnsi="Verdana"/>
            <w:color w:val="0000FF"/>
            <w:sz w:val="16"/>
            <w:szCs w:val="16"/>
          </w:rPr>
          <w:instrText xml:space="preserve"> INCLUDEPICTURE  "http://www.e-ratecentral.com/images/icon-linkedin.png" \* MERGEFORMATINET </w:instrText>
        </w:r>
        <w:r w:rsidR="00BB3947">
          <w:rPr>
            <w:rFonts w:ascii="Verdana" w:hAnsi="Verdana"/>
            <w:color w:val="0000FF"/>
            <w:sz w:val="16"/>
            <w:szCs w:val="16"/>
          </w:rPr>
          <w:fldChar w:fldCharType="separate"/>
        </w:r>
        <w:r w:rsidR="00AB417F">
          <w:rPr>
            <w:rFonts w:ascii="Verdana" w:hAnsi="Verdana"/>
            <w:color w:val="0000FF"/>
            <w:sz w:val="16"/>
            <w:szCs w:val="16"/>
          </w:rPr>
          <w:fldChar w:fldCharType="begin"/>
        </w:r>
        <w:r w:rsidR="00AB417F">
          <w:rPr>
            <w:rFonts w:ascii="Verdana" w:hAnsi="Verdana"/>
            <w:color w:val="0000FF"/>
            <w:sz w:val="16"/>
            <w:szCs w:val="16"/>
          </w:rPr>
          <w:instrText xml:space="preserve"> INCLUDEPICTURE  "http://www.e-ratecentral.com/images/icon-linkedin.png" \* MERGEFORMATINET </w:instrText>
        </w:r>
        <w:r w:rsidR="00AB417F">
          <w:rPr>
            <w:rFonts w:ascii="Verdana" w:hAnsi="Verdana"/>
            <w:color w:val="0000FF"/>
            <w:sz w:val="16"/>
            <w:szCs w:val="16"/>
          </w:rPr>
          <w:fldChar w:fldCharType="separate"/>
        </w:r>
        <w:r w:rsidR="001A0141">
          <w:rPr>
            <w:rFonts w:ascii="Verdana" w:hAnsi="Verdana"/>
            <w:color w:val="0000FF"/>
            <w:sz w:val="16"/>
            <w:szCs w:val="16"/>
          </w:rPr>
          <w:fldChar w:fldCharType="begin"/>
        </w:r>
        <w:r w:rsidR="001A0141">
          <w:rPr>
            <w:rFonts w:ascii="Verdana" w:hAnsi="Verdana"/>
            <w:color w:val="0000FF"/>
            <w:sz w:val="16"/>
            <w:szCs w:val="16"/>
          </w:rPr>
          <w:instrText xml:space="preserve"> INCLUDEPICTURE  "http://www.e-ratecentral.com/images/icon-linkedin.png" \* MERGEFORMATINET </w:instrText>
        </w:r>
        <w:r w:rsidR="001A0141">
          <w:rPr>
            <w:rFonts w:ascii="Verdana" w:hAnsi="Verdana"/>
            <w:color w:val="0000FF"/>
            <w:sz w:val="16"/>
            <w:szCs w:val="16"/>
          </w:rPr>
          <w:fldChar w:fldCharType="separate"/>
        </w:r>
        <w:r w:rsidR="00A70851">
          <w:rPr>
            <w:rFonts w:ascii="Verdana" w:hAnsi="Verdana"/>
            <w:color w:val="0000FF"/>
            <w:sz w:val="16"/>
            <w:szCs w:val="16"/>
          </w:rPr>
          <w:fldChar w:fldCharType="begin"/>
        </w:r>
        <w:r w:rsidR="00A70851">
          <w:rPr>
            <w:rFonts w:ascii="Verdana" w:hAnsi="Verdana"/>
            <w:color w:val="0000FF"/>
            <w:sz w:val="16"/>
            <w:szCs w:val="16"/>
          </w:rPr>
          <w:instrText xml:space="preserve"> INCLUDEPICTURE  "http://www.e-ratecentral.com/images/icon-linkedin.png" \* MERGEFORMATINET </w:instrText>
        </w:r>
        <w:r w:rsidR="00A70851">
          <w:rPr>
            <w:rFonts w:ascii="Verdana" w:hAnsi="Verdana"/>
            <w:color w:val="0000FF"/>
            <w:sz w:val="16"/>
            <w:szCs w:val="16"/>
          </w:rPr>
          <w:fldChar w:fldCharType="separate"/>
        </w:r>
        <w:r w:rsidR="004155F0">
          <w:rPr>
            <w:rFonts w:ascii="Verdana" w:hAnsi="Verdana"/>
            <w:color w:val="0000FF"/>
            <w:sz w:val="16"/>
            <w:szCs w:val="16"/>
          </w:rPr>
          <w:fldChar w:fldCharType="begin"/>
        </w:r>
        <w:r w:rsidR="004155F0">
          <w:rPr>
            <w:rFonts w:ascii="Verdana" w:hAnsi="Verdana"/>
            <w:color w:val="0000FF"/>
            <w:sz w:val="16"/>
            <w:szCs w:val="16"/>
          </w:rPr>
          <w:instrText xml:space="preserve"> INCLUDEPICTURE  "http://www.e-ratecentral.com/images/icon-linkedin.png" \* MERGEFORMATINET </w:instrText>
        </w:r>
        <w:r w:rsidR="004155F0">
          <w:rPr>
            <w:rFonts w:ascii="Verdana" w:hAnsi="Verdana"/>
            <w:color w:val="0000FF"/>
            <w:sz w:val="16"/>
            <w:szCs w:val="16"/>
          </w:rPr>
          <w:fldChar w:fldCharType="separate"/>
        </w:r>
        <w:r w:rsidR="00D70232">
          <w:rPr>
            <w:rFonts w:ascii="Verdana" w:hAnsi="Verdana"/>
            <w:color w:val="0000FF"/>
            <w:sz w:val="16"/>
            <w:szCs w:val="16"/>
          </w:rPr>
          <w:fldChar w:fldCharType="begin"/>
        </w:r>
        <w:r w:rsidR="00D70232">
          <w:rPr>
            <w:rFonts w:ascii="Verdana" w:hAnsi="Verdana"/>
            <w:color w:val="0000FF"/>
            <w:sz w:val="16"/>
            <w:szCs w:val="16"/>
          </w:rPr>
          <w:instrText xml:space="preserve"> INCLUDEPICTURE  "http://www.e-ratecentral.com/images/icon-linkedin.png" \* MERGEFORMATINET </w:instrText>
        </w:r>
        <w:r w:rsidR="00D70232">
          <w:rPr>
            <w:rFonts w:ascii="Verdana" w:hAnsi="Verdana"/>
            <w:color w:val="0000FF"/>
            <w:sz w:val="16"/>
            <w:szCs w:val="16"/>
          </w:rPr>
          <w:fldChar w:fldCharType="separate"/>
        </w:r>
        <w:r w:rsidR="00F72D72">
          <w:rPr>
            <w:rFonts w:ascii="Verdana" w:hAnsi="Verdana"/>
            <w:color w:val="0000FF"/>
            <w:sz w:val="16"/>
            <w:szCs w:val="16"/>
          </w:rPr>
          <w:fldChar w:fldCharType="begin"/>
        </w:r>
        <w:r w:rsidR="00F72D72">
          <w:rPr>
            <w:rFonts w:ascii="Verdana" w:hAnsi="Verdana"/>
            <w:color w:val="0000FF"/>
            <w:sz w:val="16"/>
            <w:szCs w:val="16"/>
          </w:rPr>
          <w:instrText xml:space="preserve"> </w:instrText>
        </w:r>
        <w:r w:rsidR="00F72D72">
          <w:rPr>
            <w:rFonts w:ascii="Verdana" w:hAnsi="Verdana"/>
            <w:color w:val="0000FF"/>
            <w:sz w:val="16"/>
            <w:szCs w:val="16"/>
          </w:rPr>
          <w:instrText>INCLUDEPICTURE  "http://www.e-ratecentral.com/images/icon-linkedin.png" \* MERGEFORMATINET</w:instrText>
        </w:r>
        <w:r w:rsidR="00F72D72">
          <w:rPr>
            <w:rFonts w:ascii="Verdana" w:hAnsi="Verdana"/>
            <w:color w:val="0000FF"/>
            <w:sz w:val="16"/>
            <w:szCs w:val="16"/>
          </w:rPr>
          <w:instrText xml:space="preserve"> </w:instrText>
        </w:r>
        <w:r w:rsidR="00F72D72">
          <w:rPr>
            <w:rFonts w:ascii="Verdana" w:hAnsi="Verdana"/>
            <w:color w:val="0000FF"/>
            <w:sz w:val="16"/>
            <w:szCs w:val="16"/>
          </w:rPr>
          <w:fldChar w:fldCharType="separate"/>
        </w:r>
        <w:r w:rsidR="00F72D72">
          <w:rPr>
            <w:rFonts w:ascii="Verdana" w:hAnsi="Verdana"/>
            <w:color w:val="0000FF"/>
            <w:sz w:val="16"/>
            <w:szCs w:val="16"/>
          </w:rPr>
          <w:pict>
            <v:shape id="_x0000_i1027" type="#_x0000_t75" alt="E-Rate Central on LinkedIn" style="width:18pt;height:18pt" o:button="t">
              <v:imagedata r:id="rId23" r:href="rId24"/>
            </v:shape>
          </w:pict>
        </w:r>
        <w:r w:rsidR="00F72D72">
          <w:rPr>
            <w:rFonts w:ascii="Verdana" w:hAnsi="Verdana"/>
            <w:color w:val="0000FF"/>
            <w:sz w:val="16"/>
            <w:szCs w:val="16"/>
          </w:rPr>
          <w:fldChar w:fldCharType="end"/>
        </w:r>
        <w:r w:rsidR="00D70232">
          <w:rPr>
            <w:rFonts w:ascii="Verdana" w:hAnsi="Verdana"/>
            <w:color w:val="0000FF"/>
            <w:sz w:val="16"/>
            <w:szCs w:val="16"/>
          </w:rPr>
          <w:fldChar w:fldCharType="end"/>
        </w:r>
        <w:r w:rsidR="004155F0">
          <w:rPr>
            <w:rFonts w:ascii="Verdana" w:hAnsi="Verdana"/>
            <w:color w:val="0000FF"/>
            <w:sz w:val="16"/>
            <w:szCs w:val="16"/>
          </w:rPr>
          <w:fldChar w:fldCharType="end"/>
        </w:r>
        <w:r w:rsidR="00A70851">
          <w:rPr>
            <w:rFonts w:ascii="Verdana" w:hAnsi="Verdana"/>
            <w:color w:val="0000FF"/>
            <w:sz w:val="16"/>
            <w:szCs w:val="16"/>
          </w:rPr>
          <w:fldChar w:fldCharType="end"/>
        </w:r>
        <w:r w:rsidR="001A0141">
          <w:rPr>
            <w:rFonts w:ascii="Verdana" w:hAnsi="Verdana"/>
            <w:color w:val="0000FF"/>
            <w:sz w:val="16"/>
            <w:szCs w:val="16"/>
          </w:rPr>
          <w:fldChar w:fldCharType="end"/>
        </w:r>
        <w:r w:rsidR="00AB417F">
          <w:rPr>
            <w:rFonts w:ascii="Verdana" w:hAnsi="Verdana"/>
            <w:color w:val="0000FF"/>
            <w:sz w:val="16"/>
            <w:szCs w:val="16"/>
          </w:rPr>
          <w:fldChar w:fldCharType="end"/>
        </w:r>
        <w:r w:rsidR="00BB3947">
          <w:rPr>
            <w:rFonts w:ascii="Verdana" w:hAnsi="Verdana"/>
            <w:color w:val="0000FF"/>
            <w:sz w:val="16"/>
            <w:szCs w:val="16"/>
          </w:rPr>
          <w:fldChar w:fldCharType="end"/>
        </w:r>
        <w:r w:rsidR="00851DCB">
          <w:rPr>
            <w:rFonts w:ascii="Verdana" w:hAnsi="Verdana"/>
            <w:color w:val="0000FF"/>
            <w:sz w:val="16"/>
            <w:szCs w:val="16"/>
          </w:rPr>
          <w:fldChar w:fldCharType="end"/>
        </w:r>
        <w:r w:rsidR="000B1B1C">
          <w:rPr>
            <w:rFonts w:ascii="Verdana" w:hAnsi="Verdana"/>
            <w:color w:val="0000FF"/>
            <w:sz w:val="16"/>
            <w:szCs w:val="16"/>
          </w:rPr>
          <w:fldChar w:fldCharType="end"/>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bookmarkStart w:id="30" w:name="_GoBack"/>
      <w:bookmarkEnd w:id="30"/>
    </w:p>
    <w:sectPr w:rsidR="007839F0" w:rsidRPr="00400E8C" w:rsidSect="0064391A">
      <w:headerReference w:type="default" r:id="rId25"/>
      <w:footerReference w:type="default" r:id="rId26"/>
      <w:headerReference w:type="first" r:id="rId27"/>
      <w:footerReference w:type="first" r:id="rId28"/>
      <w:pgSz w:w="12240" w:h="15840"/>
      <w:pgMar w:top="1440" w:right="1440" w:bottom="1350" w:left="1440" w:header="720" w:footer="4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91C" w:rsidRDefault="0017591C" w:rsidP="0017591C">
      <w:r>
        <w:separator/>
      </w:r>
    </w:p>
  </w:endnote>
  <w:endnote w:type="continuationSeparator" w:id="0">
    <w:p w:rsidR="0017591C" w:rsidRDefault="0017591C" w:rsidP="0017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BB3947" w:rsidP="00240AEB">
    <w:pPr>
      <w:pStyle w:val="Footer"/>
      <w:rPr>
        <w:rFonts w:ascii="Times New Roman" w:hAnsi="Times New Roman"/>
        <w:sz w:val="20"/>
        <w:szCs w:val="20"/>
      </w:rPr>
    </w:pPr>
    <w:r>
      <w:rPr>
        <w:rFonts w:ascii="Times New Roman" w:hAnsi="Times New Roman"/>
        <w:color w:val="808080"/>
        <w:sz w:val="20"/>
        <w:szCs w:val="20"/>
      </w:rPr>
      <w:t>© 2019</w:t>
    </w:r>
    <w:r w:rsidR="00240AEB" w:rsidRPr="00240AEB">
      <w:rPr>
        <w:rFonts w:ascii="Times New Roman" w:hAnsi="Times New Roman"/>
        <w:color w:val="808080"/>
        <w:sz w:val="20"/>
        <w:szCs w:val="20"/>
      </w:rPr>
      <w:t xml:space="preserve"> E-Rate Central</w:t>
    </w:r>
    <w:r w:rsidR="00240AEB" w:rsidRPr="00240AEB">
      <w:rPr>
        <w:rFonts w:ascii="Times New Roman" w:hAnsi="Times New Roman"/>
        <w:color w:val="808080"/>
        <w:sz w:val="20"/>
        <w:szCs w:val="20"/>
      </w:rPr>
      <w:tab/>
    </w:r>
    <w:r w:rsidR="00240AEB" w:rsidRPr="00240AEB">
      <w:rPr>
        <w:rFonts w:ascii="Times New Roman" w:hAnsi="Times New Roman"/>
        <w:color w:val="808080"/>
        <w:sz w:val="20"/>
        <w:szCs w:val="20"/>
      </w:rPr>
      <w:tab/>
      <w:t xml:space="preserve">   Page </w:t>
    </w:r>
    <w:r w:rsidR="00240AEB" w:rsidRPr="00240AEB">
      <w:rPr>
        <w:rStyle w:val="PageNumber"/>
        <w:rFonts w:ascii="Times New Roman" w:hAnsi="Times New Roman"/>
        <w:color w:val="808080"/>
        <w:sz w:val="20"/>
        <w:szCs w:val="20"/>
      </w:rPr>
      <w:fldChar w:fldCharType="begin"/>
    </w:r>
    <w:r w:rsidR="00240AEB" w:rsidRPr="00240AEB">
      <w:rPr>
        <w:rStyle w:val="PageNumber"/>
        <w:rFonts w:ascii="Times New Roman" w:hAnsi="Times New Roman"/>
        <w:color w:val="808080"/>
        <w:sz w:val="20"/>
        <w:szCs w:val="20"/>
      </w:rPr>
      <w:instrText xml:space="preserve"> PAGE </w:instrText>
    </w:r>
    <w:r w:rsidR="00240AEB" w:rsidRPr="00240AEB">
      <w:rPr>
        <w:rStyle w:val="PageNumber"/>
        <w:rFonts w:ascii="Times New Roman" w:hAnsi="Times New Roman"/>
        <w:color w:val="808080"/>
        <w:sz w:val="20"/>
        <w:szCs w:val="20"/>
      </w:rPr>
      <w:fldChar w:fldCharType="separate"/>
    </w:r>
    <w:r w:rsidR="00240AEB" w:rsidRPr="00240AEB">
      <w:rPr>
        <w:rStyle w:val="PageNumber"/>
        <w:rFonts w:ascii="Times New Roman" w:hAnsi="Times New Roman"/>
        <w:color w:val="808080"/>
        <w:sz w:val="20"/>
        <w:szCs w:val="20"/>
      </w:rPr>
      <w:t>1</w:t>
    </w:r>
    <w:r w:rsidR="00240AEB" w:rsidRPr="00240AEB">
      <w:rPr>
        <w:rStyle w:val="PageNumber"/>
        <w:rFonts w:ascii="Times New Roman" w:hAnsi="Times New Roman"/>
        <w:color w:val="808080"/>
        <w:sz w:val="20"/>
        <w:szCs w:val="20"/>
      </w:rPr>
      <w:fldChar w:fldCharType="end"/>
    </w:r>
    <w:r w:rsidR="00240AEB" w:rsidRPr="00240AEB">
      <w:rPr>
        <w:rStyle w:val="PageNumber"/>
        <w:rFonts w:ascii="Times New Roman" w:hAnsi="Times New Roman"/>
        <w:color w:val="808080"/>
        <w:sz w:val="20"/>
        <w:szCs w:val="20"/>
      </w:rPr>
      <w:t xml:space="preserve"> </w:t>
    </w:r>
    <w:proofErr w:type="gramStart"/>
    <w:r w:rsidR="00240AEB" w:rsidRPr="00240AEB">
      <w:rPr>
        <w:rStyle w:val="PageNumber"/>
        <w:rFonts w:ascii="Times New Roman" w:hAnsi="Times New Roman"/>
        <w:color w:val="808080"/>
        <w:sz w:val="20"/>
        <w:szCs w:val="20"/>
      </w:rPr>
      <w:t xml:space="preserve">of  </w:t>
    </w:r>
    <w:r w:rsidR="00F72D72">
      <w:rPr>
        <w:rStyle w:val="PageNumber"/>
        <w:rFonts w:ascii="Times New Roman" w:hAnsi="Times New Roman"/>
        <w:color w:val="808080"/>
        <w:sz w:val="20"/>
        <w:szCs w:val="20"/>
      </w:rPr>
      <w:t>3</w:t>
    </w:r>
    <w:proofErr w:type="gramEnd"/>
  </w:p>
  <w:p w:rsidR="0017591C" w:rsidRPr="00240AEB" w:rsidRDefault="0017591C" w:rsidP="0024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BB3947" w:rsidP="00240AEB">
    <w:pPr>
      <w:pStyle w:val="Footer"/>
      <w:rPr>
        <w:rFonts w:ascii="Times New Roman" w:hAnsi="Times New Roman"/>
        <w:sz w:val="20"/>
        <w:szCs w:val="20"/>
      </w:rPr>
    </w:pPr>
    <w:r>
      <w:rPr>
        <w:rFonts w:ascii="Times New Roman" w:hAnsi="Times New Roman"/>
        <w:color w:val="808080"/>
        <w:sz w:val="20"/>
        <w:szCs w:val="20"/>
      </w:rPr>
      <w:t>© 2019</w:t>
    </w:r>
    <w:r w:rsidR="00240AEB" w:rsidRPr="00240AEB">
      <w:rPr>
        <w:rFonts w:ascii="Times New Roman" w:hAnsi="Times New Roman"/>
        <w:color w:val="808080"/>
        <w:sz w:val="20"/>
        <w:szCs w:val="20"/>
      </w:rPr>
      <w:t xml:space="preserve"> E-Rate Central</w:t>
    </w:r>
    <w:r w:rsidR="00240AEB" w:rsidRPr="00240AEB">
      <w:rPr>
        <w:rFonts w:ascii="Times New Roman" w:hAnsi="Times New Roman"/>
        <w:color w:val="808080"/>
        <w:sz w:val="20"/>
        <w:szCs w:val="20"/>
      </w:rPr>
      <w:tab/>
    </w:r>
    <w:r w:rsidR="00240AEB" w:rsidRPr="00240AEB">
      <w:rPr>
        <w:rFonts w:ascii="Times New Roman" w:hAnsi="Times New Roman"/>
        <w:color w:val="808080"/>
        <w:sz w:val="20"/>
        <w:szCs w:val="20"/>
      </w:rPr>
      <w:tab/>
      <w:t xml:space="preserve">   Page </w:t>
    </w:r>
    <w:r w:rsidR="00240AEB" w:rsidRPr="00240AEB">
      <w:rPr>
        <w:rStyle w:val="PageNumber"/>
        <w:rFonts w:ascii="Times New Roman" w:hAnsi="Times New Roman"/>
        <w:color w:val="808080"/>
        <w:sz w:val="20"/>
        <w:szCs w:val="20"/>
      </w:rPr>
      <w:fldChar w:fldCharType="begin"/>
    </w:r>
    <w:r w:rsidR="00240AEB" w:rsidRPr="00240AEB">
      <w:rPr>
        <w:rStyle w:val="PageNumber"/>
        <w:rFonts w:ascii="Times New Roman" w:hAnsi="Times New Roman"/>
        <w:color w:val="808080"/>
        <w:sz w:val="20"/>
        <w:szCs w:val="20"/>
      </w:rPr>
      <w:instrText xml:space="preserve"> PAGE </w:instrText>
    </w:r>
    <w:r w:rsidR="00240AEB" w:rsidRPr="00240AEB">
      <w:rPr>
        <w:rStyle w:val="PageNumber"/>
        <w:rFonts w:ascii="Times New Roman" w:hAnsi="Times New Roman"/>
        <w:color w:val="808080"/>
        <w:sz w:val="20"/>
        <w:szCs w:val="20"/>
      </w:rPr>
      <w:fldChar w:fldCharType="separate"/>
    </w:r>
    <w:r w:rsidR="00240AEB">
      <w:rPr>
        <w:rStyle w:val="PageNumber"/>
        <w:rFonts w:ascii="Times New Roman" w:hAnsi="Times New Roman"/>
        <w:color w:val="808080"/>
        <w:sz w:val="20"/>
      </w:rPr>
      <w:t>2</w:t>
    </w:r>
    <w:r w:rsidR="00240AEB" w:rsidRPr="00240AEB">
      <w:rPr>
        <w:rStyle w:val="PageNumber"/>
        <w:rFonts w:ascii="Times New Roman" w:hAnsi="Times New Roman"/>
        <w:color w:val="808080"/>
        <w:sz w:val="20"/>
        <w:szCs w:val="20"/>
      </w:rPr>
      <w:fldChar w:fldCharType="end"/>
    </w:r>
    <w:r w:rsidR="00240AEB" w:rsidRPr="00240AEB">
      <w:rPr>
        <w:rStyle w:val="PageNumber"/>
        <w:rFonts w:ascii="Times New Roman" w:hAnsi="Times New Roman"/>
        <w:color w:val="808080"/>
        <w:sz w:val="20"/>
        <w:szCs w:val="20"/>
      </w:rPr>
      <w:t xml:space="preserve"> </w:t>
    </w:r>
    <w:proofErr w:type="gramStart"/>
    <w:r w:rsidR="00240AEB" w:rsidRPr="00240AEB">
      <w:rPr>
        <w:rStyle w:val="PageNumber"/>
        <w:rFonts w:ascii="Times New Roman" w:hAnsi="Times New Roman"/>
        <w:color w:val="808080"/>
        <w:sz w:val="20"/>
        <w:szCs w:val="20"/>
      </w:rPr>
      <w:t xml:space="preserve">of  </w:t>
    </w:r>
    <w:r w:rsidR="00F72D72">
      <w:rPr>
        <w:rStyle w:val="PageNumber"/>
        <w:rFonts w:ascii="Times New Roman" w:hAnsi="Times New Roman"/>
        <w:color w:val="808080"/>
        <w:sz w:val="20"/>
        <w:szCs w:val="20"/>
      </w:rPr>
      <w:t>3</w:t>
    </w:r>
    <w:proofErr w:type="gramEnd"/>
  </w:p>
  <w:p w:rsidR="0017591C" w:rsidRDefault="00175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91C" w:rsidRDefault="0017591C" w:rsidP="0017591C">
      <w:r>
        <w:separator/>
      </w:r>
    </w:p>
  </w:footnote>
  <w:footnote w:type="continuationSeparator" w:id="0">
    <w:p w:rsidR="0017591C" w:rsidRDefault="0017591C" w:rsidP="00175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1C" w:rsidRDefault="0017591C" w:rsidP="0017591C"/>
  <w:p w:rsidR="0017591C" w:rsidRDefault="00175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775"/>
      <w:gridCol w:w="3690"/>
    </w:tblGrid>
    <w:tr w:rsidR="00240AEB" w:rsidRPr="00ED7FC2" w:rsidTr="00AF1A96">
      <w:trPr>
        <w:trHeight w:val="336"/>
      </w:trPr>
      <w:tc>
        <w:tcPr>
          <w:tcW w:w="5775" w:type="dxa"/>
          <w:vMerge w:val="restart"/>
          <w:shd w:val="clear" w:color="auto" w:fill="auto"/>
          <w:noWrap/>
          <w:vAlign w:val="center"/>
        </w:tcPr>
        <w:p w:rsidR="00240AEB" w:rsidRPr="00240AEB" w:rsidRDefault="00240AEB" w:rsidP="00240AEB">
          <w:pPr>
            <w:rPr>
              <w:rFonts w:ascii="Times New Roman" w:hAnsi="Times New Roman"/>
              <w:b/>
              <w:color w:val="003366"/>
              <w:sz w:val="44"/>
              <w:szCs w:val="44"/>
            </w:rPr>
          </w:pPr>
          <w:r w:rsidRPr="00240AEB">
            <w:rPr>
              <w:rFonts w:ascii="Times New Roman" w:hAnsi="Times New Roman"/>
              <w:b/>
              <w:color w:val="003366"/>
              <w:sz w:val="44"/>
              <w:szCs w:val="44"/>
            </w:rPr>
            <w:t>E-Rate Central Weekly News</w:t>
          </w:r>
        </w:p>
      </w:tc>
      <w:tc>
        <w:tcPr>
          <w:tcW w:w="3690" w:type="dxa"/>
          <w:shd w:val="clear" w:color="auto" w:fill="auto"/>
          <w:noWrap/>
          <w:vAlign w:val="bottom"/>
        </w:tcPr>
        <w:p w:rsidR="00240AEB" w:rsidRPr="00240AEB" w:rsidRDefault="00240AEB" w:rsidP="00240AEB">
          <w:pPr>
            <w:jc w:val="center"/>
            <w:rPr>
              <w:rFonts w:ascii="Times New Roman" w:hAnsi="Times New Roman"/>
              <w:b/>
              <w:bCs/>
              <w:color w:val="003366"/>
              <w:sz w:val="20"/>
              <w:szCs w:val="20"/>
            </w:rPr>
          </w:pPr>
          <w:r w:rsidRPr="00240AEB">
            <w:rPr>
              <w:rFonts w:ascii="Times New Roman" w:hAnsi="Times New Roman"/>
              <w:b/>
              <w:bCs/>
              <w:color w:val="003366"/>
              <w:sz w:val="20"/>
              <w:szCs w:val="20"/>
            </w:rPr>
            <w:t xml:space="preserve">Weekly </w:t>
          </w:r>
          <w:r w:rsidR="00260807">
            <w:rPr>
              <w:rFonts w:ascii="Times New Roman" w:hAnsi="Times New Roman"/>
              <w:b/>
              <w:bCs/>
              <w:color w:val="003366"/>
              <w:sz w:val="20"/>
              <w:szCs w:val="20"/>
            </w:rPr>
            <w:t>SECA</w:t>
          </w:r>
          <w:r w:rsidRPr="00240AEB">
            <w:rPr>
              <w:rFonts w:ascii="Times New Roman" w:hAnsi="Times New Roman"/>
              <w:b/>
              <w:bCs/>
              <w:color w:val="003366"/>
              <w:sz w:val="20"/>
              <w:szCs w:val="20"/>
            </w:rPr>
            <w:t xml:space="preserve"> E-Rate Newsletter</w:t>
          </w:r>
        </w:p>
      </w:tc>
    </w:tr>
    <w:tr w:rsidR="00240AEB" w:rsidRPr="00ED7FC2" w:rsidTr="00AF1A96">
      <w:trPr>
        <w:trHeight w:val="356"/>
      </w:trPr>
      <w:tc>
        <w:tcPr>
          <w:tcW w:w="5775" w:type="dxa"/>
          <w:vMerge/>
          <w:shd w:val="clear" w:color="auto" w:fill="auto"/>
          <w:vAlign w:val="center"/>
        </w:tcPr>
        <w:p w:rsidR="00240AEB" w:rsidRPr="00240AEB" w:rsidRDefault="00240AEB" w:rsidP="00240AEB">
          <w:pPr>
            <w:rPr>
              <w:rFonts w:ascii="Times New Roman" w:hAnsi="Times New Roman"/>
              <w:color w:val="003366"/>
              <w:sz w:val="44"/>
              <w:szCs w:val="44"/>
            </w:rPr>
          </w:pPr>
        </w:p>
      </w:tc>
      <w:tc>
        <w:tcPr>
          <w:tcW w:w="3690" w:type="dxa"/>
          <w:shd w:val="clear" w:color="auto" w:fill="auto"/>
          <w:noWrap/>
        </w:tcPr>
        <w:p w:rsidR="00240AEB" w:rsidRPr="00240AEB" w:rsidRDefault="00240AEB" w:rsidP="00240AEB">
          <w:pPr>
            <w:spacing w:before="60"/>
            <w:ind w:left="-108"/>
            <w:rPr>
              <w:rFonts w:ascii="Times New Roman" w:hAnsi="Times New Roman"/>
              <w:b/>
              <w:color w:val="003366"/>
              <w:sz w:val="20"/>
              <w:szCs w:val="20"/>
            </w:rPr>
          </w:pPr>
          <w:r w:rsidRPr="00240AEB">
            <w:rPr>
              <w:rFonts w:ascii="Times New Roman" w:hAnsi="Times New Roman"/>
              <w:b/>
              <w:color w:val="003366"/>
              <w:sz w:val="20"/>
              <w:szCs w:val="20"/>
            </w:rPr>
            <w:t xml:space="preserve">       Vol. </w:t>
          </w:r>
          <w:r w:rsidR="00BB3947">
            <w:rPr>
              <w:rFonts w:ascii="Times New Roman" w:hAnsi="Times New Roman"/>
              <w:b/>
              <w:color w:val="003366"/>
              <w:sz w:val="20"/>
              <w:szCs w:val="20"/>
            </w:rPr>
            <w:t>13</w:t>
          </w:r>
          <w:r w:rsidR="000B1B1C">
            <w:rPr>
              <w:rFonts w:ascii="Times New Roman" w:hAnsi="Times New Roman"/>
              <w:b/>
              <w:color w:val="003366"/>
              <w:sz w:val="20"/>
              <w:szCs w:val="20"/>
            </w:rPr>
            <w:t xml:space="preserve">, No. </w:t>
          </w:r>
          <w:r w:rsidR="00D70232">
            <w:rPr>
              <w:rFonts w:ascii="Times New Roman" w:hAnsi="Times New Roman"/>
              <w:b/>
              <w:color w:val="003366"/>
              <w:sz w:val="20"/>
              <w:szCs w:val="20"/>
            </w:rPr>
            <w:t>4</w:t>
          </w:r>
          <w:r w:rsidRPr="00240AEB">
            <w:rPr>
              <w:rFonts w:ascii="Times New Roman" w:hAnsi="Times New Roman"/>
              <w:b/>
              <w:color w:val="003366"/>
              <w:sz w:val="20"/>
              <w:szCs w:val="20"/>
            </w:rPr>
            <w:t xml:space="preserve">    </w:t>
          </w:r>
          <w:r w:rsidR="00A70851">
            <w:rPr>
              <w:rFonts w:ascii="Times New Roman" w:hAnsi="Times New Roman"/>
              <w:b/>
              <w:color w:val="003366"/>
              <w:sz w:val="20"/>
              <w:szCs w:val="20"/>
            </w:rPr>
            <w:t xml:space="preserve">January </w:t>
          </w:r>
          <w:r w:rsidR="00D70232">
            <w:rPr>
              <w:rFonts w:ascii="Times New Roman" w:hAnsi="Times New Roman"/>
              <w:b/>
              <w:color w:val="003366"/>
              <w:sz w:val="20"/>
              <w:szCs w:val="20"/>
            </w:rPr>
            <w:t>28</w:t>
          </w:r>
          <w:r w:rsidR="00BB3947">
            <w:rPr>
              <w:rFonts w:ascii="Times New Roman" w:hAnsi="Times New Roman"/>
              <w:b/>
              <w:color w:val="003366"/>
              <w:sz w:val="20"/>
              <w:szCs w:val="20"/>
            </w:rPr>
            <w:t>, 2019</w:t>
          </w:r>
        </w:p>
      </w:tc>
    </w:tr>
  </w:tbl>
  <w:p w:rsidR="0017591C" w:rsidRDefault="00175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349"/>
    <w:multiLevelType w:val="hybridMultilevel"/>
    <w:tmpl w:val="F556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64894"/>
    <w:multiLevelType w:val="hybridMultilevel"/>
    <w:tmpl w:val="1632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90454"/>
    <w:multiLevelType w:val="hybridMultilevel"/>
    <w:tmpl w:val="5B24C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A1769"/>
    <w:multiLevelType w:val="hybridMultilevel"/>
    <w:tmpl w:val="86B450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6252D40"/>
    <w:multiLevelType w:val="multilevel"/>
    <w:tmpl w:val="5504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3104C"/>
    <w:multiLevelType w:val="hybridMultilevel"/>
    <w:tmpl w:val="DE3C2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893925"/>
    <w:multiLevelType w:val="hybridMultilevel"/>
    <w:tmpl w:val="F2AA0C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CF80D41"/>
    <w:multiLevelType w:val="hybridMultilevel"/>
    <w:tmpl w:val="364A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F4B24"/>
    <w:multiLevelType w:val="hybridMultilevel"/>
    <w:tmpl w:val="60D2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222F0"/>
    <w:multiLevelType w:val="multilevel"/>
    <w:tmpl w:val="10B2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60D1F"/>
    <w:multiLevelType w:val="hybridMultilevel"/>
    <w:tmpl w:val="289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640BA"/>
    <w:multiLevelType w:val="hybridMultilevel"/>
    <w:tmpl w:val="7FFC5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56FA7"/>
    <w:multiLevelType w:val="hybridMultilevel"/>
    <w:tmpl w:val="4B04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710F0"/>
    <w:multiLevelType w:val="hybridMultilevel"/>
    <w:tmpl w:val="D2F0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F6FED"/>
    <w:multiLevelType w:val="hybridMultilevel"/>
    <w:tmpl w:val="4AFAD208"/>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szCs w:val="20"/>
      </w:rPr>
    </w:lvl>
    <w:lvl w:ilvl="2" w:tplc="5C84ADD4">
      <w:start w:val="5"/>
      <w:numFmt w:val="bullet"/>
      <w:lvlText w:val="-"/>
      <w:lvlJc w:val="left"/>
      <w:pPr>
        <w:ind w:left="1800" w:hanging="360"/>
      </w:pPr>
      <w:rPr>
        <w:rFonts w:ascii="Times New Roman" w:eastAsia="Times New Roman" w:hAnsi="Times New Roman" w:cs="Times New Roman"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A0590D"/>
    <w:multiLevelType w:val="hybridMultilevel"/>
    <w:tmpl w:val="4BF8C1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073568"/>
    <w:multiLevelType w:val="hybridMultilevel"/>
    <w:tmpl w:val="411C5C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64C58CF"/>
    <w:multiLevelType w:val="hybridMultilevel"/>
    <w:tmpl w:val="681C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9F6605"/>
    <w:multiLevelType w:val="hybridMultilevel"/>
    <w:tmpl w:val="3C16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86293"/>
    <w:multiLevelType w:val="hybridMultilevel"/>
    <w:tmpl w:val="B460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50D5A"/>
    <w:multiLevelType w:val="hybridMultilevel"/>
    <w:tmpl w:val="C472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DC2033"/>
    <w:multiLevelType w:val="hybridMultilevel"/>
    <w:tmpl w:val="104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C0277B"/>
    <w:multiLevelType w:val="hybridMultilevel"/>
    <w:tmpl w:val="B7B8A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80ECD"/>
    <w:multiLevelType w:val="hybridMultilevel"/>
    <w:tmpl w:val="8BB07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74246"/>
    <w:multiLevelType w:val="hybridMultilevel"/>
    <w:tmpl w:val="C8E46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3B624F"/>
    <w:multiLevelType w:val="hybridMultilevel"/>
    <w:tmpl w:val="95CE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D9337A"/>
    <w:multiLevelType w:val="hybridMultilevel"/>
    <w:tmpl w:val="2DA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824DCF"/>
    <w:multiLevelType w:val="hybridMultilevel"/>
    <w:tmpl w:val="31781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9"/>
  </w:num>
  <w:num w:numId="3">
    <w:abstractNumId w:val="20"/>
  </w:num>
  <w:num w:numId="4">
    <w:abstractNumId w:val="24"/>
  </w:num>
  <w:num w:numId="5">
    <w:abstractNumId w:val="8"/>
  </w:num>
  <w:num w:numId="6">
    <w:abstractNumId w:val="2"/>
  </w:num>
  <w:num w:numId="7">
    <w:abstractNumId w:val="6"/>
  </w:num>
  <w:num w:numId="8">
    <w:abstractNumId w:val="13"/>
  </w:num>
  <w:num w:numId="9">
    <w:abstractNumId w:val="23"/>
  </w:num>
  <w:num w:numId="10">
    <w:abstractNumId w:val="10"/>
  </w:num>
  <w:num w:numId="11">
    <w:abstractNumId w:val="1"/>
  </w:num>
  <w:num w:numId="12">
    <w:abstractNumId w:val="25"/>
  </w:num>
  <w:num w:numId="13">
    <w:abstractNumId w:val="16"/>
  </w:num>
  <w:num w:numId="14">
    <w:abstractNumId w:val="17"/>
  </w:num>
  <w:num w:numId="15">
    <w:abstractNumId w:val="5"/>
  </w:num>
  <w:num w:numId="16">
    <w:abstractNumId w:val="4"/>
  </w:num>
  <w:num w:numId="17">
    <w:abstractNumId w:val="11"/>
  </w:num>
  <w:num w:numId="18">
    <w:abstractNumId w:val="26"/>
  </w:num>
  <w:num w:numId="19">
    <w:abstractNumId w:val="15"/>
  </w:num>
  <w:num w:numId="20">
    <w:abstractNumId w:val="9"/>
  </w:num>
  <w:num w:numId="21">
    <w:abstractNumId w:val="22"/>
  </w:num>
  <w:num w:numId="22">
    <w:abstractNumId w:val="0"/>
  </w:num>
  <w:num w:numId="23">
    <w:abstractNumId w:val="18"/>
  </w:num>
  <w:num w:numId="24">
    <w:abstractNumId w:val="27"/>
  </w:num>
  <w:num w:numId="25">
    <w:abstractNumId w:val="21"/>
  </w:num>
  <w:num w:numId="26">
    <w:abstractNumId w:val="3"/>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1C"/>
    <w:rsid w:val="00003287"/>
    <w:rsid w:val="00003592"/>
    <w:rsid w:val="0004501E"/>
    <w:rsid w:val="00051F84"/>
    <w:rsid w:val="00062F4D"/>
    <w:rsid w:val="000748CC"/>
    <w:rsid w:val="00096F29"/>
    <w:rsid w:val="000A692D"/>
    <w:rsid w:val="000B1B1C"/>
    <w:rsid w:val="000B431C"/>
    <w:rsid w:val="000C05E4"/>
    <w:rsid w:val="000D0A72"/>
    <w:rsid w:val="000F119F"/>
    <w:rsid w:val="000F6461"/>
    <w:rsid w:val="0011181E"/>
    <w:rsid w:val="00133E5E"/>
    <w:rsid w:val="00160250"/>
    <w:rsid w:val="0017591C"/>
    <w:rsid w:val="00197B10"/>
    <w:rsid w:val="001A0141"/>
    <w:rsid w:val="001C7AFE"/>
    <w:rsid w:val="001D0BC9"/>
    <w:rsid w:val="001D3598"/>
    <w:rsid w:val="001D553A"/>
    <w:rsid w:val="001F1891"/>
    <w:rsid w:val="001F7198"/>
    <w:rsid w:val="00240AEB"/>
    <w:rsid w:val="00246E8D"/>
    <w:rsid w:val="00247840"/>
    <w:rsid w:val="00260807"/>
    <w:rsid w:val="002651FE"/>
    <w:rsid w:val="00281D43"/>
    <w:rsid w:val="00293162"/>
    <w:rsid w:val="002A531E"/>
    <w:rsid w:val="002B2996"/>
    <w:rsid w:val="002C3C22"/>
    <w:rsid w:val="002D0F4A"/>
    <w:rsid w:val="00307DFF"/>
    <w:rsid w:val="00316AF6"/>
    <w:rsid w:val="0032385C"/>
    <w:rsid w:val="00334F9C"/>
    <w:rsid w:val="00347B68"/>
    <w:rsid w:val="003547BE"/>
    <w:rsid w:val="00396D7C"/>
    <w:rsid w:val="003D16A3"/>
    <w:rsid w:val="003E1E38"/>
    <w:rsid w:val="003E5C1F"/>
    <w:rsid w:val="003E7122"/>
    <w:rsid w:val="00400E8C"/>
    <w:rsid w:val="00413AE1"/>
    <w:rsid w:val="004155F0"/>
    <w:rsid w:val="00417B7C"/>
    <w:rsid w:val="0042066D"/>
    <w:rsid w:val="00456363"/>
    <w:rsid w:val="00470A31"/>
    <w:rsid w:val="00484DC7"/>
    <w:rsid w:val="004A535D"/>
    <w:rsid w:val="004F37FA"/>
    <w:rsid w:val="004F65AD"/>
    <w:rsid w:val="00502C21"/>
    <w:rsid w:val="00504700"/>
    <w:rsid w:val="00510CBF"/>
    <w:rsid w:val="005307B1"/>
    <w:rsid w:val="00554DFE"/>
    <w:rsid w:val="005621FD"/>
    <w:rsid w:val="00570857"/>
    <w:rsid w:val="00575901"/>
    <w:rsid w:val="00586248"/>
    <w:rsid w:val="005A52C1"/>
    <w:rsid w:val="005B3ACC"/>
    <w:rsid w:val="005B496E"/>
    <w:rsid w:val="005B745F"/>
    <w:rsid w:val="005B79A2"/>
    <w:rsid w:val="005C5A9C"/>
    <w:rsid w:val="00612B50"/>
    <w:rsid w:val="00626F90"/>
    <w:rsid w:val="00633B1C"/>
    <w:rsid w:val="0064391A"/>
    <w:rsid w:val="00674F99"/>
    <w:rsid w:val="00680181"/>
    <w:rsid w:val="00684076"/>
    <w:rsid w:val="006A19B1"/>
    <w:rsid w:val="006E0E33"/>
    <w:rsid w:val="0070746F"/>
    <w:rsid w:val="007337C0"/>
    <w:rsid w:val="00746FC8"/>
    <w:rsid w:val="007839F0"/>
    <w:rsid w:val="007A7898"/>
    <w:rsid w:val="007E7047"/>
    <w:rsid w:val="007E7A88"/>
    <w:rsid w:val="007F255F"/>
    <w:rsid w:val="00851DCB"/>
    <w:rsid w:val="00870B89"/>
    <w:rsid w:val="0087456E"/>
    <w:rsid w:val="00881142"/>
    <w:rsid w:val="0088151B"/>
    <w:rsid w:val="008A2E7A"/>
    <w:rsid w:val="008B6463"/>
    <w:rsid w:val="008B72B5"/>
    <w:rsid w:val="008C6DCE"/>
    <w:rsid w:val="008D394D"/>
    <w:rsid w:val="008D6609"/>
    <w:rsid w:val="008E18C7"/>
    <w:rsid w:val="00922E03"/>
    <w:rsid w:val="009365AC"/>
    <w:rsid w:val="009932A8"/>
    <w:rsid w:val="009C3792"/>
    <w:rsid w:val="009D05CC"/>
    <w:rsid w:val="009F0634"/>
    <w:rsid w:val="009F76AA"/>
    <w:rsid w:val="00A70851"/>
    <w:rsid w:val="00A86659"/>
    <w:rsid w:val="00A9032A"/>
    <w:rsid w:val="00AA7E1B"/>
    <w:rsid w:val="00AB18FB"/>
    <w:rsid w:val="00AB417F"/>
    <w:rsid w:val="00AC5A86"/>
    <w:rsid w:val="00AE5A9C"/>
    <w:rsid w:val="00B03576"/>
    <w:rsid w:val="00B106F9"/>
    <w:rsid w:val="00B237D6"/>
    <w:rsid w:val="00B42888"/>
    <w:rsid w:val="00B439C4"/>
    <w:rsid w:val="00B50549"/>
    <w:rsid w:val="00B97CD7"/>
    <w:rsid w:val="00BA10C2"/>
    <w:rsid w:val="00BA1B06"/>
    <w:rsid w:val="00BB3947"/>
    <w:rsid w:val="00BB455C"/>
    <w:rsid w:val="00BC20CE"/>
    <w:rsid w:val="00BC75E9"/>
    <w:rsid w:val="00BC791B"/>
    <w:rsid w:val="00BD4ECB"/>
    <w:rsid w:val="00BF2D9D"/>
    <w:rsid w:val="00C05E4B"/>
    <w:rsid w:val="00C11E1F"/>
    <w:rsid w:val="00C17F80"/>
    <w:rsid w:val="00C3543C"/>
    <w:rsid w:val="00C36A15"/>
    <w:rsid w:val="00C54579"/>
    <w:rsid w:val="00C5556C"/>
    <w:rsid w:val="00C62A1D"/>
    <w:rsid w:val="00C805ED"/>
    <w:rsid w:val="00C81154"/>
    <w:rsid w:val="00C97B16"/>
    <w:rsid w:val="00CA5862"/>
    <w:rsid w:val="00CB44B8"/>
    <w:rsid w:val="00CC080C"/>
    <w:rsid w:val="00CC3DEB"/>
    <w:rsid w:val="00CD1795"/>
    <w:rsid w:val="00CE736F"/>
    <w:rsid w:val="00D17347"/>
    <w:rsid w:val="00D30AAA"/>
    <w:rsid w:val="00D616E4"/>
    <w:rsid w:val="00D70232"/>
    <w:rsid w:val="00D72A28"/>
    <w:rsid w:val="00D85DC6"/>
    <w:rsid w:val="00DA4305"/>
    <w:rsid w:val="00DF12B3"/>
    <w:rsid w:val="00DF4005"/>
    <w:rsid w:val="00E01C13"/>
    <w:rsid w:val="00E2320F"/>
    <w:rsid w:val="00E32923"/>
    <w:rsid w:val="00E57E77"/>
    <w:rsid w:val="00EA6E84"/>
    <w:rsid w:val="00EA7F0C"/>
    <w:rsid w:val="00F01881"/>
    <w:rsid w:val="00F0763B"/>
    <w:rsid w:val="00F16981"/>
    <w:rsid w:val="00F53A8D"/>
    <w:rsid w:val="00F569DF"/>
    <w:rsid w:val="00F72D72"/>
    <w:rsid w:val="00F85250"/>
    <w:rsid w:val="00F87A03"/>
    <w:rsid w:val="00FB6A2B"/>
    <w:rsid w:val="00FC3FC9"/>
    <w:rsid w:val="00FC66A8"/>
    <w:rsid w:val="00FE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535FD09"/>
  <w15:chartTrackingRefBased/>
  <w15:docId w15:val="{CB5873F8-D61A-4B1E-BCB1-42DF3F2D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91C"/>
    <w:pPr>
      <w:spacing w:after="0" w:line="240" w:lineRule="auto"/>
      <w:jc w:val="both"/>
    </w:pPr>
    <w:rPr>
      <w:rFonts w:ascii="Calibri" w:eastAsia="Times New Roman" w:hAnsi="Calibri" w:cs="Times New Roman"/>
      <w:sz w:val="24"/>
      <w:szCs w:val="24"/>
      <w:lang w:bidi="en-US"/>
    </w:rPr>
  </w:style>
  <w:style w:type="paragraph" w:styleId="Heading6">
    <w:name w:val="heading 6"/>
    <w:basedOn w:val="Normal"/>
    <w:next w:val="Normal"/>
    <w:link w:val="Heading6Char"/>
    <w:qFormat/>
    <w:rsid w:val="007839F0"/>
    <w:pPr>
      <w:keepNext/>
      <w:outlineLvl w:val="5"/>
    </w:pPr>
    <w:rPr>
      <w:rFonts w:ascii="Times New Roman" w:hAnsi="Times New Roman"/>
      <w:color w:val="00000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591C"/>
    <w:rPr>
      <w:color w:val="0000FF"/>
      <w:u w:val="single"/>
    </w:rPr>
  </w:style>
  <w:style w:type="paragraph" w:styleId="ListParagraph">
    <w:name w:val="List Paragraph"/>
    <w:basedOn w:val="Normal"/>
    <w:uiPriority w:val="34"/>
    <w:qFormat/>
    <w:rsid w:val="0017591C"/>
    <w:pPr>
      <w:ind w:left="720"/>
      <w:contextualSpacing/>
    </w:pPr>
  </w:style>
  <w:style w:type="paragraph" w:styleId="Header">
    <w:name w:val="header"/>
    <w:basedOn w:val="Normal"/>
    <w:link w:val="HeaderChar"/>
    <w:unhideWhenUsed/>
    <w:rsid w:val="0017591C"/>
    <w:pPr>
      <w:tabs>
        <w:tab w:val="center" w:pos="4680"/>
        <w:tab w:val="right" w:pos="9360"/>
      </w:tabs>
    </w:pPr>
  </w:style>
  <w:style w:type="character" w:customStyle="1" w:styleId="HeaderChar">
    <w:name w:val="Header Char"/>
    <w:basedOn w:val="DefaultParagraphFont"/>
    <w:link w:val="Header"/>
    <w:rsid w:val="0017591C"/>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17591C"/>
    <w:pPr>
      <w:tabs>
        <w:tab w:val="center" w:pos="4680"/>
        <w:tab w:val="right" w:pos="9360"/>
      </w:tabs>
    </w:pPr>
  </w:style>
  <w:style w:type="character" w:customStyle="1" w:styleId="FooterChar">
    <w:name w:val="Footer Char"/>
    <w:basedOn w:val="DefaultParagraphFont"/>
    <w:link w:val="Footer"/>
    <w:uiPriority w:val="99"/>
    <w:rsid w:val="0017591C"/>
    <w:rPr>
      <w:rFonts w:ascii="Calibri" w:eastAsia="Times New Roman" w:hAnsi="Calibri" w:cs="Times New Roman"/>
      <w:sz w:val="24"/>
      <w:szCs w:val="24"/>
      <w:lang w:bidi="en-US"/>
    </w:rPr>
  </w:style>
  <w:style w:type="character" w:styleId="PageNumber">
    <w:name w:val="page number"/>
    <w:basedOn w:val="DefaultParagraphFont"/>
    <w:rsid w:val="00240AEB"/>
  </w:style>
  <w:style w:type="character" w:customStyle="1" w:styleId="Heading6Char">
    <w:name w:val="Heading 6 Char"/>
    <w:basedOn w:val="DefaultParagraphFont"/>
    <w:link w:val="Heading6"/>
    <w:rsid w:val="007839F0"/>
    <w:rPr>
      <w:rFonts w:ascii="Times New Roman" w:eastAsia="Times New Roman" w:hAnsi="Times New Roman" w:cs="Times New Roman"/>
      <w:color w:val="000000"/>
      <w:sz w:val="24"/>
      <w:szCs w:val="20"/>
    </w:rPr>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f"/>
    <w:basedOn w:val="Normal"/>
    <w:link w:val="FootnoteTextChar1"/>
    <w:rsid w:val="007E7047"/>
    <w:pPr>
      <w:spacing w:after="200"/>
    </w:pPr>
  </w:style>
  <w:style w:type="character" w:customStyle="1" w:styleId="FootnoteTextChar">
    <w:name w:val="Footnote Text Char"/>
    <w:basedOn w:val="DefaultParagraphFont"/>
    <w:uiPriority w:val="99"/>
    <w:semiHidden/>
    <w:rsid w:val="007E7047"/>
    <w:rPr>
      <w:rFonts w:ascii="Calibri" w:eastAsia="Times New Roman" w:hAnsi="Calibri" w:cs="Times New Roman"/>
      <w:sz w:val="20"/>
      <w:szCs w:val="20"/>
      <w:lang w:bidi="en-US"/>
    </w:rPr>
  </w:style>
  <w:style w:type="character" w:styleId="FootnoteReference">
    <w:name w:val="footnote reference"/>
    <w:aliases w:val="Appel note de bas de p,Style 12,(NECG) Footnote Reference,Style 124,o,fr,Style 3,Style 13,FR,Style 6,Style 17,Footnote Reference/,Style 7,Footnote Reference1"/>
    <w:rsid w:val="007E7047"/>
    <w:rPr>
      <w:vertAlign w:val="superscript"/>
    </w:rPr>
  </w:style>
  <w:style w:type="character" w:customStyle="1" w:styleId="FootnoteTextChar1">
    <w:name w:val="Footnote Text Char1"/>
    <w:aliases w:val="ALTS FOOTNOTE Char1,fn Char1,ALTS FOOTNOTE Char Char,fn Char Char,Footnote Text Char1 Char Char,Footnote Text Char Char Char Char,Footnote Text Char2 Char Char Char Char,Footnote Text Char1 Char1 Char Char Char Char,f Char"/>
    <w:basedOn w:val="DefaultParagraphFont"/>
    <w:link w:val="FootnoteText"/>
    <w:rsid w:val="007E7047"/>
    <w:rPr>
      <w:rFonts w:ascii="Calibri" w:eastAsia="Times New Roman" w:hAnsi="Calibri" w:cs="Times New Roman"/>
      <w:sz w:val="24"/>
      <w:szCs w:val="24"/>
      <w:lang w:bidi="en-US"/>
    </w:rPr>
  </w:style>
  <w:style w:type="table" w:styleId="TableGrid">
    <w:name w:val="Table Grid"/>
    <w:basedOn w:val="TableNormal"/>
    <w:rsid w:val="00F72D72"/>
    <w:pPr>
      <w:spacing w:after="0" w:line="240" w:lineRule="auto"/>
      <w:ind w:left="720" w:hanging="360"/>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tecentral.com/Resources/Newsletters/News-of-the-Week/ArticleID/1793/January-7-2019" TargetMode="External"/><Relationship Id="rId13" Type="http://schemas.openxmlformats.org/officeDocument/2006/relationships/hyperlink" Target="https://www.usac.org/_res/video/sl/02-basic-concepts/index.html" TargetMode="External"/><Relationship Id="rId18" Type="http://schemas.openxmlformats.org/officeDocument/2006/relationships/image" Target="http://www.e-ratecentral.com/images/icon-twitter.pn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http://www.e-ratecentral.com/images/icon-facebook.png" TargetMode="External"/><Relationship Id="rId7" Type="http://schemas.openxmlformats.org/officeDocument/2006/relationships/endnotes" Target="endnotes.xml"/><Relationship Id="rId12" Type="http://schemas.openxmlformats.org/officeDocument/2006/relationships/hyperlink" Target="https://attendee.gotowebinar.com/register/9145723822586973442?source=SL+News+Brief_Website"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witter.com/ERateCentral"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ac.org/sl/about/outreach/training/webinars.aspx" TargetMode="External"/><Relationship Id="rId24" Type="http://schemas.openxmlformats.org/officeDocument/2006/relationships/image" Target="http://www.e-ratecentral.com/images/icon-linkedin.png" TargetMode="External"/><Relationship Id="rId5" Type="http://schemas.openxmlformats.org/officeDocument/2006/relationships/webSettings" Target="webSettings.xml"/><Relationship Id="rId15" Type="http://schemas.openxmlformats.org/officeDocument/2006/relationships/hyperlink" Target="https://www.usac.org/_res/video/sl/10-comp-bidding/index.html" TargetMode="External"/><Relationship Id="rId23" Type="http://schemas.openxmlformats.org/officeDocument/2006/relationships/image" Target="media/image3.png"/><Relationship Id="rId28" Type="http://schemas.openxmlformats.org/officeDocument/2006/relationships/footer" Target="footer2.xml"/><Relationship Id="rId10" Type="http://schemas.openxmlformats.org/officeDocument/2006/relationships/hyperlink" Target="https://en.wikipedia.org/wiki/Flipped_classroom" TargetMode="External"/><Relationship Id="rId19" Type="http://schemas.openxmlformats.org/officeDocument/2006/relationships/hyperlink" Target="https://www.facebook.com/eratecentral" TargetMode="External"/><Relationship Id="rId4" Type="http://schemas.openxmlformats.org/officeDocument/2006/relationships/settings" Target="settings.xml"/><Relationship Id="rId9" Type="http://schemas.openxmlformats.org/officeDocument/2006/relationships/hyperlink" Target="https://e-ratecentral.com/Portals/0/DocFiles/files/sld-news-briefs/876.pdf" TargetMode="External"/><Relationship Id="rId14" Type="http://schemas.openxmlformats.org/officeDocument/2006/relationships/hyperlink" Target="https://attendee.gotowebinar.com/register/3991934591201269506?source=SL+News+Brief_Website" TargetMode="External"/><Relationship Id="rId22" Type="http://schemas.openxmlformats.org/officeDocument/2006/relationships/hyperlink" Target="https://www.linkedin.com/company/e-rate-centra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3D198-0A2B-4DB2-B6CF-2179737D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4444</Words>
  <Characters>25335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Himsworth</dc:creator>
  <cp:keywords/>
  <dc:description/>
  <cp:lastModifiedBy>Winston E. Himsworth</cp:lastModifiedBy>
  <cp:revision>4</cp:revision>
  <cp:lastPrinted>2018-10-15T16:04:00Z</cp:lastPrinted>
  <dcterms:created xsi:type="dcterms:W3CDTF">2019-01-26T19:09:00Z</dcterms:created>
  <dcterms:modified xsi:type="dcterms:W3CDTF">2019-01-27T23:05:00Z</dcterms:modified>
</cp:coreProperties>
</file>