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F00293" w:rsidRPr="00F00293" w:rsidRDefault="00F00293" w:rsidP="00F00293">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F00293">
        <w:rPr>
          <w:rFonts w:ascii="Times New Roman" w:hAnsi="Times New Roman"/>
        </w:rPr>
        <w:t>Funding Status – FY 2019 and FY 2018</w:t>
      </w:r>
    </w:p>
    <w:p w:rsidR="00F00293" w:rsidRPr="00F00293" w:rsidRDefault="00F00293" w:rsidP="00F00293">
      <w:pPr>
        <w:numPr>
          <w:ilvl w:val="0"/>
          <w:numId w:val="1"/>
        </w:numPr>
        <w:spacing w:before="120"/>
        <w:jc w:val="left"/>
        <w:outlineLvl w:val="0"/>
        <w:rPr>
          <w:rFonts w:ascii="Times New Roman" w:hAnsi="Times New Roman"/>
        </w:rPr>
      </w:pPr>
      <w:r w:rsidRPr="00F00293">
        <w:rPr>
          <w:rFonts w:ascii="Times New Roman" w:hAnsi="Times New Roman"/>
        </w:rPr>
        <w:t>FCC Release</w:t>
      </w:r>
      <w:r w:rsidR="00B05DAE">
        <w:rPr>
          <w:rFonts w:ascii="Times New Roman" w:hAnsi="Times New Roman"/>
        </w:rPr>
        <w:t>s</w:t>
      </w:r>
      <w:r w:rsidRPr="00F00293">
        <w:rPr>
          <w:rFonts w:ascii="Times New Roman" w:hAnsi="Times New Roman"/>
        </w:rPr>
        <w:t xml:space="preserve"> Category 2 Experience Report</w:t>
      </w:r>
    </w:p>
    <w:p w:rsidR="00F00293" w:rsidRPr="00F00293" w:rsidRDefault="00F00293" w:rsidP="00F00293">
      <w:pPr>
        <w:numPr>
          <w:ilvl w:val="0"/>
          <w:numId w:val="1"/>
        </w:numPr>
        <w:spacing w:before="120"/>
        <w:jc w:val="left"/>
        <w:outlineLvl w:val="0"/>
        <w:rPr>
          <w:rFonts w:ascii="Times New Roman" w:hAnsi="Times New Roman"/>
        </w:rPr>
      </w:pPr>
      <w:r w:rsidRPr="00F00293">
        <w:rPr>
          <w:rFonts w:ascii="Times New Roman" w:hAnsi="Times New Roman"/>
        </w:rPr>
        <w:t>E-Rate</w:t>
      </w:r>
      <w:r w:rsidRPr="00F00293">
        <w:rPr>
          <w:rFonts w:ascii="Times New Roman" w:hAnsi="Times New Roman"/>
          <w:i/>
        </w:rPr>
        <w:t xml:space="preserve"> </w:t>
      </w:r>
      <w:r w:rsidRPr="00F00293">
        <w:rPr>
          <w:rFonts w:ascii="Times New Roman" w:hAnsi="Times New Roman"/>
        </w:rPr>
        <w:t>Updates and Reminders</w:t>
      </w:r>
    </w:p>
    <w:p w:rsidR="00F00293" w:rsidRPr="00F00293" w:rsidRDefault="00F00293" w:rsidP="00F00293">
      <w:pPr>
        <w:numPr>
          <w:ilvl w:val="1"/>
          <w:numId w:val="1"/>
        </w:numPr>
        <w:spacing w:before="20"/>
        <w:ind w:left="810"/>
        <w:contextualSpacing/>
        <w:jc w:val="left"/>
        <w:outlineLvl w:val="0"/>
        <w:rPr>
          <w:rFonts w:ascii="Times New Roman" w:hAnsi="Times New Roman"/>
        </w:rPr>
      </w:pPr>
      <w:r w:rsidRPr="00F00293">
        <w:rPr>
          <w:rFonts w:ascii="Times New Roman" w:hAnsi="Times New Roman"/>
        </w:rPr>
        <w:t>Upcoming E-Rate Dates</w:t>
      </w:r>
    </w:p>
    <w:p w:rsidR="00F00293" w:rsidRPr="00F00293" w:rsidRDefault="00F00293" w:rsidP="00F00293">
      <w:pPr>
        <w:numPr>
          <w:ilvl w:val="0"/>
          <w:numId w:val="1"/>
        </w:numPr>
        <w:spacing w:before="120"/>
        <w:jc w:val="left"/>
        <w:outlineLvl w:val="0"/>
        <w:rPr>
          <w:rFonts w:ascii="Times New Roman" w:hAnsi="Times New Roman"/>
          <w:b/>
          <w:color w:val="1F497D"/>
          <w:lang w:bidi="ar-SA"/>
        </w:rPr>
      </w:pPr>
      <w:r w:rsidRPr="00F00293">
        <w:rPr>
          <w:rFonts w:ascii="Times New Roman" w:hAnsi="Times New Roman"/>
        </w:rPr>
        <w:t>USAC News Brief Dated February 15 – More Competitive Bidding Reminders</w:t>
      </w:r>
    </w:p>
    <w:p w:rsidR="00F00293" w:rsidRPr="00F00293" w:rsidRDefault="00F00293" w:rsidP="00F00293">
      <w:pPr>
        <w:ind w:left="720" w:hanging="360"/>
        <w:rPr>
          <w:rFonts w:ascii="Times New Roman" w:hAnsi="Times New Roman"/>
          <w:b/>
          <w:color w:val="1F497D"/>
          <w:sz w:val="48"/>
          <w:szCs w:val="48"/>
        </w:rPr>
      </w:pPr>
    </w:p>
    <w:p w:rsidR="00F00293" w:rsidRPr="00F00293" w:rsidRDefault="00F00293" w:rsidP="00F00293">
      <w:pPr>
        <w:rPr>
          <w:rFonts w:ascii="Times New Roman" w:hAnsi="Times New Roman"/>
          <w:b/>
          <w:color w:val="2F5496"/>
        </w:rPr>
      </w:pPr>
      <w:r w:rsidRPr="00F00293">
        <w:rPr>
          <w:rFonts w:ascii="Times New Roman" w:hAnsi="Times New Roman"/>
          <w:b/>
          <w:color w:val="2F5496"/>
        </w:rPr>
        <w:t>Funding Status – FY 2019 and FY 2018</w:t>
      </w:r>
    </w:p>
    <w:p w:rsidR="00F00293" w:rsidRPr="00F00293" w:rsidRDefault="00F00293" w:rsidP="00F00293">
      <w:pPr>
        <w:rPr>
          <w:rFonts w:ascii="Times New Roman" w:hAnsi="Times New Roman"/>
        </w:rPr>
      </w:pPr>
    </w:p>
    <w:p w:rsidR="00F00293" w:rsidRPr="00F00293" w:rsidRDefault="00F00293" w:rsidP="00F00293">
      <w:pPr>
        <w:rPr>
          <w:rFonts w:ascii="Times New Roman" w:hAnsi="Times New Roman"/>
          <w:i/>
          <w:color w:val="2F5496"/>
        </w:rPr>
      </w:pPr>
      <w:r w:rsidRPr="00F00293">
        <w:rPr>
          <w:rFonts w:ascii="Times New Roman" w:hAnsi="Times New Roman"/>
          <w:i/>
          <w:color w:val="2F5496"/>
        </w:rPr>
        <w:t>FY 2019:</w:t>
      </w:r>
    </w:p>
    <w:p w:rsidR="00F00293" w:rsidRPr="00F00293" w:rsidRDefault="00F00293" w:rsidP="00F00293">
      <w:pPr>
        <w:rPr>
          <w:rFonts w:ascii="Times New Roman" w:hAnsi="Times New Roman"/>
          <w:i/>
          <w:color w:val="1F3864"/>
        </w:rPr>
      </w:pPr>
    </w:p>
    <w:p w:rsidR="00F00293" w:rsidRPr="00F00293" w:rsidRDefault="00F00293" w:rsidP="00F00293">
      <w:pPr>
        <w:rPr>
          <w:rFonts w:ascii="Times New Roman" w:hAnsi="Times New Roman"/>
        </w:rPr>
      </w:pPr>
      <w:bookmarkStart w:id="16" w:name="_Hlk533170053"/>
      <w:r w:rsidRPr="00F00293">
        <w:rPr>
          <w:rFonts w:ascii="Times New Roman" w:hAnsi="Times New Roman"/>
        </w:rPr>
        <w:t>The Form 471 application window is open.  It will close at 11:59 p.m. EDT on Wednesday, March 27</w:t>
      </w:r>
      <w:r w:rsidRPr="00F00293">
        <w:rPr>
          <w:rFonts w:ascii="Times New Roman" w:hAnsi="Times New Roman"/>
          <w:vertAlign w:val="superscript"/>
        </w:rPr>
        <w:t>th</w:t>
      </w:r>
      <w:r w:rsidRPr="00F00293">
        <w:rPr>
          <w:rFonts w:ascii="Times New Roman" w:hAnsi="Times New Roman"/>
        </w:rPr>
        <w:t>.</w:t>
      </w:r>
      <w:bookmarkStart w:id="17" w:name="_Hlk533175781"/>
      <w:bookmarkEnd w:id="16"/>
      <w:r w:rsidRPr="00F00293">
        <w:rPr>
          <w:rFonts w:ascii="Times New Roman" w:hAnsi="Times New Roman"/>
        </w:rPr>
        <w:t xml:space="preserve">  </w:t>
      </w:r>
    </w:p>
    <w:bookmarkEnd w:id="17"/>
    <w:p w:rsidR="00F00293" w:rsidRPr="00F00293" w:rsidRDefault="00F00293" w:rsidP="00F00293">
      <w:pPr>
        <w:rPr>
          <w:rFonts w:ascii="Times New Roman" w:hAnsi="Times New Roman"/>
          <w:b/>
          <w:color w:val="1F497D"/>
        </w:rPr>
      </w:pPr>
    </w:p>
    <w:p w:rsidR="00F00293" w:rsidRPr="00F00293" w:rsidRDefault="00F00293" w:rsidP="00F00293">
      <w:pPr>
        <w:rPr>
          <w:rFonts w:ascii="Times New Roman" w:hAnsi="Times New Roman"/>
          <w:i/>
          <w:color w:val="2F5496"/>
        </w:rPr>
      </w:pPr>
      <w:r w:rsidRPr="00F00293">
        <w:rPr>
          <w:rFonts w:ascii="Times New Roman" w:hAnsi="Times New Roman"/>
          <w:i/>
          <w:color w:val="2F5496"/>
        </w:rPr>
        <w:t>FY 2018:</w:t>
      </w:r>
    </w:p>
    <w:p w:rsidR="00F00293" w:rsidRPr="00F00293" w:rsidRDefault="00F00293" w:rsidP="00F00293">
      <w:pPr>
        <w:rPr>
          <w:rFonts w:ascii="Times New Roman" w:hAnsi="Times New Roman"/>
          <w:i/>
          <w:color w:val="1F3864"/>
        </w:rPr>
      </w:pPr>
    </w:p>
    <w:p w:rsidR="002B061C" w:rsidRDefault="00F00293" w:rsidP="00F00293">
      <w:pPr>
        <w:rPr>
          <w:rFonts w:ascii="Times New Roman" w:hAnsi="Times New Roman"/>
          <w:color w:val="000000"/>
        </w:rPr>
      </w:pPr>
      <w:r w:rsidRPr="00F00293">
        <w:rPr>
          <w:rFonts w:ascii="Times New Roman" w:hAnsi="Times New Roman"/>
        </w:rPr>
        <w:t>USAC issued Wave 45 for FY 2018 on Friday, February 15</w:t>
      </w:r>
      <w:r w:rsidRPr="00F00293">
        <w:rPr>
          <w:rFonts w:ascii="Times New Roman" w:hAnsi="Times New Roman"/>
          <w:vertAlign w:val="superscript"/>
        </w:rPr>
        <w:t>th</w:t>
      </w:r>
      <w:r w:rsidRPr="00F00293">
        <w:rPr>
          <w:rFonts w:ascii="Times New Roman" w:hAnsi="Times New Roman"/>
        </w:rPr>
        <w:t>, for $36.6</w:t>
      </w:r>
      <w:r w:rsidR="00B05DAE">
        <w:rPr>
          <w:rFonts w:ascii="Times New Roman" w:hAnsi="Times New Roman"/>
        </w:rPr>
        <w:t xml:space="preserve"> </w:t>
      </w:r>
      <w:r w:rsidRPr="00F00293">
        <w:rPr>
          <w:rFonts w:ascii="Times New Roman" w:hAnsi="Times New Roman"/>
        </w:rPr>
        <w:t>million.  Cumulative funding as of Wave 45 is</w:t>
      </w:r>
      <w:r w:rsidRPr="00F00293">
        <w:rPr>
          <w:rFonts w:ascii="Times New Roman" w:hAnsi="Times New Roman"/>
          <w:color w:val="000000"/>
        </w:rPr>
        <w:t xml:space="preserve"> $2.17 billion</w:t>
      </w:r>
      <w:r w:rsidR="002B061C">
        <w:rPr>
          <w:rFonts w:ascii="Times New Roman" w:hAnsi="Times New Roman"/>
          <w:color w:val="000000"/>
        </w:rPr>
        <w:t>.</w:t>
      </w:r>
    </w:p>
    <w:p w:rsidR="002B061C" w:rsidRPr="004155F0" w:rsidRDefault="002B061C" w:rsidP="002B061C">
      <w:pPr>
        <w:rPr>
          <w:rFonts w:ascii="Times New Roman" w:hAnsi="Times New Roman"/>
          <w:b/>
          <w:color w:val="1F497D"/>
          <w:sz w:val="36"/>
          <w:szCs w:val="36"/>
        </w:rPr>
      </w:pPr>
    </w:p>
    <w:p w:rsidR="00B05DAE" w:rsidRPr="00B05DAE" w:rsidRDefault="00B05DAE" w:rsidP="00B05DAE">
      <w:pPr>
        <w:rPr>
          <w:rFonts w:ascii="Times New Roman" w:hAnsi="Times New Roman"/>
          <w:b/>
          <w:color w:val="2F5496"/>
        </w:rPr>
      </w:pPr>
      <w:bookmarkStart w:id="18" w:name="_Hlk524285973"/>
      <w:bookmarkEnd w:id="9"/>
      <w:bookmarkEnd w:id="10"/>
      <w:bookmarkEnd w:id="11"/>
      <w:r w:rsidRPr="00B05DAE">
        <w:rPr>
          <w:rFonts w:ascii="Times New Roman" w:hAnsi="Times New Roman"/>
          <w:b/>
          <w:color w:val="2F5496"/>
        </w:rPr>
        <w:t>FCC Releases Category 2 Experience Report</w:t>
      </w:r>
    </w:p>
    <w:p w:rsidR="00B05DAE" w:rsidRPr="00B05DAE" w:rsidRDefault="00B05DAE" w:rsidP="00B05DAE">
      <w:pPr>
        <w:rPr>
          <w:rFonts w:ascii="Times New Roman" w:hAnsi="Times New Roman"/>
          <w:color w:val="1F497D"/>
          <w:shd w:val="clear" w:color="auto" w:fill="FFFFFF"/>
        </w:rPr>
      </w:pPr>
    </w:p>
    <w:p w:rsidR="00B05DAE" w:rsidRPr="00B05DAE" w:rsidRDefault="00B05DAE" w:rsidP="00B05DAE">
      <w:pPr>
        <w:rPr>
          <w:rFonts w:ascii="Times New Roman" w:hAnsi="Times New Roman"/>
        </w:rPr>
      </w:pPr>
      <w:r w:rsidRPr="00B05DAE">
        <w:rPr>
          <w:rFonts w:ascii="Times New Roman" w:hAnsi="Times New Roman"/>
        </w:rPr>
        <w:t xml:space="preserve">The Second </w:t>
      </w:r>
      <w:proofErr w:type="spellStart"/>
      <w:r w:rsidRPr="00B05DAE">
        <w:rPr>
          <w:rFonts w:ascii="Times New Roman" w:hAnsi="Times New Roman"/>
        </w:rPr>
        <w:t>E-rate</w:t>
      </w:r>
      <w:proofErr w:type="spellEnd"/>
      <w:r w:rsidRPr="00B05DAE">
        <w:rPr>
          <w:rFonts w:ascii="Times New Roman" w:hAnsi="Times New Roman"/>
        </w:rPr>
        <w:t xml:space="preserve"> Modernization Order (</w:t>
      </w:r>
      <w:hyperlink r:id="rId7" w:history="1">
        <w:r w:rsidRPr="00B05DAE">
          <w:rPr>
            <w:rFonts w:ascii="Times New Roman" w:hAnsi="Times New Roman"/>
            <w:color w:val="0000FF"/>
            <w:u w:val="single"/>
          </w:rPr>
          <w:t>FCC 14-189</w:t>
        </w:r>
      </w:hyperlink>
      <w:r w:rsidRPr="00B05DAE">
        <w:rPr>
          <w:rFonts w:ascii="Times New Roman" w:hAnsi="Times New Roman"/>
        </w:rPr>
        <w:t>), which extended the Category 2 budgeting approach out through FY 2019, directed the FCC’s Wireline Competition Bureau (“WCB”) to track and analyze Category 2 funding under the new process for the first four funding years (FY 2015 to FY 2018) and to report their findings to the Commission before the opening of the FY 2019 application window.  The resulting report (</w:t>
      </w:r>
      <w:hyperlink r:id="rId8" w:history="1">
        <w:r w:rsidRPr="00B05DAE">
          <w:rPr>
            <w:rFonts w:ascii="Times New Roman" w:hAnsi="Times New Roman"/>
            <w:color w:val="0000FF"/>
            <w:u w:val="single"/>
          </w:rPr>
          <w:t>DA 19-71</w:t>
        </w:r>
      </w:hyperlink>
      <w:r w:rsidRPr="00B05DAE">
        <w:rPr>
          <w:rFonts w:ascii="Times New Roman" w:hAnsi="Times New Roman"/>
        </w:rPr>
        <w:t>), probably delayed slightly by January’s government shutdown, was released last week.</w:t>
      </w:r>
    </w:p>
    <w:p w:rsidR="00B05DAE" w:rsidRPr="00B05DAE" w:rsidRDefault="00B05DAE" w:rsidP="00B05DAE">
      <w:pPr>
        <w:rPr>
          <w:rFonts w:ascii="Times New Roman" w:hAnsi="Times New Roman"/>
        </w:rPr>
      </w:pPr>
    </w:p>
    <w:p w:rsidR="00B05DAE" w:rsidRPr="00B05DAE" w:rsidRDefault="00B05DAE" w:rsidP="00B05DAE">
      <w:pPr>
        <w:spacing w:after="160"/>
        <w:rPr>
          <w:rFonts w:ascii="Times New Roman" w:hAnsi="Times New Roman"/>
        </w:rPr>
      </w:pPr>
      <w:r w:rsidRPr="00B05DAE">
        <w:rPr>
          <w:rFonts w:ascii="Times New Roman" w:hAnsi="Times New Roman"/>
        </w:rPr>
        <w:t xml:space="preserve">The WCB report does </w:t>
      </w:r>
      <w:r w:rsidRPr="00B05DAE">
        <w:rPr>
          <w:rFonts w:ascii="Times New Roman" w:hAnsi="Times New Roman"/>
          <w:u w:val="single"/>
        </w:rPr>
        <w:t>not</w:t>
      </w:r>
      <w:r w:rsidRPr="00B05DAE">
        <w:rPr>
          <w:rFonts w:ascii="Times New Roman" w:hAnsi="Times New Roman"/>
        </w:rPr>
        <w:t xml:space="preserve"> set forth new Category 2 budget rules for FY 2020 and beyond, which the FCC must still address before July 1</w:t>
      </w:r>
      <w:r w:rsidRPr="00B05DAE">
        <w:rPr>
          <w:rFonts w:ascii="Times New Roman" w:hAnsi="Times New Roman"/>
          <w:vertAlign w:val="superscript"/>
        </w:rPr>
        <w:t>st</w:t>
      </w:r>
      <w:r w:rsidRPr="00B05DAE">
        <w:rPr>
          <w:rFonts w:ascii="Times New Roman" w:hAnsi="Times New Roman"/>
        </w:rPr>
        <w:t>, but does represent the FCC staff’s view of the success of the budgeting process to date and does recommend its continuation.  As such, the report is the first formal indication from the FCC that Category 2 funding is likely to continue, at least at the same level and with much the same 5-year budget mechanism.  In particular:</w:t>
      </w:r>
    </w:p>
    <w:p w:rsidR="00B05DAE" w:rsidRPr="00B05DAE" w:rsidRDefault="00B05DAE" w:rsidP="00B05DAE">
      <w:pPr>
        <w:numPr>
          <w:ilvl w:val="0"/>
          <w:numId w:val="4"/>
        </w:numPr>
        <w:spacing w:after="120"/>
        <w:rPr>
          <w:rFonts w:ascii="Times New Roman" w:hAnsi="Times New Roman"/>
        </w:rPr>
      </w:pPr>
      <w:r w:rsidRPr="00B05DAE">
        <w:rPr>
          <w:rFonts w:ascii="Times New Roman" w:hAnsi="Times New Roman"/>
        </w:rPr>
        <w:t>The report specifically recommends “that the Commission retain the category two budget approach.”  It discusses four ways in which the Category 2 budget process has worked better than the preceding two-in-five rules, namely:</w:t>
      </w:r>
    </w:p>
    <w:p w:rsidR="00B05DAE" w:rsidRPr="00B05DAE" w:rsidRDefault="00B05DAE" w:rsidP="00B05DAE">
      <w:pPr>
        <w:numPr>
          <w:ilvl w:val="1"/>
          <w:numId w:val="4"/>
        </w:numPr>
        <w:spacing w:after="120"/>
        <w:rPr>
          <w:rFonts w:ascii="Times New Roman" w:hAnsi="Times New Roman"/>
        </w:rPr>
      </w:pPr>
      <w:r w:rsidRPr="00B05DAE">
        <w:rPr>
          <w:rFonts w:ascii="Times New Roman" w:hAnsi="Times New Roman"/>
        </w:rPr>
        <w:t>More internal connections funding has been committed in the past four years (FYs 2015–2018) than over the previous five years.  Unlike the earlier years, there have been no denials for lack of program funding.</w:t>
      </w:r>
    </w:p>
    <w:p w:rsidR="00B05DAE" w:rsidRPr="00B05DAE" w:rsidRDefault="00B05DAE" w:rsidP="00B05DAE">
      <w:pPr>
        <w:numPr>
          <w:ilvl w:val="1"/>
          <w:numId w:val="4"/>
        </w:numPr>
        <w:autoSpaceDE w:val="0"/>
        <w:autoSpaceDN w:val="0"/>
        <w:adjustRightInd w:val="0"/>
        <w:spacing w:after="120"/>
        <w:rPr>
          <w:rFonts w:ascii="Times New Roman" w:hAnsi="Times New Roman"/>
          <w:lang w:bidi="ar-SA"/>
        </w:rPr>
      </w:pPr>
      <w:r w:rsidRPr="00B05DAE">
        <w:rPr>
          <w:rFonts w:ascii="Times New Roman" w:hAnsi="Times New Roman"/>
        </w:rPr>
        <w:lastRenderedPageBreak/>
        <w:t>Internal connections funding under the Category 2 approach has been more widely disbursed.  “</w:t>
      </w:r>
      <w:r w:rsidRPr="00B05DAE">
        <w:rPr>
          <w:rFonts w:ascii="Times New Roman" w:hAnsi="Times New Roman"/>
          <w:lang w:bidi="ar-SA"/>
        </w:rPr>
        <w:t>More than six times as many schools and ten times as many libraries per-year receive funding commitments than under the two-in-five rules.”</w:t>
      </w:r>
    </w:p>
    <w:p w:rsidR="00B05DAE" w:rsidRPr="00B05DAE" w:rsidRDefault="00B05DAE" w:rsidP="00B05DAE">
      <w:pPr>
        <w:numPr>
          <w:ilvl w:val="1"/>
          <w:numId w:val="4"/>
        </w:numPr>
        <w:spacing w:after="120"/>
        <w:rPr>
          <w:rFonts w:ascii="Times New Roman" w:hAnsi="Times New Roman"/>
        </w:rPr>
      </w:pPr>
      <w:r w:rsidRPr="00B05DAE">
        <w:rPr>
          <w:rFonts w:ascii="Times New Roman" w:hAnsi="Times New Roman"/>
        </w:rPr>
        <w:t xml:space="preserve">The distribution of Category 2 funding has more closely approximated the composition of schools and libraries in the </w:t>
      </w:r>
      <w:proofErr w:type="spellStart"/>
      <w:r w:rsidRPr="00B05DAE">
        <w:rPr>
          <w:rFonts w:ascii="Times New Roman" w:hAnsi="Times New Roman"/>
        </w:rPr>
        <w:t>E-rate</w:t>
      </w:r>
      <w:proofErr w:type="spellEnd"/>
      <w:r w:rsidRPr="00B05DAE">
        <w:rPr>
          <w:rFonts w:ascii="Times New Roman" w:hAnsi="Times New Roman"/>
        </w:rPr>
        <w:t xml:space="preserve"> program.  Previously, internal connections funding had been concentrated on higher discount schools in urban areas.</w:t>
      </w:r>
    </w:p>
    <w:p w:rsidR="00B05DAE" w:rsidRPr="00B05DAE" w:rsidRDefault="00B05DAE" w:rsidP="00B05DAE">
      <w:pPr>
        <w:numPr>
          <w:ilvl w:val="1"/>
          <w:numId w:val="4"/>
        </w:numPr>
        <w:spacing w:after="120"/>
        <w:rPr>
          <w:rFonts w:ascii="Times New Roman" w:hAnsi="Times New Roman"/>
        </w:rPr>
      </w:pPr>
      <w:r w:rsidRPr="00B05DAE">
        <w:rPr>
          <w:rFonts w:ascii="Times New Roman" w:hAnsi="Times New Roman"/>
        </w:rPr>
        <w:t>The Category 2 budget process “appears to provide more flexibility to applicants to plan for the deployment and maintenance of their networks in a way that best suits their needs.”</w:t>
      </w:r>
    </w:p>
    <w:p w:rsidR="00B05DAE" w:rsidRPr="00B05DAE" w:rsidRDefault="00B05DAE" w:rsidP="00B05DAE">
      <w:pPr>
        <w:ind w:left="720"/>
        <w:rPr>
          <w:rFonts w:ascii="Times New Roman" w:hAnsi="Times New Roman"/>
        </w:rPr>
      </w:pPr>
      <w:r w:rsidRPr="00B05DAE">
        <w:rPr>
          <w:rFonts w:ascii="Times New Roman" w:hAnsi="Times New Roman"/>
        </w:rPr>
        <w:t>The report concludes “that the category two budget approach is an effective means to ensure greater access to E-Rate discounts for internal connections.”</w:t>
      </w:r>
    </w:p>
    <w:p w:rsidR="00B05DAE" w:rsidRPr="00B05DAE" w:rsidRDefault="00B05DAE" w:rsidP="00B05DAE">
      <w:pPr>
        <w:ind w:left="720"/>
        <w:rPr>
          <w:rFonts w:ascii="Times New Roman" w:hAnsi="Times New Roman"/>
          <w:sz w:val="16"/>
          <w:szCs w:val="16"/>
        </w:rPr>
      </w:pPr>
    </w:p>
    <w:p w:rsidR="00B05DAE" w:rsidRPr="00B05DAE" w:rsidRDefault="00B05DAE" w:rsidP="00B05DAE">
      <w:pPr>
        <w:numPr>
          <w:ilvl w:val="0"/>
          <w:numId w:val="4"/>
        </w:numPr>
        <w:contextualSpacing/>
        <w:rPr>
          <w:rFonts w:ascii="Times New Roman" w:hAnsi="Times New Roman"/>
        </w:rPr>
      </w:pPr>
      <w:r w:rsidRPr="00B05DAE">
        <w:rPr>
          <w:rFonts w:ascii="Times New Roman" w:hAnsi="Times New Roman"/>
        </w:rPr>
        <w:t xml:space="preserve">In terms of the Category 2 funding level, the report concludes that the “budget approach is </w:t>
      </w:r>
      <w:r w:rsidRPr="00B05DAE">
        <w:rPr>
          <w:rFonts w:ascii="Times New Roman" w:hAnsi="Times New Roman"/>
          <w:u w:val="single"/>
        </w:rPr>
        <w:t>generally</w:t>
      </w:r>
      <w:r w:rsidRPr="00B05DAE">
        <w:rPr>
          <w:rFonts w:ascii="Times New Roman" w:hAnsi="Times New Roman"/>
        </w:rPr>
        <w:t xml:space="preserve"> sufficient” (</w:t>
      </w:r>
      <w:r w:rsidRPr="00B05DAE">
        <w:rPr>
          <w:rFonts w:ascii="Times New Roman" w:hAnsi="Times New Roman"/>
          <w:i/>
        </w:rPr>
        <w:t>emphasis added</w:t>
      </w:r>
      <w:r w:rsidRPr="00B05DAE">
        <w:rPr>
          <w:rFonts w:ascii="Times New Roman" w:hAnsi="Times New Roman"/>
        </w:rPr>
        <w:t>), but perhaps may be insufficient “for schools and libraries at the funding floor, as well as libraries outside of highly-concentrated urban areas.”  As a result, the report recommends that the Commission consider “targeted changes” to the budgets, specifically mentioning an increase in the small entity budget floor initially set at $9,200 (before inflation) per site.  The second part of the budget level conclusion suggests that the FCC might also consider raising the square-foot budget factor for more rural libraries.</w:t>
      </w:r>
    </w:p>
    <w:p w:rsidR="00B05DAE" w:rsidRPr="00B05DAE" w:rsidRDefault="00B05DAE" w:rsidP="00B05DAE">
      <w:pPr>
        <w:ind w:left="720" w:hanging="360"/>
        <w:rPr>
          <w:rFonts w:ascii="Times New Roman" w:hAnsi="Times New Roman"/>
          <w:sz w:val="16"/>
          <w:szCs w:val="16"/>
        </w:rPr>
      </w:pPr>
    </w:p>
    <w:p w:rsidR="00B05DAE" w:rsidRPr="00B05DAE" w:rsidRDefault="00B05DAE" w:rsidP="00B05DAE">
      <w:pPr>
        <w:numPr>
          <w:ilvl w:val="0"/>
          <w:numId w:val="4"/>
        </w:numPr>
        <w:contextualSpacing/>
        <w:rPr>
          <w:rFonts w:ascii="Times New Roman" w:hAnsi="Times New Roman"/>
        </w:rPr>
      </w:pPr>
      <w:r w:rsidRPr="00B05DAE">
        <w:rPr>
          <w:rFonts w:ascii="Times New Roman" w:hAnsi="Times New Roman"/>
        </w:rPr>
        <w:t>One important aspect of the current budget situation not directly addressed in the report is the status of existing five-year budgets initiated after FY 2015.  Recognizing that new FCC Category 2 rules could change any aspect of the current rules as of FY 2020, perhaps resetting budgets at that point, USAC has been reluctant to confirm that an applicant’s “five-year” budget begun in FY 2017, for example, extends through FY 2021.  Our own view is that applicants having started their budget cycles in FY 2016 or later will in no case be worse off than if their budgets continue for a full five years.  Footnote 36 in the report appears to support this view indicating that “approximately 45,000 schools have two or more years remaining” to use their current budgets which implies continued support through FY 2020 and beyond.</w:t>
      </w:r>
    </w:p>
    <w:p w:rsidR="00B05DAE" w:rsidRPr="00B05DAE" w:rsidRDefault="00B05DAE" w:rsidP="00B05DAE">
      <w:pPr>
        <w:ind w:left="720" w:hanging="360"/>
        <w:contextualSpacing/>
        <w:rPr>
          <w:rFonts w:ascii="Times New Roman" w:hAnsi="Times New Roman"/>
          <w:sz w:val="16"/>
        </w:rPr>
      </w:pPr>
    </w:p>
    <w:p w:rsidR="00B05DAE" w:rsidRPr="00B05DAE" w:rsidRDefault="00B05DAE" w:rsidP="00B05DAE">
      <w:pPr>
        <w:numPr>
          <w:ilvl w:val="0"/>
          <w:numId w:val="4"/>
        </w:numPr>
        <w:contextualSpacing/>
        <w:rPr>
          <w:rFonts w:ascii="Times New Roman" w:hAnsi="Times New Roman"/>
        </w:rPr>
      </w:pPr>
      <w:r w:rsidRPr="00B05DAE">
        <w:rPr>
          <w:rFonts w:ascii="Times New Roman" w:hAnsi="Times New Roman"/>
        </w:rPr>
        <w:t>One possible budget change not addressed in the report, but recommended by many applicants as the result of the FCC’s call for comments (</w:t>
      </w:r>
      <w:hyperlink r:id="rId9" w:history="1">
        <w:r w:rsidRPr="00B05DAE">
          <w:rPr>
            <w:rFonts w:ascii="Times New Roman" w:hAnsi="Times New Roman"/>
            <w:color w:val="0000FF"/>
            <w:u w:val="single"/>
          </w:rPr>
          <w:t>DA 17-921</w:t>
        </w:r>
      </w:hyperlink>
      <w:r w:rsidRPr="00B05DAE">
        <w:rPr>
          <w:rFonts w:ascii="Times New Roman" w:hAnsi="Times New Roman"/>
        </w:rPr>
        <w:t>) on Category 2 budgets in 2017, was to set school budgets on a districtwide basis (or libraries on a systemwide basis).  Currently there is no indication that the FCC is considering moving away from individual school or library budgets.</w:t>
      </w:r>
    </w:p>
    <w:p w:rsidR="00B05DAE" w:rsidRPr="00B05DAE" w:rsidRDefault="00B05DAE" w:rsidP="00B05DAE">
      <w:pPr>
        <w:rPr>
          <w:rFonts w:ascii="Times New Roman" w:hAnsi="Times New Roman"/>
        </w:rPr>
      </w:pPr>
    </w:p>
    <w:p w:rsidR="00B05DAE" w:rsidRPr="00B05DAE" w:rsidRDefault="00B05DAE" w:rsidP="00B05DAE">
      <w:pPr>
        <w:rPr>
          <w:rFonts w:ascii="Times New Roman" w:hAnsi="Times New Roman"/>
        </w:rPr>
      </w:pPr>
      <w:r w:rsidRPr="00B05DAE">
        <w:rPr>
          <w:rFonts w:ascii="Times New Roman" w:hAnsi="Times New Roman"/>
        </w:rPr>
        <w:t xml:space="preserve">It is not immediately clear what steps the FCC will take next to implement new Category 2 funding rules for FY 2020 and beyond.  It could issue a formal Notice of Proposed Rulemaking (“NPRM”) and solicit additional comments, or it could deem the 2017 comments </w:t>
      </w:r>
      <w:proofErr w:type="gramStart"/>
      <w:r w:rsidRPr="00B05DAE">
        <w:rPr>
          <w:rFonts w:ascii="Times New Roman" w:hAnsi="Times New Roman"/>
        </w:rPr>
        <w:t>sufficient</w:t>
      </w:r>
      <w:proofErr w:type="gramEnd"/>
      <w:r w:rsidRPr="00B05DAE">
        <w:rPr>
          <w:rFonts w:ascii="Times New Roman" w:hAnsi="Times New Roman"/>
        </w:rPr>
        <w:t xml:space="preserve"> and issue new rules directly.  What the FCC is unlikely to do, given the recommendations of this report, is to simply let the rules default to the old two-in-five process.</w:t>
      </w:r>
    </w:p>
    <w:p w:rsidR="00B05DAE" w:rsidRPr="00B05DAE" w:rsidRDefault="00B05DAE" w:rsidP="00B05DAE">
      <w:pPr>
        <w:rPr>
          <w:rFonts w:ascii="Times New Roman" w:hAnsi="Times New Roman"/>
        </w:rPr>
      </w:pPr>
    </w:p>
    <w:p w:rsidR="00B05DAE" w:rsidRPr="00B05DAE" w:rsidRDefault="00B05DAE" w:rsidP="00B05DAE">
      <w:pPr>
        <w:rPr>
          <w:rFonts w:ascii="Times New Roman" w:hAnsi="Times New Roman"/>
        </w:rPr>
      </w:pPr>
      <w:r w:rsidRPr="00B05DAE">
        <w:rPr>
          <w:rFonts w:ascii="Times New Roman" w:hAnsi="Times New Roman"/>
        </w:rPr>
        <w:lastRenderedPageBreak/>
        <w:t>Our expectations are that the FCC will continue the five-year Category 2 budget approach, most likely with a few “targeted changes” for the better.  Hopefully we will see FCC action on new rules sooner rather than later with new rules in place prior to the start of the next competitive bidding process beginning on July 1, 2019.</w:t>
      </w:r>
    </w:p>
    <w:p w:rsidR="00B05DAE" w:rsidRPr="00B05DAE" w:rsidRDefault="00B05DAE" w:rsidP="00B05DAE">
      <w:pPr>
        <w:rPr>
          <w:rFonts w:ascii="Times New Roman" w:hAnsi="Times New Roman"/>
          <w:b/>
          <w:color w:val="2F5496"/>
          <w:sz w:val="36"/>
          <w:szCs w:val="36"/>
        </w:rPr>
      </w:pPr>
    </w:p>
    <w:p w:rsidR="00B05DAE" w:rsidRPr="00B05DAE" w:rsidRDefault="00B05DAE" w:rsidP="00B05DAE">
      <w:pPr>
        <w:rPr>
          <w:rFonts w:ascii="Times New Roman" w:hAnsi="Times New Roman"/>
          <w:b/>
          <w:color w:val="2F5496"/>
        </w:rPr>
      </w:pPr>
      <w:r w:rsidRPr="00B05DAE">
        <w:rPr>
          <w:rFonts w:ascii="Times New Roman" w:hAnsi="Times New Roman"/>
          <w:b/>
          <w:color w:val="2F5496"/>
        </w:rPr>
        <w:t>E-Rate Updates and Reminders</w:t>
      </w:r>
    </w:p>
    <w:p w:rsidR="00B05DAE" w:rsidRPr="00B05DAE" w:rsidRDefault="00B05DAE" w:rsidP="00B05DAE">
      <w:pPr>
        <w:ind w:left="720" w:hanging="360"/>
        <w:rPr>
          <w:rFonts w:ascii="Times New Roman" w:hAnsi="Times New Roman"/>
        </w:rPr>
      </w:pPr>
    </w:p>
    <w:p w:rsidR="00B05DAE" w:rsidRPr="00B05DAE" w:rsidRDefault="00B05DAE" w:rsidP="00B05DAE">
      <w:pPr>
        <w:rPr>
          <w:rFonts w:ascii="Times New Roman" w:hAnsi="Times New Roman"/>
          <w:i/>
          <w:color w:val="2F5496"/>
        </w:rPr>
      </w:pPr>
      <w:bookmarkStart w:id="19" w:name="_Hlk514143144"/>
      <w:bookmarkStart w:id="20" w:name="_Hlk514143132"/>
      <w:r w:rsidRPr="00B05DAE">
        <w:rPr>
          <w:rFonts w:ascii="Times New Roman" w:hAnsi="Times New Roman"/>
          <w:i/>
          <w:color w:val="2F5496"/>
        </w:rPr>
        <w:t>Upcoming E-Rate Dates:</w:t>
      </w:r>
      <w:bookmarkStart w:id="21" w:name="_Hlk514143767"/>
      <w:bookmarkStart w:id="22" w:name="_Hlk514143153"/>
      <w:bookmarkStart w:id="23" w:name="_Hlk514143462"/>
      <w:bookmarkEnd w:id="19"/>
    </w:p>
    <w:p w:rsidR="00B05DAE" w:rsidRPr="00B05DAE" w:rsidRDefault="00B05DAE" w:rsidP="00B05DAE">
      <w:pPr>
        <w:rPr>
          <w:rFonts w:ascii="Times New Roman" w:hAnsi="Times New Roman"/>
          <w:color w:val="1F497D"/>
        </w:rPr>
      </w:pPr>
    </w:p>
    <w:bookmarkEnd w:id="20"/>
    <w:bookmarkEnd w:id="21"/>
    <w:bookmarkEnd w:id="22"/>
    <w:p w:rsidR="00B05DAE" w:rsidRPr="00B05DAE" w:rsidRDefault="00B05DAE" w:rsidP="00B05DAE">
      <w:pPr>
        <w:spacing w:after="120"/>
        <w:ind w:left="2160" w:hanging="1800"/>
        <w:rPr>
          <w:rFonts w:ascii="Times New Roman" w:hAnsi="Times New Roman"/>
          <w:color w:val="000000"/>
          <w:lang w:bidi="ar-SA"/>
        </w:rPr>
      </w:pPr>
      <w:r w:rsidRPr="00B05DAE">
        <w:rPr>
          <w:rFonts w:ascii="Times New Roman" w:hAnsi="Times New Roman"/>
        </w:rPr>
        <w:t>February 19</w:t>
      </w:r>
      <w:r w:rsidRPr="00B05DAE">
        <w:rPr>
          <w:rFonts w:ascii="Times New Roman" w:hAnsi="Times New Roman"/>
        </w:rPr>
        <w:tab/>
        <w:t>Form 486 deadline for FY 2018 funding committed in Wave 28.  More generally, the Form 486 deadline is 120 days from the FCDL date or the service start date (typically July 1</w:t>
      </w:r>
      <w:r w:rsidRPr="00B05DAE">
        <w:rPr>
          <w:rFonts w:ascii="Times New Roman" w:hAnsi="Times New Roman"/>
          <w:vertAlign w:val="superscript"/>
        </w:rPr>
        <w:t>st</w:t>
      </w:r>
      <w:r w:rsidRPr="00B05DAE">
        <w:rPr>
          <w:rFonts w:ascii="Times New Roman" w:hAnsi="Times New Roman"/>
        </w:rPr>
        <w:t xml:space="preserve">), whichever is later.  </w:t>
      </w:r>
      <w:r w:rsidRPr="00B05DAE">
        <w:rPr>
          <w:rFonts w:ascii="Times New Roman" w:hAnsi="Times New Roman"/>
          <w:color w:val="000000"/>
        </w:rPr>
        <w:t>Other upcoming Form 486 deadlines are:</w:t>
      </w:r>
    </w:p>
    <w:p w:rsidR="00B05DAE" w:rsidRPr="00B05DAE" w:rsidRDefault="00B05DAE" w:rsidP="00B05DAE">
      <w:pPr>
        <w:tabs>
          <w:tab w:val="left" w:pos="3240"/>
          <w:tab w:val="left" w:pos="5040"/>
        </w:tabs>
        <w:ind w:left="2880" w:hanging="1800"/>
        <w:outlineLvl w:val="0"/>
        <w:rPr>
          <w:rFonts w:ascii="Times New Roman" w:hAnsi="Times New Roman"/>
          <w:color w:val="000000"/>
          <w:lang w:bidi="ar-SA"/>
        </w:rPr>
      </w:pPr>
      <w:r w:rsidRPr="00B05DAE">
        <w:rPr>
          <w:rFonts w:ascii="Times New Roman" w:hAnsi="Times New Roman"/>
          <w:color w:val="000000"/>
          <w:lang w:bidi="ar-SA"/>
        </w:rPr>
        <w:tab/>
        <w:t>Wave 29</w:t>
      </w:r>
      <w:r w:rsidRPr="00B05DAE">
        <w:rPr>
          <w:rFonts w:ascii="Times New Roman" w:hAnsi="Times New Roman"/>
          <w:color w:val="000000"/>
          <w:lang w:bidi="ar-SA"/>
        </w:rPr>
        <w:tab/>
        <w:t>02/22/2019</w:t>
      </w:r>
    </w:p>
    <w:p w:rsidR="00B05DAE" w:rsidRPr="00B05DAE" w:rsidRDefault="00B05DAE" w:rsidP="00B05DAE">
      <w:pPr>
        <w:tabs>
          <w:tab w:val="left" w:pos="3240"/>
          <w:tab w:val="left" w:pos="5040"/>
        </w:tabs>
        <w:ind w:left="2880" w:hanging="1800"/>
        <w:outlineLvl w:val="0"/>
        <w:rPr>
          <w:rFonts w:ascii="Times New Roman" w:hAnsi="Times New Roman"/>
          <w:color w:val="000000"/>
          <w:lang w:bidi="ar-SA"/>
        </w:rPr>
      </w:pPr>
      <w:r w:rsidRPr="00B05DAE">
        <w:rPr>
          <w:rFonts w:ascii="Times New Roman" w:hAnsi="Times New Roman"/>
          <w:color w:val="000000"/>
          <w:lang w:bidi="ar-SA"/>
        </w:rPr>
        <w:tab/>
        <w:t>Wave 30</w:t>
      </w:r>
      <w:r w:rsidRPr="00B05DAE">
        <w:rPr>
          <w:rFonts w:ascii="Times New Roman" w:hAnsi="Times New Roman"/>
          <w:color w:val="000000"/>
          <w:lang w:bidi="ar-SA"/>
        </w:rPr>
        <w:tab/>
        <w:t>03/04/2019</w:t>
      </w:r>
    </w:p>
    <w:p w:rsidR="00B05DAE" w:rsidRPr="00B05DAE" w:rsidRDefault="00B05DAE" w:rsidP="00B05DAE">
      <w:pPr>
        <w:tabs>
          <w:tab w:val="left" w:pos="3240"/>
          <w:tab w:val="left" w:pos="5040"/>
        </w:tabs>
        <w:ind w:left="2880" w:hanging="1800"/>
        <w:outlineLvl w:val="0"/>
        <w:rPr>
          <w:rFonts w:ascii="Times New Roman" w:hAnsi="Times New Roman"/>
          <w:color w:val="000000"/>
          <w:lang w:bidi="ar-SA"/>
        </w:rPr>
      </w:pPr>
      <w:r w:rsidRPr="00B05DAE">
        <w:rPr>
          <w:rFonts w:ascii="Times New Roman" w:hAnsi="Times New Roman"/>
          <w:color w:val="000000"/>
          <w:lang w:bidi="ar-SA"/>
        </w:rPr>
        <w:tab/>
        <w:t>Wave 31</w:t>
      </w:r>
      <w:r w:rsidRPr="00B05DAE">
        <w:rPr>
          <w:rFonts w:ascii="Times New Roman" w:hAnsi="Times New Roman"/>
          <w:color w:val="000000"/>
          <w:lang w:bidi="ar-SA"/>
        </w:rPr>
        <w:tab/>
        <w:t>03/11/2019</w:t>
      </w:r>
    </w:p>
    <w:p w:rsidR="00B05DAE" w:rsidRPr="00B05DAE" w:rsidRDefault="00B05DAE" w:rsidP="00B05DAE">
      <w:pPr>
        <w:tabs>
          <w:tab w:val="left" w:pos="3240"/>
          <w:tab w:val="left" w:pos="5040"/>
        </w:tabs>
        <w:ind w:left="2880" w:hanging="1800"/>
        <w:outlineLvl w:val="0"/>
        <w:rPr>
          <w:rFonts w:ascii="Times New Roman" w:hAnsi="Times New Roman"/>
          <w:color w:val="000000"/>
          <w:lang w:bidi="ar-SA"/>
        </w:rPr>
      </w:pPr>
      <w:r w:rsidRPr="00B05DAE">
        <w:rPr>
          <w:rFonts w:ascii="Times New Roman" w:hAnsi="Times New Roman"/>
          <w:color w:val="000000"/>
          <w:lang w:bidi="ar-SA"/>
        </w:rPr>
        <w:tab/>
        <w:t>Wave 32</w:t>
      </w:r>
      <w:r w:rsidRPr="00B05DAE">
        <w:rPr>
          <w:rFonts w:ascii="Times New Roman" w:hAnsi="Times New Roman"/>
          <w:color w:val="000000"/>
          <w:lang w:bidi="ar-SA"/>
        </w:rPr>
        <w:tab/>
        <w:t>03/18/2019</w:t>
      </w:r>
    </w:p>
    <w:p w:rsidR="00B05DAE" w:rsidRPr="00B05DAE" w:rsidRDefault="00B05DAE" w:rsidP="00B05DAE">
      <w:pPr>
        <w:spacing w:before="120"/>
        <w:ind w:left="2160"/>
        <w:outlineLvl w:val="0"/>
        <w:rPr>
          <w:rFonts w:ascii="Times New Roman" w:hAnsi="Times New Roman"/>
          <w:color w:val="000000"/>
          <w:lang w:bidi="ar-SA"/>
        </w:rPr>
      </w:pPr>
      <w:r w:rsidRPr="00B05DAE">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B05DAE" w:rsidRPr="00B05DAE" w:rsidRDefault="00B05DAE" w:rsidP="00B05DAE">
      <w:pPr>
        <w:spacing w:before="120"/>
        <w:ind w:left="2160" w:hanging="1800"/>
        <w:outlineLvl w:val="0"/>
        <w:rPr>
          <w:rFonts w:ascii="Times New Roman" w:hAnsi="Times New Roman"/>
          <w:color w:val="000000"/>
          <w:lang w:bidi="ar-SA"/>
        </w:rPr>
      </w:pPr>
      <w:r w:rsidRPr="00B05DAE">
        <w:rPr>
          <w:rFonts w:ascii="Times New Roman" w:hAnsi="Times New Roman"/>
          <w:color w:val="000000"/>
          <w:lang w:bidi="ar-SA"/>
        </w:rPr>
        <w:t>February 19</w:t>
      </w:r>
      <w:r w:rsidRPr="00B05DAE">
        <w:rPr>
          <w:rFonts w:ascii="Times New Roman" w:hAnsi="Times New Roman"/>
          <w:color w:val="000000"/>
          <w:lang w:bidi="ar-SA"/>
        </w:rPr>
        <w:tab/>
        <w:t xml:space="preserve">“Office Hours” </w:t>
      </w:r>
      <w:hyperlink r:id="rId10" w:history="1">
        <w:r w:rsidRPr="00B05DAE">
          <w:rPr>
            <w:rFonts w:ascii="Times New Roman" w:hAnsi="Times New Roman"/>
            <w:color w:val="0000FF"/>
            <w:u w:val="single"/>
            <w:lang w:bidi="ar-SA"/>
          </w:rPr>
          <w:t>USAC webinars</w:t>
        </w:r>
      </w:hyperlink>
      <w:r w:rsidRPr="00B05DAE">
        <w:rPr>
          <w:rFonts w:ascii="Times New Roman" w:hAnsi="Times New Roman"/>
          <w:color w:val="000000"/>
          <w:lang w:bidi="ar-SA"/>
        </w:rPr>
        <w:t xml:space="preserve"> — all level session on USAC data sources.</w:t>
      </w:r>
    </w:p>
    <w:p w:rsidR="00B05DAE" w:rsidRPr="00B05DAE" w:rsidRDefault="00B05DAE" w:rsidP="00B05DAE">
      <w:pPr>
        <w:spacing w:before="120"/>
        <w:ind w:left="2160" w:hanging="1800"/>
        <w:outlineLvl w:val="0"/>
        <w:rPr>
          <w:rFonts w:ascii="Times New Roman" w:hAnsi="Times New Roman"/>
          <w:color w:val="000000"/>
          <w:lang w:bidi="ar-SA"/>
        </w:rPr>
      </w:pPr>
      <w:r w:rsidRPr="00B05DAE">
        <w:rPr>
          <w:rFonts w:ascii="Times New Roman" w:hAnsi="Times New Roman"/>
          <w:color w:val="000000"/>
          <w:lang w:bidi="ar-SA"/>
        </w:rPr>
        <w:t>February 26</w:t>
      </w:r>
      <w:r w:rsidRPr="00B05DAE">
        <w:rPr>
          <w:rFonts w:ascii="Times New Roman" w:hAnsi="Times New Roman"/>
          <w:color w:val="000000"/>
          <w:lang w:bidi="ar-SA"/>
        </w:rPr>
        <w:tab/>
        <w:t>Extended invoice deadline for FY 2017 recurring services.</w:t>
      </w:r>
    </w:p>
    <w:p w:rsidR="00B05DAE" w:rsidRPr="00B05DAE" w:rsidRDefault="00B05DAE" w:rsidP="00B05DAE">
      <w:pPr>
        <w:spacing w:before="120"/>
        <w:ind w:left="2160" w:hanging="1800"/>
        <w:outlineLvl w:val="0"/>
        <w:rPr>
          <w:rFonts w:ascii="Times New Roman" w:hAnsi="Times New Roman"/>
          <w:color w:val="000000"/>
          <w:lang w:bidi="ar-SA"/>
        </w:rPr>
      </w:pPr>
      <w:r w:rsidRPr="00B05DAE">
        <w:rPr>
          <w:rFonts w:ascii="Times New Roman" w:hAnsi="Times New Roman"/>
          <w:color w:val="000000"/>
          <w:lang w:bidi="ar-SA"/>
        </w:rPr>
        <w:t>February 27</w:t>
      </w:r>
      <w:r w:rsidRPr="00B05DAE">
        <w:rPr>
          <w:rFonts w:ascii="Times New Roman" w:hAnsi="Times New Roman"/>
          <w:color w:val="000000"/>
          <w:lang w:bidi="ar-SA"/>
        </w:rPr>
        <w:tab/>
        <w:t>Last day to file a Form 470 to meet the minimum 28-day posting requirement prior to the close of the Form 471 application window.</w:t>
      </w:r>
    </w:p>
    <w:p w:rsidR="00B05DAE" w:rsidRPr="00B05DAE" w:rsidRDefault="00B05DAE" w:rsidP="00B05DAE">
      <w:pPr>
        <w:spacing w:before="120"/>
        <w:ind w:left="2160" w:hanging="1800"/>
        <w:outlineLvl w:val="0"/>
        <w:rPr>
          <w:rFonts w:ascii="Times New Roman" w:hAnsi="Times New Roman"/>
          <w:color w:val="000000"/>
          <w:lang w:bidi="ar-SA"/>
        </w:rPr>
      </w:pPr>
      <w:r w:rsidRPr="00B05DAE">
        <w:rPr>
          <w:rFonts w:ascii="Times New Roman" w:hAnsi="Times New Roman"/>
          <w:color w:val="000000"/>
          <w:lang w:bidi="ar-SA"/>
        </w:rPr>
        <w:t>March 18</w:t>
      </w:r>
      <w:r w:rsidRPr="00B05DAE">
        <w:rPr>
          <w:rFonts w:ascii="Times New Roman" w:hAnsi="Times New Roman"/>
          <w:color w:val="000000"/>
          <w:lang w:bidi="ar-SA"/>
        </w:rPr>
        <w:tab/>
        <w:t>Deadline for submitting comments to the FCC’s NPRM (</w:t>
      </w:r>
      <w:hyperlink r:id="rId11" w:history="1">
        <w:r w:rsidRPr="00B05DAE">
          <w:rPr>
            <w:rFonts w:ascii="Times New Roman" w:hAnsi="Times New Roman"/>
            <w:color w:val="0000FF"/>
            <w:u w:val="single"/>
            <w:lang w:bidi="ar-SA"/>
          </w:rPr>
          <w:t>FCC 19-5</w:t>
        </w:r>
      </w:hyperlink>
      <w:r w:rsidRPr="00B05DAE">
        <w:rPr>
          <w:rFonts w:ascii="Times New Roman" w:hAnsi="Times New Roman"/>
          <w:color w:val="000000"/>
          <w:lang w:bidi="ar-SA"/>
        </w:rPr>
        <w:t xml:space="preserve">) to permanently eliminate the amortization requirement on special construction charges (see our </w:t>
      </w:r>
      <w:hyperlink r:id="rId12" w:anchor="InnerPageAnchor333" w:history="1">
        <w:r w:rsidRPr="00B05DAE">
          <w:rPr>
            <w:rFonts w:ascii="Times New Roman" w:hAnsi="Times New Roman"/>
            <w:color w:val="0000FF"/>
            <w:u w:val="single"/>
            <w:lang w:bidi="ar-SA"/>
          </w:rPr>
          <w:t>newsletter of February 4th</w:t>
        </w:r>
      </w:hyperlink>
      <w:r w:rsidRPr="00B05DAE">
        <w:rPr>
          <w:rFonts w:ascii="Times New Roman" w:hAnsi="Times New Roman"/>
          <w:color w:val="000000"/>
          <w:lang w:bidi="ar-SA"/>
        </w:rPr>
        <w:t>).  Reply comments are due by April 1</w:t>
      </w:r>
      <w:r w:rsidRPr="00B05DAE">
        <w:rPr>
          <w:rFonts w:ascii="Times New Roman" w:hAnsi="Times New Roman"/>
          <w:color w:val="000000"/>
          <w:vertAlign w:val="superscript"/>
          <w:lang w:bidi="ar-SA"/>
        </w:rPr>
        <w:t>st</w:t>
      </w:r>
      <w:r w:rsidRPr="00B05DAE">
        <w:rPr>
          <w:rFonts w:ascii="Times New Roman" w:hAnsi="Times New Roman"/>
          <w:color w:val="000000"/>
          <w:lang w:bidi="ar-SA"/>
        </w:rPr>
        <w:t>.</w:t>
      </w:r>
    </w:p>
    <w:p w:rsidR="00B05DAE" w:rsidRPr="00B05DAE" w:rsidRDefault="00B05DAE" w:rsidP="00B05DAE">
      <w:pPr>
        <w:spacing w:before="120"/>
        <w:ind w:left="2160" w:hanging="1800"/>
        <w:outlineLvl w:val="0"/>
        <w:rPr>
          <w:rFonts w:ascii="Times New Roman" w:hAnsi="Times New Roman"/>
          <w:color w:val="000000"/>
          <w:lang w:bidi="ar-SA"/>
        </w:rPr>
      </w:pPr>
      <w:r w:rsidRPr="00B05DAE">
        <w:rPr>
          <w:rFonts w:ascii="Times New Roman" w:hAnsi="Times New Roman"/>
          <w:color w:val="000000"/>
          <w:lang w:bidi="ar-SA"/>
        </w:rPr>
        <w:t>March 27</w:t>
      </w:r>
      <w:r w:rsidRPr="00B05DAE">
        <w:rPr>
          <w:rFonts w:ascii="Times New Roman" w:hAnsi="Times New Roman"/>
          <w:color w:val="000000"/>
          <w:lang w:bidi="ar-SA"/>
        </w:rPr>
        <w:tab/>
        <w:t>Close of the FY 2019 Form 471 application window.</w:t>
      </w:r>
    </w:p>
    <w:p w:rsidR="00B05DAE" w:rsidRPr="00B05DAE" w:rsidRDefault="00B05DAE" w:rsidP="00B05DAE">
      <w:pPr>
        <w:rPr>
          <w:rFonts w:ascii="Times New Roman" w:hAnsi="Times New Roman"/>
          <w:b/>
          <w:color w:val="1F497D"/>
          <w:sz w:val="36"/>
          <w:szCs w:val="36"/>
        </w:rPr>
      </w:pPr>
      <w:bookmarkStart w:id="24" w:name="_Hlk514143523"/>
      <w:bookmarkStart w:id="25" w:name="_Hlk514143783"/>
      <w:bookmarkStart w:id="26" w:name="_Hlk514143203"/>
      <w:bookmarkEnd w:id="18"/>
      <w:bookmarkEnd w:id="23"/>
    </w:p>
    <w:bookmarkEnd w:id="24"/>
    <w:bookmarkEnd w:id="25"/>
    <w:bookmarkEnd w:id="26"/>
    <w:p w:rsidR="00B05DAE" w:rsidRPr="00B05DAE" w:rsidRDefault="00B05DAE" w:rsidP="00B05DAE">
      <w:pPr>
        <w:rPr>
          <w:rFonts w:ascii="Times New Roman" w:hAnsi="Times New Roman"/>
          <w:b/>
          <w:color w:val="2F5496"/>
        </w:rPr>
      </w:pPr>
      <w:r w:rsidRPr="00B05DAE">
        <w:rPr>
          <w:rFonts w:ascii="Times New Roman" w:hAnsi="Times New Roman"/>
          <w:b/>
          <w:color w:val="2F5496"/>
        </w:rPr>
        <w:t>USAC News Brief Dated February 15 – More Competitive Bidding Reminders</w:t>
      </w:r>
    </w:p>
    <w:p w:rsidR="00B05DAE" w:rsidRPr="00B05DAE" w:rsidRDefault="00B05DAE" w:rsidP="00B05DAE">
      <w:pPr>
        <w:rPr>
          <w:rFonts w:ascii="Times New Roman" w:hAnsi="Times New Roman"/>
          <w:b/>
          <w:color w:val="1F497D"/>
        </w:rPr>
      </w:pPr>
    </w:p>
    <w:p w:rsidR="00B05DAE" w:rsidRPr="00B05DAE" w:rsidRDefault="00B05DAE" w:rsidP="00B05DAE">
      <w:pPr>
        <w:rPr>
          <w:rFonts w:ascii="Times New Roman" w:hAnsi="Times New Roman"/>
        </w:rPr>
      </w:pPr>
      <w:hyperlink r:id="rId13" w:history="1">
        <w:r w:rsidRPr="00B05DAE">
          <w:rPr>
            <w:rFonts w:ascii="Times New Roman" w:hAnsi="Times New Roman"/>
            <w:color w:val="0000FF"/>
            <w:u w:val="single"/>
          </w:rPr>
          <w:t>USAC’s Schools and Libraries News Brief of February 15, 2019</w:t>
        </w:r>
      </w:hyperlink>
      <w:r w:rsidRPr="00B05DAE">
        <w:rPr>
          <w:rFonts w:ascii="Times New Roman" w:hAnsi="Times New Roman"/>
        </w:rPr>
        <w:t xml:space="preserve">, is the third in a series of News Briefs discussing the Form 470 and the competitive bidding process (see also </w:t>
      </w:r>
      <w:hyperlink r:id="rId14" w:history="1">
        <w:r w:rsidRPr="00B05DAE">
          <w:rPr>
            <w:rFonts w:ascii="Times New Roman" w:hAnsi="Times New Roman"/>
            <w:color w:val="0000FF"/>
            <w:u w:val="single"/>
          </w:rPr>
          <w:t>February 1</w:t>
        </w:r>
      </w:hyperlink>
      <w:r w:rsidRPr="00B05DAE">
        <w:rPr>
          <w:rFonts w:ascii="Times New Roman" w:hAnsi="Times New Roman"/>
        </w:rPr>
        <w:t xml:space="preserve"> and </w:t>
      </w:r>
      <w:hyperlink r:id="rId15" w:history="1">
        <w:r w:rsidRPr="00B05DAE">
          <w:rPr>
            <w:rFonts w:ascii="Times New Roman" w:hAnsi="Times New Roman"/>
            <w:color w:val="0000FF"/>
            <w:u w:val="single"/>
          </w:rPr>
          <w:t>February 8</w:t>
        </w:r>
      </w:hyperlink>
      <w:r w:rsidRPr="00B05DAE">
        <w:rPr>
          <w:rFonts w:ascii="Times New Roman" w:hAnsi="Times New Roman"/>
        </w:rPr>
        <w:t>).  Last Friday’s News Brief reviews how service providers can locate and view specific Form 470s or can download summary information on multiple Form 470s.  It briefly discusses the handling of supplier questions and applicant answers.</w:t>
      </w:r>
    </w:p>
    <w:p w:rsidR="00B05DAE" w:rsidRPr="00B05DAE" w:rsidRDefault="00B05DAE" w:rsidP="00B05DAE">
      <w:pPr>
        <w:rPr>
          <w:rFonts w:ascii="Times New Roman" w:hAnsi="Times New Roman"/>
        </w:rPr>
      </w:pPr>
    </w:p>
    <w:p w:rsidR="00B05DAE" w:rsidRPr="00B05DAE" w:rsidRDefault="00B05DAE" w:rsidP="00B05DAE">
      <w:pPr>
        <w:rPr>
          <w:rFonts w:ascii="Times New Roman" w:hAnsi="Times New Roman"/>
        </w:rPr>
      </w:pPr>
      <w:r w:rsidRPr="00B05DAE">
        <w:rPr>
          <w:rFonts w:ascii="Times New Roman" w:hAnsi="Times New Roman"/>
        </w:rPr>
        <w:t xml:space="preserve">The News Brief also provides an update on the transition of review processing to Maximus Federal Systems, USAC’s new Business Process Outsourcing (“BPO”) contractor.  By this time all open cases </w:t>
      </w:r>
      <w:bookmarkStart w:id="27" w:name="_GoBack"/>
      <w:bookmarkEnd w:id="27"/>
      <w:r w:rsidRPr="00B05DAE">
        <w:rPr>
          <w:rFonts w:ascii="Times New Roman" w:hAnsi="Times New Roman"/>
        </w:rPr>
        <w:t xml:space="preserve">(including invoices, appeals, and post-commitment requests) should have been reassigned </w:t>
      </w:r>
      <w:r w:rsidRPr="00B05DAE">
        <w:rPr>
          <w:rFonts w:ascii="Times New Roman" w:hAnsi="Times New Roman"/>
        </w:rPr>
        <w:lastRenderedPageBreak/>
        <w:t>and contact information for the new reviewers should have been provided to the applicable applicants or service providers.</w:t>
      </w:r>
    </w:p>
    <w:p w:rsidR="002B061C" w:rsidRPr="00D81489" w:rsidRDefault="002B061C" w:rsidP="00B05DAE">
      <w:pPr>
        <w:ind w:left="720"/>
        <w:jc w:val="left"/>
        <w:rPr>
          <w:rFonts w:ascii="Times New Roman" w:hAnsi="Times New Roman"/>
          <w:b/>
          <w:color w:val="1F497D"/>
          <w:lang w:bidi="ar-SA"/>
        </w:rPr>
      </w:pPr>
    </w:p>
    <w:p w:rsidR="002B061C" w:rsidRDefault="002B061C" w:rsidP="002B061C">
      <w:pPr>
        <w:rPr>
          <w:rFonts w:ascii="Times New Roman" w:hAnsi="Times New Roman"/>
          <w:i/>
          <w:color w:val="1F3864"/>
        </w:rPr>
      </w:pPr>
    </w:p>
    <w:p w:rsidR="002B061C" w:rsidRDefault="002B061C" w:rsidP="002B061C">
      <w:pPr>
        <w:rPr>
          <w:rFonts w:ascii="Times New Roman" w:hAnsi="Times New Roman"/>
          <w:i/>
          <w:color w:val="1F3864"/>
        </w:rPr>
      </w:pPr>
    </w:p>
    <w:p w:rsidR="002B061C" w:rsidRDefault="002B061C" w:rsidP="002B061C">
      <w:pPr>
        <w:rPr>
          <w:rFonts w:ascii="Times New Roman" w:hAnsi="Times New Roman"/>
          <w:i/>
          <w:color w:val="1F3864"/>
        </w:rPr>
      </w:pPr>
    </w:p>
    <w:p w:rsidR="002D061A" w:rsidRPr="00DF12B3" w:rsidRDefault="002D061A" w:rsidP="002B061C">
      <w:pPr>
        <w:rPr>
          <w:rFonts w:ascii="Times New Roman" w:hAnsi="Times New Roman"/>
          <w:i/>
          <w:color w:val="1F3864"/>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64391A">
      <w:headerReference w:type="default" r:id="rId22"/>
      <w:footerReference w:type="default" r:id="rId23"/>
      <w:headerReference w:type="first" r:id="rId24"/>
      <w:footerReference w:type="first" r:id="rId25"/>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77EBB">
      <w:rPr>
        <w:rStyle w:val="PageNumber"/>
        <w:rFonts w:ascii="Times New Roman" w:hAnsi="Times New Roman"/>
        <w:color w:val="808080"/>
        <w:sz w:val="20"/>
        <w:szCs w:val="20"/>
      </w:rPr>
      <w:t>4</w:t>
    </w:r>
    <w:proofErr w:type="gramEnd"/>
  </w:p>
  <w:p w:rsidR="0017591C" w:rsidRPr="00240AEB" w:rsidRDefault="00B05DAE"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77EBB">
      <w:rPr>
        <w:rStyle w:val="PageNumber"/>
        <w:rFonts w:ascii="Times New Roman" w:hAnsi="Times New Roman"/>
        <w:color w:val="808080"/>
        <w:sz w:val="20"/>
        <w:szCs w:val="20"/>
      </w:rPr>
      <w:t>4</w:t>
    </w:r>
    <w:proofErr w:type="gramEnd"/>
  </w:p>
  <w:p w:rsidR="0017591C" w:rsidRDefault="00B0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B05DAE" w:rsidP="0017591C"/>
  <w:p w:rsidR="0017591C" w:rsidRDefault="00B05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B05DAE"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077EBB">
            <w:rPr>
              <w:rFonts w:ascii="Times New Roman" w:hAnsi="Times New Roman"/>
              <w:b/>
              <w:color w:val="003366"/>
              <w:sz w:val="20"/>
              <w:szCs w:val="20"/>
            </w:rPr>
            <w:t>7</w:t>
          </w:r>
          <w:r w:rsidRPr="00240AEB">
            <w:rPr>
              <w:rFonts w:ascii="Times New Roman" w:hAnsi="Times New Roman"/>
              <w:b/>
              <w:color w:val="003366"/>
              <w:sz w:val="20"/>
              <w:szCs w:val="20"/>
            </w:rPr>
            <w:t xml:space="preserve">    </w:t>
          </w:r>
          <w:r>
            <w:rPr>
              <w:rFonts w:ascii="Times New Roman" w:hAnsi="Times New Roman"/>
              <w:b/>
              <w:color w:val="003366"/>
              <w:sz w:val="20"/>
              <w:szCs w:val="20"/>
            </w:rPr>
            <w:t>February 1</w:t>
          </w:r>
          <w:r w:rsidR="00077EBB">
            <w:rPr>
              <w:rFonts w:ascii="Times New Roman" w:hAnsi="Times New Roman"/>
              <w:b/>
              <w:color w:val="003366"/>
              <w:sz w:val="20"/>
              <w:szCs w:val="20"/>
            </w:rPr>
            <w:t>8</w:t>
          </w:r>
          <w:r>
            <w:rPr>
              <w:rFonts w:ascii="Times New Roman" w:hAnsi="Times New Roman"/>
              <w:b/>
              <w:color w:val="003366"/>
              <w:sz w:val="20"/>
              <w:szCs w:val="20"/>
            </w:rPr>
            <w:t>, 2019</w:t>
          </w:r>
        </w:p>
      </w:tc>
    </w:tr>
  </w:tbl>
  <w:p w:rsidR="0017591C" w:rsidRDefault="00B05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A02B2"/>
    <w:rsid w:val="000A1F4F"/>
    <w:rsid w:val="000A463D"/>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403B39"/>
    <w:rsid w:val="00450A24"/>
    <w:rsid w:val="004715AA"/>
    <w:rsid w:val="0048192A"/>
    <w:rsid w:val="004B06A6"/>
    <w:rsid w:val="004C5588"/>
    <w:rsid w:val="004D358E"/>
    <w:rsid w:val="004E0983"/>
    <w:rsid w:val="004E411E"/>
    <w:rsid w:val="004E69FD"/>
    <w:rsid w:val="004F69C6"/>
    <w:rsid w:val="00554B08"/>
    <w:rsid w:val="005A6819"/>
    <w:rsid w:val="005E612C"/>
    <w:rsid w:val="00611E09"/>
    <w:rsid w:val="00613A75"/>
    <w:rsid w:val="006165F2"/>
    <w:rsid w:val="0061664F"/>
    <w:rsid w:val="0062171A"/>
    <w:rsid w:val="00633DC2"/>
    <w:rsid w:val="006532D5"/>
    <w:rsid w:val="00683399"/>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754A4"/>
    <w:rsid w:val="008756E1"/>
    <w:rsid w:val="00881BCF"/>
    <w:rsid w:val="00895CA0"/>
    <w:rsid w:val="008E52ED"/>
    <w:rsid w:val="008F5CF3"/>
    <w:rsid w:val="00926E4B"/>
    <w:rsid w:val="00941F77"/>
    <w:rsid w:val="00942C67"/>
    <w:rsid w:val="0095251A"/>
    <w:rsid w:val="00952D2B"/>
    <w:rsid w:val="00982577"/>
    <w:rsid w:val="0098429F"/>
    <w:rsid w:val="00984C1D"/>
    <w:rsid w:val="009A2E1A"/>
    <w:rsid w:val="009B7CB1"/>
    <w:rsid w:val="009D1A18"/>
    <w:rsid w:val="009D39E4"/>
    <w:rsid w:val="009F2A2F"/>
    <w:rsid w:val="00A212DD"/>
    <w:rsid w:val="00A34850"/>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600CD"/>
    <w:rsid w:val="00B639A2"/>
    <w:rsid w:val="00B85991"/>
    <w:rsid w:val="00BA13BA"/>
    <w:rsid w:val="00BA62D1"/>
    <w:rsid w:val="00BC0944"/>
    <w:rsid w:val="00BD4EE6"/>
    <w:rsid w:val="00BF48EE"/>
    <w:rsid w:val="00C4071E"/>
    <w:rsid w:val="00C45A68"/>
    <w:rsid w:val="00C574AE"/>
    <w:rsid w:val="00C946D3"/>
    <w:rsid w:val="00CA7B7F"/>
    <w:rsid w:val="00CB54CA"/>
    <w:rsid w:val="00CC3A6A"/>
    <w:rsid w:val="00CD00D3"/>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F00293"/>
    <w:rsid w:val="00F31103"/>
    <w:rsid w:val="00F415BD"/>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C4B2"/>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cc.gov/public/attachments/DA-19-71A1.pdf" TargetMode="External"/><Relationship Id="rId13" Type="http://schemas.openxmlformats.org/officeDocument/2006/relationships/hyperlink" Target="https://e-ratecentral.com/Portals/0/DocFiles/files/sld-news-briefs/878.pdf" TargetMode="External"/><Relationship Id="rId18" Type="http://schemas.openxmlformats.org/officeDocument/2006/relationships/hyperlink" Target="https://www.facebook.com/eratecentr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ratecentral.com/Portals/0/DocFiles/files/fcc/FCC-14-189A1.pdf" TargetMode="External"/><Relationship Id="rId12" Type="http://schemas.openxmlformats.org/officeDocument/2006/relationships/hyperlink" Target="https://e-ratecentral.com/Resources/Newsletters/News-of-the-Week/ArticleID/1815/February-4-2019"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inkedin.com/company/e-rate-central" TargetMode="External"/><Relationship Id="rId20" Type="http://schemas.openxmlformats.org/officeDocument/2006/relationships/hyperlink" Target="https://twitter.com/ERateCentr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fcc.gov/public/attachments/FCC-19-5A1.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ratecentral.com/Portals/0/DocFiles/files/sld-news-briefs/877.pdf" TargetMode="External"/><Relationship Id="rId23" Type="http://schemas.openxmlformats.org/officeDocument/2006/relationships/footer" Target="footer1.xml"/><Relationship Id="rId10" Type="http://schemas.openxmlformats.org/officeDocument/2006/relationships/hyperlink" Target="https://www.usac.org/sl/about/outreach/training/webinars.aspx"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transition.fcc.gov/Daily_Releases/Daily_Business/2017/db0922/DA-17-921A1.pdf" TargetMode="External"/><Relationship Id="rId14" Type="http://schemas.openxmlformats.org/officeDocument/2006/relationships/hyperlink" Target="https://e-ratecentral.com/Portals/0/DocFiles/files/sld-news-briefs/872.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2019-02-16T16:57:00Z</dcterms:created>
  <dcterms:modified xsi:type="dcterms:W3CDTF">2019-02-18T14:36:00Z</dcterms:modified>
</cp:coreProperties>
</file>