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600E3A" w:rsidRPr="00600E3A" w:rsidRDefault="00600E3A" w:rsidP="00600E3A">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600E3A">
        <w:rPr>
          <w:rFonts w:ascii="Times New Roman" w:hAnsi="Times New Roman"/>
        </w:rPr>
        <w:t>Funding Status – FY 2019 and FY 2018</w:t>
      </w:r>
    </w:p>
    <w:p w:rsidR="00600E3A" w:rsidRPr="00600E3A" w:rsidRDefault="00600E3A" w:rsidP="00600E3A">
      <w:pPr>
        <w:numPr>
          <w:ilvl w:val="0"/>
          <w:numId w:val="1"/>
        </w:numPr>
        <w:spacing w:before="120"/>
        <w:jc w:val="left"/>
        <w:outlineLvl w:val="0"/>
        <w:rPr>
          <w:rFonts w:ascii="Times New Roman" w:hAnsi="Times New Roman"/>
        </w:rPr>
      </w:pPr>
      <w:r w:rsidRPr="00600E3A">
        <w:rPr>
          <w:rFonts w:ascii="Times New Roman" w:hAnsi="Times New Roman"/>
        </w:rPr>
        <w:t>Update on the BPO Contractor Transition</w:t>
      </w:r>
    </w:p>
    <w:p w:rsidR="00600E3A" w:rsidRPr="00600E3A" w:rsidRDefault="00600E3A" w:rsidP="00600E3A">
      <w:pPr>
        <w:numPr>
          <w:ilvl w:val="0"/>
          <w:numId w:val="1"/>
        </w:numPr>
        <w:spacing w:before="120"/>
        <w:jc w:val="left"/>
        <w:outlineLvl w:val="0"/>
        <w:rPr>
          <w:rFonts w:ascii="Times New Roman" w:hAnsi="Times New Roman"/>
        </w:rPr>
      </w:pPr>
      <w:r w:rsidRPr="00600E3A">
        <w:rPr>
          <w:rFonts w:ascii="Times New Roman" w:hAnsi="Times New Roman"/>
        </w:rPr>
        <w:t>E-Rate</w:t>
      </w:r>
      <w:r w:rsidRPr="00600E3A">
        <w:rPr>
          <w:rFonts w:ascii="Times New Roman" w:hAnsi="Times New Roman"/>
          <w:i/>
        </w:rPr>
        <w:t xml:space="preserve"> </w:t>
      </w:r>
      <w:r w:rsidRPr="00600E3A">
        <w:rPr>
          <w:rFonts w:ascii="Times New Roman" w:hAnsi="Times New Roman"/>
        </w:rPr>
        <w:t>Updates and Reminders</w:t>
      </w:r>
    </w:p>
    <w:p w:rsidR="00600E3A" w:rsidRPr="00600E3A" w:rsidRDefault="00600E3A" w:rsidP="00600E3A">
      <w:pPr>
        <w:numPr>
          <w:ilvl w:val="1"/>
          <w:numId w:val="1"/>
        </w:numPr>
        <w:spacing w:before="20"/>
        <w:ind w:left="1170"/>
        <w:contextualSpacing/>
        <w:jc w:val="left"/>
        <w:outlineLvl w:val="0"/>
        <w:rPr>
          <w:rFonts w:ascii="Times New Roman" w:hAnsi="Times New Roman"/>
        </w:rPr>
      </w:pPr>
      <w:r w:rsidRPr="00600E3A">
        <w:rPr>
          <w:rFonts w:ascii="Times New Roman" w:hAnsi="Times New Roman"/>
        </w:rPr>
        <w:t>Upcoming E-Rate Dates</w:t>
      </w:r>
    </w:p>
    <w:p w:rsidR="00600E3A" w:rsidRPr="00600E3A" w:rsidRDefault="00600E3A" w:rsidP="00600E3A">
      <w:pPr>
        <w:numPr>
          <w:ilvl w:val="1"/>
          <w:numId w:val="1"/>
        </w:numPr>
        <w:spacing w:before="20"/>
        <w:ind w:left="1170"/>
        <w:contextualSpacing/>
        <w:jc w:val="left"/>
        <w:outlineLvl w:val="0"/>
        <w:rPr>
          <w:rFonts w:ascii="Times New Roman" w:hAnsi="Times New Roman"/>
        </w:rPr>
      </w:pPr>
      <w:r w:rsidRPr="00600E3A">
        <w:rPr>
          <w:rFonts w:ascii="Times New Roman" w:hAnsi="Times New Roman"/>
        </w:rPr>
        <w:t>Category 2 Filings with FCC</w:t>
      </w:r>
    </w:p>
    <w:p w:rsidR="00600E3A" w:rsidRPr="00600E3A" w:rsidRDefault="00600E3A" w:rsidP="00600E3A">
      <w:pPr>
        <w:numPr>
          <w:ilvl w:val="0"/>
          <w:numId w:val="1"/>
        </w:numPr>
        <w:spacing w:before="120"/>
        <w:jc w:val="left"/>
        <w:outlineLvl w:val="0"/>
        <w:rPr>
          <w:rFonts w:ascii="Times New Roman" w:hAnsi="Times New Roman"/>
          <w:b/>
          <w:color w:val="1F497D"/>
          <w:lang w:bidi="ar-SA"/>
        </w:rPr>
      </w:pPr>
      <w:r w:rsidRPr="00600E3A">
        <w:rPr>
          <w:rFonts w:ascii="Times New Roman" w:hAnsi="Times New Roman"/>
        </w:rPr>
        <w:t>USAC News Brief Dated February 22 – Special Characters in EPC Narrative Fields</w:t>
      </w:r>
    </w:p>
    <w:p w:rsidR="00600E3A" w:rsidRPr="00600E3A" w:rsidRDefault="00600E3A" w:rsidP="00600E3A">
      <w:pPr>
        <w:ind w:left="720" w:hanging="360"/>
        <w:rPr>
          <w:rFonts w:ascii="Times New Roman" w:hAnsi="Times New Roman"/>
          <w:b/>
          <w:color w:val="1F497D"/>
          <w:sz w:val="48"/>
          <w:szCs w:val="48"/>
        </w:rPr>
      </w:pPr>
    </w:p>
    <w:p w:rsidR="00600E3A" w:rsidRPr="00600E3A" w:rsidRDefault="00600E3A" w:rsidP="00600E3A">
      <w:pPr>
        <w:rPr>
          <w:rFonts w:ascii="Times New Roman" w:hAnsi="Times New Roman"/>
          <w:b/>
          <w:color w:val="2F5496"/>
        </w:rPr>
      </w:pPr>
      <w:r w:rsidRPr="00600E3A">
        <w:rPr>
          <w:rFonts w:ascii="Times New Roman" w:hAnsi="Times New Roman"/>
          <w:b/>
          <w:color w:val="2F5496"/>
        </w:rPr>
        <w:t>Funding Status – FY 2019 and FY 2018</w:t>
      </w:r>
    </w:p>
    <w:p w:rsidR="00600E3A" w:rsidRPr="00600E3A" w:rsidRDefault="00600E3A" w:rsidP="00600E3A">
      <w:pPr>
        <w:rPr>
          <w:rFonts w:ascii="Times New Roman" w:hAnsi="Times New Roman"/>
        </w:rPr>
      </w:pPr>
    </w:p>
    <w:p w:rsidR="00600E3A" w:rsidRPr="00600E3A" w:rsidRDefault="00600E3A" w:rsidP="00600E3A">
      <w:pPr>
        <w:rPr>
          <w:rFonts w:ascii="Times New Roman" w:hAnsi="Times New Roman"/>
          <w:i/>
          <w:color w:val="2F5496"/>
        </w:rPr>
      </w:pPr>
      <w:r w:rsidRPr="00600E3A">
        <w:rPr>
          <w:rFonts w:ascii="Times New Roman" w:hAnsi="Times New Roman"/>
          <w:i/>
          <w:color w:val="2F5496"/>
        </w:rPr>
        <w:t>FY 2019:</w:t>
      </w:r>
    </w:p>
    <w:p w:rsidR="00600E3A" w:rsidRPr="00600E3A" w:rsidRDefault="00600E3A" w:rsidP="00600E3A">
      <w:pPr>
        <w:rPr>
          <w:rFonts w:ascii="Times New Roman" w:hAnsi="Times New Roman"/>
          <w:i/>
          <w:color w:val="1F3864"/>
        </w:rPr>
      </w:pPr>
    </w:p>
    <w:p w:rsidR="00600E3A" w:rsidRPr="00600E3A" w:rsidRDefault="00600E3A" w:rsidP="00600E3A">
      <w:pPr>
        <w:rPr>
          <w:rFonts w:ascii="Times New Roman" w:hAnsi="Times New Roman"/>
        </w:rPr>
      </w:pPr>
      <w:bookmarkStart w:id="16" w:name="_Hlk533170053"/>
      <w:r w:rsidRPr="00600E3A">
        <w:rPr>
          <w:rFonts w:ascii="Times New Roman" w:hAnsi="Times New Roman"/>
        </w:rPr>
        <w:t>The Form 471 application window is open.  It will close at 11:59 p.m. EDT on Wednesday, March 27</w:t>
      </w:r>
      <w:r w:rsidRPr="00600E3A">
        <w:rPr>
          <w:rFonts w:ascii="Times New Roman" w:hAnsi="Times New Roman"/>
          <w:vertAlign w:val="superscript"/>
        </w:rPr>
        <w:t>th</w:t>
      </w:r>
      <w:r w:rsidRPr="00600E3A">
        <w:rPr>
          <w:rFonts w:ascii="Times New Roman" w:hAnsi="Times New Roman"/>
        </w:rPr>
        <w:t>.</w:t>
      </w:r>
      <w:bookmarkStart w:id="17" w:name="_Hlk533175781"/>
      <w:bookmarkEnd w:id="16"/>
      <w:r w:rsidRPr="00600E3A">
        <w:rPr>
          <w:rFonts w:ascii="Times New Roman" w:hAnsi="Times New Roman"/>
        </w:rPr>
        <w:t xml:space="preserve">  February 27</w:t>
      </w:r>
      <w:r w:rsidRPr="00600E3A">
        <w:rPr>
          <w:rFonts w:ascii="Times New Roman" w:hAnsi="Times New Roman"/>
          <w:vertAlign w:val="superscript"/>
        </w:rPr>
        <w:t>th</w:t>
      </w:r>
      <w:r w:rsidRPr="00600E3A">
        <w:rPr>
          <w:rFonts w:ascii="Times New Roman" w:hAnsi="Times New Roman"/>
        </w:rPr>
        <w:t xml:space="preserve"> is the last possible date to post a Form 470 for FY 2019 that will meet the 28-day posting requirement by the last day of the application window.</w:t>
      </w:r>
    </w:p>
    <w:bookmarkEnd w:id="17"/>
    <w:p w:rsidR="00600E3A" w:rsidRPr="00600E3A" w:rsidRDefault="00600E3A" w:rsidP="00600E3A">
      <w:pPr>
        <w:rPr>
          <w:rFonts w:ascii="Times New Roman" w:hAnsi="Times New Roman"/>
          <w:b/>
          <w:color w:val="1F497D"/>
        </w:rPr>
      </w:pPr>
    </w:p>
    <w:p w:rsidR="00600E3A" w:rsidRPr="00600E3A" w:rsidRDefault="00600E3A" w:rsidP="00600E3A">
      <w:pPr>
        <w:rPr>
          <w:rFonts w:ascii="Times New Roman" w:hAnsi="Times New Roman"/>
          <w:i/>
          <w:color w:val="2F5496"/>
        </w:rPr>
      </w:pPr>
      <w:r w:rsidRPr="00600E3A">
        <w:rPr>
          <w:rFonts w:ascii="Times New Roman" w:hAnsi="Times New Roman"/>
          <w:i/>
          <w:color w:val="2F5496"/>
        </w:rPr>
        <w:t>FY 2018:</w:t>
      </w:r>
    </w:p>
    <w:p w:rsidR="00600E3A" w:rsidRPr="00600E3A" w:rsidRDefault="00600E3A" w:rsidP="00600E3A">
      <w:pPr>
        <w:rPr>
          <w:rFonts w:ascii="Times New Roman" w:hAnsi="Times New Roman"/>
          <w:i/>
          <w:color w:val="1F3864"/>
        </w:rPr>
      </w:pPr>
    </w:p>
    <w:p w:rsidR="002B061C" w:rsidRDefault="00600E3A" w:rsidP="00600E3A">
      <w:pPr>
        <w:rPr>
          <w:rFonts w:ascii="Times New Roman" w:hAnsi="Times New Roman"/>
          <w:color w:val="000000"/>
        </w:rPr>
      </w:pPr>
      <w:r w:rsidRPr="00405526">
        <w:rPr>
          <w:rFonts w:ascii="Times New Roman" w:hAnsi="Times New Roman"/>
        </w:rPr>
        <w:t>USAC issued Wave 46 for FY 2018 on Thursday, February 21</w:t>
      </w:r>
      <w:r w:rsidRPr="00405526">
        <w:rPr>
          <w:rFonts w:ascii="Times New Roman" w:hAnsi="Times New Roman"/>
          <w:vertAlign w:val="superscript"/>
        </w:rPr>
        <w:t>st</w:t>
      </w:r>
      <w:r w:rsidRPr="00405526">
        <w:rPr>
          <w:rFonts w:ascii="Times New Roman" w:hAnsi="Times New Roman"/>
        </w:rPr>
        <w:t>, for $241 thousand.  Cumulative funding as of Wave 46 is</w:t>
      </w:r>
      <w:r w:rsidRPr="00405526">
        <w:rPr>
          <w:rFonts w:ascii="Times New Roman" w:hAnsi="Times New Roman"/>
          <w:color w:val="000000"/>
        </w:rPr>
        <w:t xml:space="preserve"> $2.17 billion</w:t>
      </w:r>
      <w:r w:rsidR="002B061C">
        <w:rPr>
          <w:rFonts w:ascii="Times New Roman" w:hAnsi="Times New Roman"/>
          <w:color w:val="000000"/>
        </w:rPr>
        <w:t>.</w:t>
      </w:r>
    </w:p>
    <w:p w:rsidR="002B061C" w:rsidRPr="004155F0" w:rsidRDefault="002B061C" w:rsidP="002B061C">
      <w:pPr>
        <w:rPr>
          <w:rFonts w:ascii="Times New Roman" w:hAnsi="Times New Roman"/>
          <w:b/>
          <w:color w:val="1F497D"/>
          <w:sz w:val="36"/>
          <w:szCs w:val="36"/>
        </w:rPr>
      </w:pPr>
    </w:p>
    <w:p w:rsidR="009347BB" w:rsidRPr="009347BB" w:rsidRDefault="009347BB" w:rsidP="009347BB">
      <w:pPr>
        <w:rPr>
          <w:rFonts w:ascii="Times New Roman" w:hAnsi="Times New Roman"/>
          <w:b/>
          <w:color w:val="2F5496"/>
          <w:lang w:bidi="ar-SA"/>
        </w:rPr>
      </w:pPr>
      <w:bookmarkStart w:id="18" w:name="_Hlk524285973"/>
      <w:bookmarkEnd w:id="9"/>
      <w:bookmarkEnd w:id="10"/>
      <w:bookmarkEnd w:id="11"/>
      <w:r w:rsidRPr="009347BB">
        <w:rPr>
          <w:rFonts w:ascii="Times New Roman" w:hAnsi="Times New Roman"/>
          <w:b/>
          <w:color w:val="2F5496"/>
          <w:lang w:bidi="ar-SA"/>
        </w:rPr>
        <w:t>Update on the BPO Contractor Transition</w:t>
      </w:r>
    </w:p>
    <w:p w:rsidR="009347BB" w:rsidRPr="009347BB" w:rsidRDefault="009347BB" w:rsidP="009347BB">
      <w:pPr>
        <w:rPr>
          <w:rFonts w:ascii="Times New Roman" w:hAnsi="Times New Roman"/>
          <w:color w:val="1F497D"/>
          <w:shd w:val="clear" w:color="auto" w:fill="FFFFFF"/>
          <w:lang w:bidi="ar-SA"/>
        </w:rPr>
      </w:pPr>
    </w:p>
    <w:p w:rsidR="009347BB" w:rsidRPr="009347BB" w:rsidRDefault="009347BB" w:rsidP="009347BB">
      <w:pPr>
        <w:rPr>
          <w:rFonts w:ascii="Times New Roman" w:hAnsi="Times New Roman"/>
          <w:lang w:bidi="ar-SA"/>
        </w:rPr>
      </w:pPr>
      <w:r w:rsidRPr="009347BB">
        <w:rPr>
          <w:rFonts w:ascii="Times New Roman" w:hAnsi="Times New Roman"/>
          <w:lang w:bidi="ar-SA"/>
        </w:rPr>
        <w:t>Effective January 1</w:t>
      </w:r>
      <w:r w:rsidRPr="009347BB">
        <w:rPr>
          <w:rFonts w:ascii="Times New Roman" w:hAnsi="Times New Roman"/>
          <w:vertAlign w:val="superscript"/>
          <w:lang w:bidi="ar-SA"/>
        </w:rPr>
        <w:t>st</w:t>
      </w:r>
      <w:r w:rsidRPr="009347BB">
        <w:rPr>
          <w:rFonts w:ascii="Times New Roman" w:hAnsi="Times New Roman"/>
          <w:lang w:bidi="ar-SA"/>
        </w:rPr>
        <w:t>, Maximus Federal Systems assumed responsibility for most reviews of applications, invoices, and post-commitment change requests under a new USAC Business Process Outsourcing “(BPO”) contract.  The previous BPO contract had been held for many years by Solix.  The transition from Solix to Maximus is complicated but is proceeding well.</w:t>
      </w:r>
    </w:p>
    <w:p w:rsidR="009347BB" w:rsidRPr="009347BB" w:rsidRDefault="009347BB" w:rsidP="009347BB">
      <w:pPr>
        <w:rPr>
          <w:rFonts w:ascii="Times New Roman" w:hAnsi="Times New Roman"/>
          <w:lang w:bidi="ar-SA"/>
        </w:rPr>
      </w:pPr>
    </w:p>
    <w:p w:rsidR="009347BB" w:rsidRPr="009347BB" w:rsidRDefault="009347BB" w:rsidP="009347BB">
      <w:pPr>
        <w:rPr>
          <w:rFonts w:ascii="Times New Roman" w:hAnsi="Times New Roman"/>
          <w:lang w:bidi="ar-SA"/>
        </w:rPr>
      </w:pPr>
      <w:r w:rsidRPr="009347BB">
        <w:rPr>
          <w:rFonts w:ascii="Times New Roman" w:hAnsi="Times New Roman"/>
          <w:lang w:bidi="ar-SA"/>
        </w:rPr>
        <w:t xml:space="preserve">As discussed in our newsletter of </w:t>
      </w:r>
      <w:hyperlink r:id="rId7" w:anchor="InnerPageAnchor222" w:history="1">
        <w:r w:rsidRPr="009347BB">
          <w:rPr>
            <w:rFonts w:ascii="Times New Roman" w:hAnsi="Times New Roman"/>
            <w:color w:val="0000FF"/>
            <w:u w:val="single"/>
            <w:lang w:bidi="ar-SA"/>
          </w:rPr>
          <w:t>February 4</w:t>
        </w:r>
        <w:r w:rsidRPr="009347BB">
          <w:rPr>
            <w:rFonts w:ascii="Times New Roman" w:hAnsi="Times New Roman"/>
            <w:color w:val="0000FF"/>
            <w:u w:val="single"/>
            <w:vertAlign w:val="superscript"/>
            <w:lang w:bidi="ar-SA"/>
          </w:rPr>
          <w:t>th</w:t>
        </w:r>
      </w:hyperlink>
      <w:r w:rsidRPr="009347BB">
        <w:rPr>
          <w:rFonts w:ascii="Times New Roman" w:hAnsi="Times New Roman"/>
          <w:lang w:bidi="ar-SA"/>
        </w:rPr>
        <w:t>, USAC was assigning Maximus reviewers to all pending forms and requests, and indicated that those reviewers would be emailing all affected applicants by February to provide contact information.  At this point, it appears that all or most of the outstanding cases have been reassigned.  Applicants who have not been contacted should reach out to USAC’s Client Service Bureau (“CSB”) at 888-203-8100.</w:t>
      </w:r>
    </w:p>
    <w:p w:rsidR="009347BB" w:rsidRPr="009347BB" w:rsidRDefault="009347BB" w:rsidP="009347BB">
      <w:pPr>
        <w:rPr>
          <w:rFonts w:ascii="Times New Roman" w:hAnsi="Times New Roman"/>
          <w:lang w:bidi="ar-SA"/>
        </w:rPr>
      </w:pPr>
    </w:p>
    <w:p w:rsidR="009347BB" w:rsidRPr="009347BB" w:rsidRDefault="009347BB" w:rsidP="009347BB">
      <w:pPr>
        <w:rPr>
          <w:rFonts w:ascii="Times New Roman" w:hAnsi="Times New Roman"/>
          <w:lang w:bidi="ar-SA"/>
        </w:rPr>
      </w:pPr>
      <w:r w:rsidRPr="009347BB">
        <w:rPr>
          <w:rFonts w:ascii="Times New Roman" w:hAnsi="Times New Roman"/>
          <w:lang w:bidi="ar-SA"/>
        </w:rPr>
        <w:t>The reviewers themselves — not always easily reached by phone — are actively involved (but still on a bit of a learning curve).  We’re beginning to see progress on long-stalled invoices.  More broadly, PIA review of FY 2019 applications is in full swing.  As of last Friday, EPC showed over 3,600 applications as “Wave Ready” (more than 40% of the applications filed), an informal indication that initial reviews have been completed on these applications.</w:t>
      </w:r>
    </w:p>
    <w:p w:rsidR="009347BB" w:rsidRPr="009347BB" w:rsidRDefault="009347BB" w:rsidP="009347BB">
      <w:pPr>
        <w:rPr>
          <w:rFonts w:ascii="Times New Roman" w:hAnsi="Times New Roman"/>
          <w:lang w:bidi="ar-SA"/>
        </w:rPr>
      </w:pPr>
    </w:p>
    <w:p w:rsidR="009347BB" w:rsidRPr="009347BB" w:rsidRDefault="009347BB" w:rsidP="009347BB">
      <w:pPr>
        <w:spacing w:after="120"/>
        <w:rPr>
          <w:rFonts w:ascii="Times New Roman" w:hAnsi="Times New Roman"/>
          <w:lang w:bidi="ar-SA"/>
        </w:rPr>
      </w:pPr>
      <w:r w:rsidRPr="009347BB">
        <w:rPr>
          <w:rFonts w:ascii="Times New Roman" w:hAnsi="Times New Roman"/>
          <w:lang w:bidi="ar-SA"/>
        </w:rPr>
        <w:lastRenderedPageBreak/>
        <w:t>For applications still under review, applicant contacts will initially be notified of PIA inquiries via emails in the following format.  Note that for ease of reference, an initial inquiry includes the application number in the email subject line.</w:t>
      </w:r>
    </w:p>
    <w:p w:rsidR="009347BB" w:rsidRPr="009347BB" w:rsidRDefault="009347BB" w:rsidP="009347BB">
      <w:pPr>
        <w:rPr>
          <w:rFonts w:ascii="Times New Roman" w:hAnsi="Times New Roman"/>
          <w:lang w:bidi="ar-SA"/>
        </w:rPr>
      </w:pPr>
    </w:p>
    <w:p w:rsidR="009347BB" w:rsidRPr="009347BB" w:rsidRDefault="009347BB" w:rsidP="009347BB">
      <w:pPr>
        <w:ind w:left="540"/>
        <w:rPr>
          <w:rFonts w:ascii="Times New Roman" w:hAnsi="Times New Roman"/>
          <w:lang w:bidi="ar-SA"/>
        </w:rPr>
      </w:pPr>
      <w:r w:rsidRPr="009347BB">
        <w:rPr>
          <w:noProof/>
        </w:rPr>
        <w:drawing>
          <wp:inline distT="0" distB="0" distL="0" distR="0" wp14:anchorId="5F765C93" wp14:editId="5ACA5FF9">
            <wp:extent cx="4953009" cy="4183380"/>
            <wp:effectExtent l="0" t="0" r="0" b="7620"/>
            <wp:docPr id="7" name="Picture 7" descr="C:\Users\WINSTO~1.HIM\AppData\Local\Temp\SNAGHTMLae368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STO~1.HIM\AppData\Local\Temp\SNAGHTMLae3681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9" cy="4183380"/>
                    </a:xfrm>
                    <a:prstGeom prst="rect">
                      <a:avLst/>
                    </a:prstGeom>
                    <a:noFill/>
                    <a:ln>
                      <a:noFill/>
                    </a:ln>
                  </pic:spPr>
                </pic:pic>
              </a:graphicData>
            </a:graphic>
          </wp:inline>
        </w:drawing>
      </w:r>
    </w:p>
    <w:p w:rsidR="009347BB" w:rsidRPr="009347BB" w:rsidRDefault="009347BB" w:rsidP="009347BB">
      <w:pPr>
        <w:ind w:left="720"/>
        <w:rPr>
          <w:rFonts w:ascii="Times New Roman" w:hAnsi="Times New Roman"/>
          <w:lang w:bidi="ar-SA"/>
        </w:rPr>
      </w:pPr>
    </w:p>
    <w:p w:rsidR="009347BB" w:rsidRPr="009347BB" w:rsidRDefault="009347BB" w:rsidP="009347BB">
      <w:pPr>
        <w:rPr>
          <w:rFonts w:ascii="Times New Roman" w:hAnsi="Times New Roman"/>
          <w:lang w:bidi="ar-SA"/>
        </w:rPr>
      </w:pPr>
      <w:r w:rsidRPr="009347BB">
        <w:rPr>
          <w:rFonts w:ascii="Times New Roman" w:hAnsi="Times New Roman"/>
          <w:lang w:bidi="ar-SA"/>
        </w:rPr>
        <w:t xml:space="preserve">           </w:t>
      </w:r>
      <w:r w:rsidRPr="009347BB">
        <w:rPr>
          <w:rFonts w:ascii="Times New Roman" w:hAnsi="Times New Roman"/>
          <w:lang w:bidi="ar-SA"/>
        </w:rPr>
        <w:tab/>
      </w:r>
      <w:r w:rsidRPr="009347BB">
        <w:rPr>
          <w:noProof/>
        </w:rPr>
        <w:drawing>
          <wp:inline distT="0" distB="0" distL="0" distR="0" wp14:anchorId="20D0B4DE" wp14:editId="01B76139">
            <wp:extent cx="4838700" cy="2536451"/>
            <wp:effectExtent l="0" t="0" r="0" b="0"/>
            <wp:docPr id="8" name="Picture 8" descr="C:\Users\WINSTO~1.HIM\AppData\Local\Temp\SNAGHTMLae651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STO~1.HIM\AppData\Local\Temp\SNAGHTMLae651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3550" cy="2559961"/>
                    </a:xfrm>
                    <a:prstGeom prst="rect">
                      <a:avLst/>
                    </a:prstGeom>
                    <a:noFill/>
                    <a:ln>
                      <a:noFill/>
                    </a:ln>
                  </pic:spPr>
                </pic:pic>
              </a:graphicData>
            </a:graphic>
          </wp:inline>
        </w:drawing>
      </w:r>
    </w:p>
    <w:p w:rsidR="009347BB" w:rsidRPr="009347BB" w:rsidRDefault="009347BB" w:rsidP="009347BB">
      <w:pPr>
        <w:rPr>
          <w:rFonts w:ascii="Times New Roman" w:hAnsi="Times New Roman"/>
          <w:lang w:bidi="ar-SA"/>
        </w:rPr>
      </w:pPr>
    </w:p>
    <w:p w:rsidR="009347BB" w:rsidRPr="009347BB" w:rsidRDefault="009347BB" w:rsidP="009347BB">
      <w:pPr>
        <w:spacing w:after="120"/>
        <w:rPr>
          <w:rFonts w:ascii="Times New Roman" w:hAnsi="Times New Roman"/>
          <w:lang w:bidi="ar-SA"/>
        </w:rPr>
      </w:pPr>
      <w:r w:rsidRPr="009347BB">
        <w:rPr>
          <w:rFonts w:ascii="Times New Roman" w:hAnsi="Times New Roman"/>
          <w:lang w:bidi="ar-SA"/>
        </w:rPr>
        <w:t xml:space="preserve">If the applicant has not responded to an inquiry within about a week — the initial request for information usually carries a 15-day due date — a reminder email is sent.  Note that the format for </w:t>
      </w:r>
      <w:r w:rsidRPr="009347BB">
        <w:rPr>
          <w:rFonts w:ascii="Times New Roman" w:hAnsi="Times New Roman"/>
          <w:lang w:bidi="ar-SA"/>
        </w:rPr>
        <w:lastRenderedPageBreak/>
        <w:t>the reminder, shown below, is a bit stark in nature including only a link into EPC.  For applicants responsible for multiple applications, inclusion of the application number would be helpful.</w:t>
      </w:r>
    </w:p>
    <w:p w:rsidR="009347BB" w:rsidRPr="009347BB" w:rsidRDefault="009347BB" w:rsidP="009347BB">
      <w:pPr>
        <w:rPr>
          <w:rFonts w:ascii="Times New Roman" w:hAnsi="Times New Roman"/>
          <w:lang w:bidi="ar-SA"/>
        </w:rPr>
      </w:pPr>
    </w:p>
    <w:p w:rsidR="009347BB" w:rsidRPr="009347BB" w:rsidRDefault="009347BB" w:rsidP="009347BB">
      <w:pPr>
        <w:ind w:left="720"/>
        <w:rPr>
          <w:rFonts w:ascii="Times New Roman" w:hAnsi="Times New Roman"/>
          <w:b/>
          <w:color w:val="2F5496"/>
          <w:sz w:val="36"/>
          <w:szCs w:val="36"/>
        </w:rPr>
      </w:pPr>
      <w:r w:rsidRPr="009347BB">
        <w:rPr>
          <w:noProof/>
        </w:rPr>
        <w:drawing>
          <wp:inline distT="0" distB="0" distL="0" distR="0" wp14:anchorId="73198080" wp14:editId="3463A291">
            <wp:extent cx="5021580" cy="254137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3561" cy="2552494"/>
                    </a:xfrm>
                    <a:prstGeom prst="rect">
                      <a:avLst/>
                    </a:prstGeom>
                  </pic:spPr>
                </pic:pic>
              </a:graphicData>
            </a:graphic>
          </wp:inline>
        </w:drawing>
      </w:r>
    </w:p>
    <w:p w:rsidR="009347BB" w:rsidRPr="009347BB" w:rsidRDefault="009347BB" w:rsidP="009347BB">
      <w:pPr>
        <w:ind w:left="720"/>
        <w:rPr>
          <w:rFonts w:ascii="Times New Roman" w:hAnsi="Times New Roman"/>
          <w:b/>
          <w:color w:val="2F5496"/>
          <w:sz w:val="36"/>
          <w:szCs w:val="36"/>
        </w:rPr>
      </w:pPr>
    </w:p>
    <w:p w:rsidR="009347BB" w:rsidRPr="009347BB" w:rsidRDefault="009347BB" w:rsidP="009347BB">
      <w:pPr>
        <w:rPr>
          <w:rFonts w:ascii="Times New Roman" w:hAnsi="Times New Roman"/>
          <w:b/>
          <w:color w:val="2F5496"/>
        </w:rPr>
      </w:pPr>
      <w:r w:rsidRPr="009347BB">
        <w:rPr>
          <w:rFonts w:ascii="Times New Roman" w:hAnsi="Times New Roman"/>
          <w:b/>
          <w:color w:val="2F5496"/>
        </w:rPr>
        <w:t>E-Rate Updates and Reminders</w:t>
      </w:r>
    </w:p>
    <w:p w:rsidR="009347BB" w:rsidRPr="009347BB" w:rsidRDefault="009347BB" w:rsidP="009347BB">
      <w:pPr>
        <w:ind w:left="720" w:hanging="360"/>
        <w:rPr>
          <w:rFonts w:ascii="Times New Roman" w:hAnsi="Times New Roman"/>
        </w:rPr>
      </w:pPr>
    </w:p>
    <w:p w:rsidR="009347BB" w:rsidRPr="009347BB" w:rsidRDefault="009347BB" w:rsidP="009347BB">
      <w:pPr>
        <w:rPr>
          <w:rFonts w:ascii="Times New Roman" w:hAnsi="Times New Roman"/>
          <w:i/>
          <w:color w:val="2F5496"/>
        </w:rPr>
      </w:pPr>
      <w:bookmarkStart w:id="19" w:name="_Hlk514143144"/>
      <w:bookmarkStart w:id="20" w:name="_Hlk514143132"/>
      <w:r w:rsidRPr="009347BB">
        <w:rPr>
          <w:rFonts w:ascii="Times New Roman" w:hAnsi="Times New Roman"/>
          <w:i/>
          <w:color w:val="2F5496"/>
        </w:rPr>
        <w:t>Upcoming E-Rate Dates:</w:t>
      </w:r>
      <w:bookmarkStart w:id="21" w:name="_Hlk514143767"/>
      <w:bookmarkStart w:id="22" w:name="_Hlk514143153"/>
      <w:bookmarkStart w:id="23" w:name="_Hlk514143462"/>
      <w:bookmarkEnd w:id="19"/>
    </w:p>
    <w:p w:rsidR="009347BB" w:rsidRPr="009347BB" w:rsidRDefault="009347BB" w:rsidP="009347BB">
      <w:pPr>
        <w:rPr>
          <w:rFonts w:ascii="Times New Roman" w:hAnsi="Times New Roman"/>
          <w:color w:val="1F497D"/>
        </w:rPr>
      </w:pPr>
    </w:p>
    <w:bookmarkEnd w:id="20"/>
    <w:bookmarkEnd w:id="21"/>
    <w:bookmarkEnd w:id="22"/>
    <w:p w:rsidR="009347BB" w:rsidRPr="009347BB" w:rsidRDefault="009347BB" w:rsidP="009347BB">
      <w:pPr>
        <w:ind w:left="2160" w:hanging="1800"/>
        <w:outlineLvl w:val="0"/>
        <w:rPr>
          <w:rFonts w:ascii="Times New Roman" w:hAnsi="Times New Roman"/>
          <w:color w:val="000000"/>
          <w:lang w:bidi="ar-SA"/>
        </w:rPr>
      </w:pPr>
      <w:r w:rsidRPr="009347BB">
        <w:rPr>
          <w:rFonts w:ascii="Times New Roman" w:hAnsi="Times New Roman"/>
          <w:color w:val="000000"/>
          <w:lang w:bidi="ar-SA"/>
        </w:rPr>
        <w:t>February 26</w:t>
      </w:r>
      <w:r w:rsidRPr="009347BB">
        <w:rPr>
          <w:rFonts w:ascii="Times New Roman" w:hAnsi="Times New Roman"/>
          <w:color w:val="000000"/>
          <w:lang w:bidi="ar-SA"/>
        </w:rPr>
        <w:tab/>
        <w:t>Extended invoice deadline for FY 2017 recurring services.</w:t>
      </w:r>
    </w:p>
    <w:p w:rsidR="009347BB" w:rsidRPr="009347BB" w:rsidRDefault="009347BB" w:rsidP="009347BB">
      <w:pPr>
        <w:spacing w:before="120"/>
        <w:ind w:left="2160" w:hanging="1800"/>
        <w:outlineLvl w:val="0"/>
        <w:rPr>
          <w:rFonts w:ascii="Times New Roman" w:hAnsi="Times New Roman"/>
          <w:color w:val="000000"/>
          <w:lang w:bidi="ar-SA"/>
        </w:rPr>
      </w:pPr>
      <w:r w:rsidRPr="009347BB">
        <w:rPr>
          <w:rFonts w:ascii="Times New Roman" w:hAnsi="Times New Roman"/>
          <w:color w:val="000000"/>
          <w:lang w:bidi="ar-SA"/>
        </w:rPr>
        <w:t>February 27</w:t>
      </w:r>
      <w:r w:rsidRPr="009347BB">
        <w:rPr>
          <w:rFonts w:ascii="Times New Roman" w:hAnsi="Times New Roman"/>
          <w:color w:val="000000"/>
          <w:lang w:bidi="ar-SA"/>
        </w:rPr>
        <w:tab/>
        <w:t>Last day to file a Form 470 and meet the minimum 28-day posting requirement prior to the close of the Form 471 application window.</w:t>
      </w:r>
    </w:p>
    <w:p w:rsidR="009347BB" w:rsidRPr="009347BB" w:rsidRDefault="009347BB" w:rsidP="009347BB">
      <w:pPr>
        <w:spacing w:before="120"/>
        <w:ind w:left="2160" w:hanging="1800"/>
        <w:outlineLvl w:val="0"/>
        <w:rPr>
          <w:rFonts w:ascii="Times New Roman" w:hAnsi="Times New Roman"/>
          <w:color w:val="000000"/>
          <w:lang w:bidi="ar-SA"/>
        </w:rPr>
      </w:pPr>
      <w:r w:rsidRPr="009347BB">
        <w:rPr>
          <w:rFonts w:ascii="Times New Roman" w:hAnsi="Times New Roman"/>
        </w:rPr>
        <w:t>March 3</w:t>
      </w:r>
      <w:r w:rsidRPr="009347BB">
        <w:rPr>
          <w:rFonts w:ascii="Times New Roman" w:hAnsi="Times New Roman"/>
        </w:rPr>
        <w:tab/>
        <w:t>Form 486 deadline for FY 2018 funding committed in Wave 30.  More generally, the Form 486 deadline is 120 days from the FCDL date or the service start date (typically July 1</w:t>
      </w:r>
      <w:r w:rsidRPr="009347BB">
        <w:rPr>
          <w:rFonts w:ascii="Times New Roman" w:hAnsi="Times New Roman"/>
          <w:vertAlign w:val="superscript"/>
        </w:rPr>
        <w:t>st</w:t>
      </w:r>
      <w:r w:rsidRPr="009347BB">
        <w:rPr>
          <w:rFonts w:ascii="Times New Roman" w:hAnsi="Times New Roman"/>
        </w:rPr>
        <w:t xml:space="preserve">), whichever is later.  </w:t>
      </w:r>
      <w:r w:rsidRPr="009347BB">
        <w:rPr>
          <w:rFonts w:ascii="Times New Roman" w:hAnsi="Times New Roman"/>
          <w:color w:val="000000"/>
        </w:rPr>
        <w:t>Other upcoming Form 486 deadlines are:</w:t>
      </w:r>
    </w:p>
    <w:p w:rsidR="009347BB" w:rsidRPr="009347BB" w:rsidRDefault="009347BB" w:rsidP="009347BB">
      <w:pPr>
        <w:tabs>
          <w:tab w:val="left" w:pos="3240"/>
          <w:tab w:val="left" w:pos="5040"/>
        </w:tabs>
        <w:ind w:left="2880" w:hanging="1800"/>
        <w:outlineLvl w:val="0"/>
        <w:rPr>
          <w:rFonts w:ascii="Times New Roman" w:hAnsi="Times New Roman"/>
          <w:color w:val="000000"/>
          <w:lang w:bidi="ar-SA"/>
        </w:rPr>
      </w:pPr>
      <w:r w:rsidRPr="009347BB">
        <w:rPr>
          <w:rFonts w:ascii="Times New Roman" w:hAnsi="Times New Roman"/>
          <w:color w:val="000000"/>
          <w:lang w:bidi="ar-SA"/>
        </w:rPr>
        <w:tab/>
        <w:t>Wave 31</w:t>
      </w:r>
      <w:r w:rsidRPr="009347BB">
        <w:rPr>
          <w:rFonts w:ascii="Times New Roman" w:hAnsi="Times New Roman"/>
          <w:color w:val="000000"/>
          <w:lang w:bidi="ar-SA"/>
        </w:rPr>
        <w:tab/>
        <w:t>03/11/2019</w:t>
      </w:r>
    </w:p>
    <w:p w:rsidR="009347BB" w:rsidRPr="009347BB" w:rsidRDefault="009347BB" w:rsidP="009347BB">
      <w:pPr>
        <w:tabs>
          <w:tab w:val="left" w:pos="3240"/>
          <w:tab w:val="left" w:pos="5040"/>
        </w:tabs>
        <w:ind w:left="2880" w:hanging="1800"/>
        <w:outlineLvl w:val="0"/>
        <w:rPr>
          <w:rFonts w:ascii="Times New Roman" w:hAnsi="Times New Roman"/>
          <w:color w:val="000000"/>
          <w:lang w:bidi="ar-SA"/>
        </w:rPr>
      </w:pPr>
      <w:r w:rsidRPr="009347BB">
        <w:rPr>
          <w:rFonts w:ascii="Times New Roman" w:hAnsi="Times New Roman"/>
          <w:color w:val="000000"/>
          <w:lang w:bidi="ar-SA"/>
        </w:rPr>
        <w:tab/>
        <w:t>Wave 32</w:t>
      </w:r>
      <w:r w:rsidRPr="009347BB">
        <w:rPr>
          <w:rFonts w:ascii="Times New Roman" w:hAnsi="Times New Roman"/>
          <w:color w:val="000000"/>
          <w:lang w:bidi="ar-SA"/>
        </w:rPr>
        <w:tab/>
        <w:t>03/18/2019</w:t>
      </w:r>
    </w:p>
    <w:p w:rsidR="009347BB" w:rsidRPr="009347BB" w:rsidRDefault="009347BB" w:rsidP="009347BB">
      <w:pPr>
        <w:spacing w:before="120"/>
        <w:ind w:left="2160"/>
        <w:outlineLvl w:val="0"/>
        <w:rPr>
          <w:rFonts w:ascii="Times New Roman" w:hAnsi="Times New Roman"/>
          <w:color w:val="000000"/>
          <w:lang w:bidi="ar-SA"/>
        </w:rPr>
      </w:pPr>
      <w:r w:rsidRPr="009347BB">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9347BB" w:rsidRPr="009347BB" w:rsidRDefault="009347BB" w:rsidP="009347BB">
      <w:pPr>
        <w:spacing w:before="120"/>
        <w:ind w:left="2160" w:hanging="1800"/>
        <w:outlineLvl w:val="0"/>
        <w:rPr>
          <w:rFonts w:ascii="Times New Roman" w:hAnsi="Times New Roman"/>
          <w:color w:val="000000"/>
          <w:lang w:bidi="ar-SA"/>
        </w:rPr>
      </w:pPr>
      <w:r w:rsidRPr="009347BB">
        <w:rPr>
          <w:rFonts w:ascii="Times New Roman" w:hAnsi="Times New Roman"/>
          <w:color w:val="000000"/>
          <w:lang w:bidi="ar-SA"/>
        </w:rPr>
        <w:t>March 5</w:t>
      </w:r>
      <w:r w:rsidRPr="009347BB">
        <w:rPr>
          <w:rFonts w:ascii="Times New Roman" w:hAnsi="Times New Roman"/>
          <w:color w:val="000000"/>
          <w:lang w:bidi="ar-SA"/>
        </w:rPr>
        <w:tab/>
      </w:r>
      <w:hyperlink r:id="rId11" w:history="1">
        <w:r w:rsidRPr="009347BB">
          <w:rPr>
            <w:rFonts w:ascii="Times New Roman" w:hAnsi="Times New Roman"/>
            <w:color w:val="0000FF"/>
            <w:u w:val="single"/>
            <w:lang w:bidi="ar-SA"/>
          </w:rPr>
          <w:t>USAC webinar</w:t>
        </w:r>
      </w:hyperlink>
      <w:r w:rsidRPr="009347BB">
        <w:rPr>
          <w:rFonts w:ascii="Times New Roman" w:hAnsi="Times New Roman"/>
          <w:color w:val="000000"/>
          <w:lang w:bidi="ar-SA"/>
        </w:rPr>
        <w:t xml:space="preserve"> discussing common audit findings.</w:t>
      </w:r>
    </w:p>
    <w:p w:rsidR="009347BB" w:rsidRPr="009347BB" w:rsidRDefault="009347BB" w:rsidP="009347BB">
      <w:pPr>
        <w:spacing w:before="120"/>
        <w:ind w:left="2160" w:hanging="1800"/>
        <w:outlineLvl w:val="0"/>
        <w:rPr>
          <w:rFonts w:ascii="Times New Roman" w:hAnsi="Times New Roman"/>
          <w:color w:val="000000"/>
          <w:lang w:bidi="ar-SA"/>
        </w:rPr>
      </w:pPr>
      <w:r w:rsidRPr="009347BB">
        <w:rPr>
          <w:rFonts w:ascii="Times New Roman" w:hAnsi="Times New Roman"/>
          <w:color w:val="000000"/>
          <w:lang w:bidi="ar-SA"/>
        </w:rPr>
        <w:t>March 18</w:t>
      </w:r>
      <w:r w:rsidRPr="009347BB">
        <w:rPr>
          <w:rFonts w:ascii="Times New Roman" w:hAnsi="Times New Roman"/>
          <w:color w:val="000000"/>
          <w:lang w:bidi="ar-SA"/>
        </w:rPr>
        <w:tab/>
        <w:t>Deadline for submitting comments to the FCC’s NPRM (</w:t>
      </w:r>
      <w:hyperlink r:id="rId12" w:history="1">
        <w:r w:rsidRPr="009347BB">
          <w:rPr>
            <w:rFonts w:ascii="Times New Roman" w:hAnsi="Times New Roman"/>
            <w:color w:val="0000FF"/>
            <w:u w:val="single"/>
            <w:lang w:bidi="ar-SA"/>
          </w:rPr>
          <w:t>FCC 19-5</w:t>
        </w:r>
      </w:hyperlink>
      <w:r w:rsidRPr="009347BB">
        <w:rPr>
          <w:rFonts w:ascii="Times New Roman" w:hAnsi="Times New Roman"/>
          <w:color w:val="000000"/>
          <w:lang w:bidi="ar-SA"/>
        </w:rPr>
        <w:t xml:space="preserve">) to permanently eliminate the amortization requirement on special construction charges (see our </w:t>
      </w:r>
      <w:hyperlink r:id="rId13" w:anchor="InnerPageAnchor333" w:history="1">
        <w:r w:rsidRPr="009347BB">
          <w:rPr>
            <w:rFonts w:ascii="Times New Roman" w:hAnsi="Times New Roman"/>
            <w:color w:val="0000FF"/>
            <w:u w:val="single"/>
            <w:lang w:bidi="ar-SA"/>
          </w:rPr>
          <w:t>newsletter of February 4th</w:t>
        </w:r>
      </w:hyperlink>
      <w:r w:rsidRPr="009347BB">
        <w:rPr>
          <w:rFonts w:ascii="Times New Roman" w:hAnsi="Times New Roman"/>
          <w:color w:val="000000"/>
          <w:lang w:bidi="ar-SA"/>
        </w:rPr>
        <w:t>).  Reply comments are due by April 1</w:t>
      </w:r>
      <w:r w:rsidRPr="009347BB">
        <w:rPr>
          <w:rFonts w:ascii="Times New Roman" w:hAnsi="Times New Roman"/>
          <w:color w:val="000000"/>
          <w:vertAlign w:val="superscript"/>
          <w:lang w:bidi="ar-SA"/>
        </w:rPr>
        <w:t>st</w:t>
      </w:r>
      <w:r w:rsidRPr="009347BB">
        <w:rPr>
          <w:rFonts w:ascii="Times New Roman" w:hAnsi="Times New Roman"/>
          <w:color w:val="000000"/>
          <w:lang w:bidi="ar-SA"/>
        </w:rPr>
        <w:t>.</w:t>
      </w:r>
    </w:p>
    <w:p w:rsidR="009347BB" w:rsidRPr="009347BB" w:rsidRDefault="009347BB" w:rsidP="009347BB">
      <w:pPr>
        <w:spacing w:before="120"/>
        <w:ind w:left="2160" w:hanging="1800"/>
        <w:outlineLvl w:val="0"/>
        <w:rPr>
          <w:rFonts w:ascii="Times New Roman" w:hAnsi="Times New Roman"/>
          <w:color w:val="000000"/>
          <w:lang w:bidi="ar-SA"/>
        </w:rPr>
      </w:pPr>
      <w:r w:rsidRPr="009347BB">
        <w:rPr>
          <w:rFonts w:ascii="Times New Roman" w:hAnsi="Times New Roman"/>
          <w:color w:val="000000"/>
          <w:lang w:bidi="ar-SA"/>
        </w:rPr>
        <w:t>March 27</w:t>
      </w:r>
      <w:r w:rsidRPr="009347BB">
        <w:rPr>
          <w:rFonts w:ascii="Times New Roman" w:hAnsi="Times New Roman"/>
          <w:color w:val="000000"/>
          <w:lang w:bidi="ar-SA"/>
        </w:rPr>
        <w:tab/>
        <w:t>Close of the FY 2019 Form 471 application window.</w:t>
      </w:r>
    </w:p>
    <w:p w:rsidR="009347BB" w:rsidRPr="009347BB" w:rsidRDefault="009347BB" w:rsidP="009347BB">
      <w:pPr>
        <w:rPr>
          <w:rFonts w:ascii="Times New Roman" w:hAnsi="Times New Roman"/>
          <w:b/>
          <w:color w:val="1F497D"/>
        </w:rPr>
      </w:pPr>
      <w:bookmarkStart w:id="24" w:name="_Hlk514143523"/>
      <w:bookmarkStart w:id="25" w:name="_Hlk514143783"/>
      <w:bookmarkStart w:id="26" w:name="_Hlk514143203"/>
      <w:bookmarkEnd w:id="18"/>
      <w:bookmarkEnd w:id="23"/>
    </w:p>
    <w:p w:rsidR="009347BB" w:rsidRDefault="009347BB" w:rsidP="009347BB">
      <w:pPr>
        <w:rPr>
          <w:rFonts w:ascii="Times New Roman" w:hAnsi="Times New Roman"/>
          <w:i/>
          <w:color w:val="2F5496"/>
        </w:rPr>
      </w:pPr>
    </w:p>
    <w:p w:rsidR="009347BB" w:rsidRPr="009347BB" w:rsidRDefault="009347BB" w:rsidP="009347BB">
      <w:pPr>
        <w:rPr>
          <w:rFonts w:ascii="Times New Roman" w:hAnsi="Times New Roman"/>
          <w:i/>
          <w:color w:val="2F5496"/>
        </w:rPr>
      </w:pPr>
      <w:bookmarkStart w:id="27" w:name="_GoBack"/>
      <w:bookmarkEnd w:id="27"/>
      <w:r w:rsidRPr="009347BB">
        <w:rPr>
          <w:rFonts w:ascii="Times New Roman" w:hAnsi="Times New Roman"/>
          <w:i/>
          <w:color w:val="2F5496"/>
        </w:rPr>
        <w:lastRenderedPageBreak/>
        <w:t>Category 2 Filings with FCC:</w:t>
      </w:r>
    </w:p>
    <w:p w:rsidR="009347BB" w:rsidRPr="009347BB" w:rsidRDefault="009347BB" w:rsidP="009347BB">
      <w:pPr>
        <w:rPr>
          <w:rFonts w:ascii="Times New Roman" w:hAnsi="Times New Roman"/>
          <w:i/>
          <w:color w:val="1F3864"/>
        </w:rPr>
      </w:pPr>
    </w:p>
    <w:p w:rsidR="009347BB" w:rsidRPr="009347BB" w:rsidRDefault="009347BB" w:rsidP="009347BB">
      <w:pPr>
        <w:rPr>
          <w:rFonts w:ascii="Times New Roman" w:hAnsi="Times New Roman"/>
        </w:rPr>
      </w:pPr>
      <w:r w:rsidRPr="009347BB">
        <w:rPr>
          <w:rFonts w:ascii="Times New Roman" w:hAnsi="Times New Roman"/>
        </w:rPr>
        <w:t>Following the recent release of the Category 2 analysis report (</w:t>
      </w:r>
      <w:hyperlink r:id="rId14" w:history="1">
        <w:r w:rsidRPr="009347BB">
          <w:rPr>
            <w:rFonts w:ascii="Times New Roman" w:hAnsi="Times New Roman"/>
            <w:color w:val="0000FF"/>
            <w:u w:val="single"/>
          </w:rPr>
          <w:t>DA 19-71</w:t>
        </w:r>
      </w:hyperlink>
      <w:r w:rsidRPr="009347BB">
        <w:rPr>
          <w:rFonts w:ascii="Times New Roman" w:hAnsi="Times New Roman"/>
        </w:rPr>
        <w:t xml:space="preserve">) by the Wireline Competition Bureau (“WCB”) (see our </w:t>
      </w:r>
      <w:hyperlink r:id="rId15" w:anchor="InnerPageAnchor222" w:history="1">
        <w:r w:rsidRPr="009347BB">
          <w:rPr>
            <w:rFonts w:ascii="Times New Roman" w:hAnsi="Times New Roman"/>
            <w:color w:val="0000FF"/>
            <w:u w:val="single"/>
          </w:rPr>
          <w:t>newsletter of February 18th</w:t>
        </w:r>
      </w:hyperlink>
      <w:r w:rsidRPr="009347BB">
        <w:rPr>
          <w:rFonts w:ascii="Times New Roman" w:hAnsi="Times New Roman"/>
        </w:rPr>
        <w:t xml:space="preserve">), two national organizations, the State E-Rate Coordinators’ Alliance (“SECA”) and the Schools, Health &amp; Libraries Broadband (“SHLB”) Coalition, submitted </w:t>
      </w:r>
      <w:r w:rsidRPr="009347BB">
        <w:rPr>
          <w:rFonts w:ascii="Times New Roman" w:hAnsi="Times New Roman"/>
          <w:i/>
        </w:rPr>
        <w:t xml:space="preserve">ex </w:t>
      </w:r>
      <w:proofErr w:type="spellStart"/>
      <w:r w:rsidRPr="009347BB">
        <w:rPr>
          <w:rFonts w:ascii="Times New Roman" w:hAnsi="Times New Roman"/>
          <w:i/>
        </w:rPr>
        <w:t>parte</w:t>
      </w:r>
      <w:proofErr w:type="spellEnd"/>
      <w:r w:rsidRPr="009347BB">
        <w:rPr>
          <w:rFonts w:ascii="Times New Roman" w:hAnsi="Times New Roman"/>
        </w:rPr>
        <w:t xml:space="preserve"> letters to the FCC urging expedited release of a Notice of Public Rulemaking (“NPRM”) to address Category 2 budget rules for FY 2020 and beyond.  Both organizations stressed the importance of having forward-looking Category 2 rules in place by the time the competitive bidding cycle begins, and the FY 2020 Form 470 is made available, on July 1, 2019.</w:t>
      </w:r>
    </w:p>
    <w:p w:rsidR="009347BB" w:rsidRPr="009347BB" w:rsidRDefault="009347BB" w:rsidP="009347BB">
      <w:pPr>
        <w:rPr>
          <w:rFonts w:ascii="Times New Roman" w:hAnsi="Times New Roman"/>
          <w:b/>
          <w:color w:val="1F497D"/>
        </w:rPr>
      </w:pPr>
    </w:p>
    <w:p w:rsidR="009347BB" w:rsidRPr="009347BB" w:rsidRDefault="009347BB" w:rsidP="009347BB">
      <w:pPr>
        <w:rPr>
          <w:rFonts w:ascii="Times New Roman" w:hAnsi="Times New Roman"/>
        </w:rPr>
      </w:pPr>
      <w:r w:rsidRPr="009347BB">
        <w:rPr>
          <w:rFonts w:ascii="Times New Roman" w:hAnsi="Times New Roman"/>
        </w:rPr>
        <w:t xml:space="preserve">The </w:t>
      </w:r>
      <w:hyperlink r:id="rId16" w:history="1">
        <w:r w:rsidRPr="009347BB">
          <w:rPr>
            <w:rFonts w:ascii="Times New Roman" w:hAnsi="Times New Roman"/>
            <w:color w:val="0000FF"/>
            <w:u w:val="single"/>
          </w:rPr>
          <w:t>SHLB letter</w:t>
        </w:r>
      </w:hyperlink>
      <w:r w:rsidRPr="009347BB">
        <w:rPr>
          <w:rFonts w:ascii="Times New Roman" w:hAnsi="Times New Roman"/>
        </w:rPr>
        <w:t xml:space="preserve"> also sought immediate clarification of the existing Category 2 rules with regard to the status of applicant budgets begun as of or after FY 2016.  Although the FCC’s First E-rate Modernization Order (</w:t>
      </w:r>
      <w:hyperlink r:id="rId17" w:history="1">
        <w:r w:rsidRPr="009347BB">
          <w:rPr>
            <w:rFonts w:ascii="Times New Roman" w:hAnsi="Times New Roman"/>
            <w:color w:val="0000FF"/>
            <w:u w:val="single"/>
          </w:rPr>
          <w:t>FCC 14-99</w:t>
        </w:r>
      </w:hyperlink>
      <w:r w:rsidRPr="009347BB">
        <w:rPr>
          <w:rFonts w:ascii="Times New Roman" w:hAnsi="Times New Roman"/>
        </w:rPr>
        <w:t>, ¶ 107) and the WCB’s recent report (footnote 36) both indicate that FY 2016-2019 budgets all extend a full five years through FY 2020-2023, respectively, USAC has been reluctant to confirm that the existing rules specify rolling five-year budgets.</w:t>
      </w:r>
    </w:p>
    <w:p w:rsidR="009347BB" w:rsidRPr="009347BB" w:rsidRDefault="009347BB" w:rsidP="009347BB">
      <w:pPr>
        <w:rPr>
          <w:rFonts w:ascii="Times New Roman" w:hAnsi="Times New Roman"/>
        </w:rPr>
      </w:pPr>
    </w:p>
    <w:p w:rsidR="009347BB" w:rsidRPr="009347BB" w:rsidRDefault="009347BB" w:rsidP="009347BB">
      <w:pPr>
        <w:spacing w:after="160"/>
        <w:rPr>
          <w:rFonts w:ascii="Times New Roman" w:hAnsi="Times New Roman"/>
        </w:rPr>
      </w:pPr>
      <w:r w:rsidRPr="009347BB">
        <w:rPr>
          <w:rFonts w:ascii="Times New Roman" w:hAnsi="Times New Roman"/>
        </w:rPr>
        <w:t xml:space="preserve">The </w:t>
      </w:r>
      <w:hyperlink r:id="rId18" w:history="1">
        <w:r w:rsidRPr="009347BB">
          <w:rPr>
            <w:rFonts w:ascii="Times New Roman" w:hAnsi="Times New Roman"/>
            <w:color w:val="0000FF"/>
            <w:u w:val="single"/>
          </w:rPr>
          <w:t>SECA letter</w:t>
        </w:r>
      </w:hyperlink>
      <w:r w:rsidRPr="009347BB">
        <w:rPr>
          <w:rFonts w:ascii="Times New Roman" w:hAnsi="Times New Roman"/>
        </w:rPr>
        <w:t>, while focusing on the need for an NPRM, also includes several footnotes suggesting revisions to the Category 2 rules, including:</w:t>
      </w:r>
    </w:p>
    <w:p w:rsidR="009347BB" w:rsidRPr="009347BB" w:rsidRDefault="009347BB" w:rsidP="009347BB">
      <w:pPr>
        <w:numPr>
          <w:ilvl w:val="0"/>
          <w:numId w:val="5"/>
        </w:numPr>
        <w:spacing w:after="60"/>
        <w:ind w:left="720"/>
        <w:rPr>
          <w:rFonts w:ascii="Times New Roman" w:hAnsi="Times New Roman"/>
        </w:rPr>
      </w:pPr>
      <w:r w:rsidRPr="009347BB">
        <w:rPr>
          <w:rFonts w:ascii="Times New Roman" w:hAnsi="Times New Roman"/>
        </w:rPr>
        <w:t>Re-setting the Category 2 budgets for all entities in FY 2020.</w:t>
      </w:r>
    </w:p>
    <w:p w:rsidR="009347BB" w:rsidRPr="009347BB" w:rsidRDefault="009347BB" w:rsidP="009347BB">
      <w:pPr>
        <w:numPr>
          <w:ilvl w:val="0"/>
          <w:numId w:val="5"/>
        </w:numPr>
        <w:spacing w:after="60"/>
        <w:ind w:left="720"/>
        <w:rPr>
          <w:rFonts w:ascii="Times New Roman" w:hAnsi="Times New Roman"/>
        </w:rPr>
      </w:pPr>
      <w:r w:rsidRPr="009347BB">
        <w:rPr>
          <w:rFonts w:ascii="Times New Roman" w:hAnsi="Times New Roman"/>
        </w:rPr>
        <w:t>Allocating Category 2 budgets on a school districtwide or library systemwide basis.</w:t>
      </w:r>
    </w:p>
    <w:p w:rsidR="009347BB" w:rsidRPr="009347BB" w:rsidRDefault="009347BB" w:rsidP="009347BB">
      <w:pPr>
        <w:numPr>
          <w:ilvl w:val="0"/>
          <w:numId w:val="5"/>
        </w:numPr>
        <w:ind w:left="720"/>
        <w:contextualSpacing/>
        <w:rPr>
          <w:rFonts w:ascii="Times New Roman" w:hAnsi="Times New Roman"/>
        </w:rPr>
      </w:pPr>
      <w:r w:rsidRPr="009347BB">
        <w:rPr>
          <w:rFonts w:ascii="Times New Roman" w:hAnsi="Times New Roman"/>
        </w:rPr>
        <w:t>Anticipating future inflation and setting prospective budget multipliers at levels that can be held fixed for all five years.</w:t>
      </w:r>
    </w:p>
    <w:p w:rsidR="009347BB" w:rsidRPr="009347BB" w:rsidRDefault="009347BB" w:rsidP="009347BB">
      <w:pPr>
        <w:rPr>
          <w:rFonts w:ascii="Times New Roman" w:hAnsi="Times New Roman"/>
          <w:b/>
          <w:color w:val="1F497D"/>
          <w:sz w:val="36"/>
          <w:szCs w:val="36"/>
        </w:rPr>
      </w:pPr>
    </w:p>
    <w:bookmarkEnd w:id="24"/>
    <w:bookmarkEnd w:id="25"/>
    <w:bookmarkEnd w:id="26"/>
    <w:p w:rsidR="009347BB" w:rsidRPr="009347BB" w:rsidRDefault="009347BB" w:rsidP="009347BB">
      <w:pPr>
        <w:rPr>
          <w:rFonts w:ascii="Times New Roman" w:hAnsi="Times New Roman"/>
          <w:b/>
          <w:color w:val="2F5496"/>
        </w:rPr>
      </w:pPr>
      <w:r w:rsidRPr="009347BB">
        <w:rPr>
          <w:rFonts w:ascii="Times New Roman" w:hAnsi="Times New Roman"/>
          <w:b/>
          <w:color w:val="2F5496"/>
        </w:rPr>
        <w:t>USAC News Brief Dated February 22 – Special Characters in EPC Narrative Fields</w:t>
      </w:r>
    </w:p>
    <w:p w:rsidR="009347BB" w:rsidRPr="009347BB" w:rsidRDefault="009347BB" w:rsidP="009347BB">
      <w:pPr>
        <w:rPr>
          <w:rFonts w:ascii="Times New Roman" w:hAnsi="Times New Roman"/>
          <w:b/>
          <w:color w:val="1F497D"/>
        </w:rPr>
      </w:pPr>
    </w:p>
    <w:p w:rsidR="009347BB" w:rsidRPr="009347BB" w:rsidRDefault="009347BB" w:rsidP="009347BB">
      <w:pPr>
        <w:rPr>
          <w:rFonts w:ascii="Times New Roman" w:hAnsi="Times New Roman"/>
          <w:color w:val="333333"/>
        </w:rPr>
      </w:pPr>
      <w:hyperlink r:id="rId19" w:history="1">
        <w:r w:rsidRPr="009347BB">
          <w:rPr>
            <w:rFonts w:ascii="Times New Roman" w:hAnsi="Times New Roman"/>
            <w:color w:val="0000FF"/>
            <w:u w:val="single"/>
          </w:rPr>
          <w:t>USAC’s Schools and Libraries News Brief of February 22, 2019</w:t>
        </w:r>
      </w:hyperlink>
      <w:r w:rsidRPr="009347BB">
        <w:rPr>
          <w:rFonts w:ascii="Times New Roman" w:hAnsi="Times New Roman"/>
        </w:rPr>
        <w:t>, explains that text containing special characters (e.g.</w:t>
      </w:r>
      <w:proofErr w:type="gramStart"/>
      <w:r w:rsidRPr="009347BB">
        <w:rPr>
          <w:rFonts w:ascii="Times New Roman" w:hAnsi="Times New Roman"/>
        </w:rPr>
        <w:t xml:space="preserve">, </w:t>
      </w:r>
      <w:r w:rsidRPr="009347BB">
        <w:rPr>
          <w:rFonts w:ascii="Times New Roman" w:hAnsi="Times New Roman"/>
          <w:color w:val="333333"/>
        </w:rPr>
        <w:t>!</w:t>
      </w:r>
      <w:proofErr w:type="gramEnd"/>
      <w:r w:rsidRPr="009347BB">
        <w:rPr>
          <w:rFonts w:ascii="Times New Roman" w:hAnsi="Times New Roman"/>
          <w:color w:val="333333"/>
        </w:rPr>
        <w:t>#$%^&amp;*-=+?&lt;&gt;/\) cannot always be copied and pasted from Word or other word-processing files into EPC narrative fields.  Attempting to do so will generate error messages.  The reason is that word-processing programs often utilize specialized formatting for such characters which cannot be handled by EPC.  We have seen similar problems arise when using specialized characters in filenames for files to be uploaded into EPC.</w:t>
      </w:r>
    </w:p>
    <w:p w:rsidR="009347BB" w:rsidRPr="009347BB" w:rsidRDefault="009347BB" w:rsidP="009347BB">
      <w:pPr>
        <w:rPr>
          <w:rFonts w:ascii="Times New Roman" w:hAnsi="Times New Roman"/>
        </w:rPr>
      </w:pPr>
    </w:p>
    <w:p w:rsidR="009347BB" w:rsidRPr="009347BB" w:rsidRDefault="009347BB" w:rsidP="009347BB">
      <w:pPr>
        <w:rPr>
          <w:rFonts w:ascii="Times New Roman" w:hAnsi="Times New Roman"/>
        </w:rPr>
      </w:pPr>
      <w:r w:rsidRPr="009347BB">
        <w:rPr>
          <w:rFonts w:ascii="Times New Roman" w:hAnsi="Times New Roman"/>
        </w:rPr>
        <w:t>The News Brief describes a process for removing the specialized formatting from these characters, but it is generally easier to simply avoid use of the characters altogether or to type them into EPC directly (rather than copying and pasting them from a word processing program).</w:t>
      </w:r>
    </w:p>
    <w:p w:rsidR="009347BB" w:rsidRPr="009347BB" w:rsidRDefault="009347BB" w:rsidP="009347BB">
      <w:pPr>
        <w:rPr>
          <w:rFonts w:ascii="Times New Roman" w:hAnsi="Times New Roman"/>
        </w:rPr>
      </w:pPr>
    </w:p>
    <w:p w:rsidR="009347BB" w:rsidRPr="009347BB" w:rsidRDefault="009347BB" w:rsidP="009347BB">
      <w:pPr>
        <w:spacing w:after="160" w:line="225" w:lineRule="atLeast"/>
        <w:jc w:val="left"/>
        <w:rPr>
          <w:rFonts w:ascii="Verdana" w:hAnsi="Verdana"/>
          <w:color w:val="333333"/>
          <w:sz w:val="18"/>
          <w:szCs w:val="18"/>
          <w:lang w:bidi="ar-SA"/>
        </w:rPr>
      </w:pPr>
      <w:r w:rsidRPr="009347BB">
        <w:rPr>
          <w:rFonts w:ascii="Times New Roman" w:hAnsi="Times New Roman"/>
        </w:rPr>
        <w:t>Last week’s News Brief also highlights the March 5</w:t>
      </w:r>
      <w:r w:rsidRPr="009347BB">
        <w:rPr>
          <w:rFonts w:ascii="Times New Roman" w:hAnsi="Times New Roman"/>
          <w:vertAlign w:val="superscript"/>
        </w:rPr>
        <w:t>th</w:t>
      </w:r>
      <w:r w:rsidRPr="009347BB">
        <w:rPr>
          <w:rFonts w:ascii="Times New Roman" w:hAnsi="Times New Roman"/>
        </w:rPr>
        <w:t xml:space="preserve"> auditing webinar noted above, and lists the following online videos for last-minute Form 470 filers:</w:t>
      </w:r>
      <w:r w:rsidRPr="009347BB">
        <w:rPr>
          <w:rFonts w:ascii="Verdana" w:hAnsi="Verdana"/>
          <w:color w:val="333333"/>
          <w:sz w:val="18"/>
          <w:szCs w:val="18"/>
        </w:rPr>
        <w:t xml:space="preserve"> </w:t>
      </w:r>
    </w:p>
    <w:p w:rsidR="009347BB" w:rsidRPr="009347BB" w:rsidRDefault="009347BB" w:rsidP="009347BB">
      <w:pPr>
        <w:numPr>
          <w:ilvl w:val="0"/>
          <w:numId w:val="7"/>
        </w:numPr>
        <w:spacing w:after="60" w:line="225" w:lineRule="atLeast"/>
        <w:jc w:val="left"/>
        <w:rPr>
          <w:rFonts w:ascii="Times New Roman" w:hAnsi="Times New Roman"/>
          <w:color w:val="333333"/>
          <w:lang w:bidi="ar-SA"/>
        </w:rPr>
      </w:pPr>
      <w:hyperlink r:id="rId20" w:history="1">
        <w:r w:rsidRPr="009347BB">
          <w:rPr>
            <w:rFonts w:ascii="Times New Roman" w:hAnsi="Times New Roman"/>
            <w:color w:val="0000FF"/>
            <w:u w:val="single"/>
          </w:rPr>
          <w:t>Starting Your FCC Form 470</w:t>
        </w:r>
      </w:hyperlink>
    </w:p>
    <w:p w:rsidR="009347BB" w:rsidRPr="009347BB" w:rsidRDefault="009347BB" w:rsidP="009347BB">
      <w:pPr>
        <w:numPr>
          <w:ilvl w:val="0"/>
          <w:numId w:val="7"/>
        </w:numPr>
        <w:spacing w:after="60" w:line="225" w:lineRule="atLeast"/>
        <w:jc w:val="left"/>
        <w:rPr>
          <w:rFonts w:ascii="Times New Roman" w:hAnsi="Times New Roman"/>
          <w:color w:val="333333"/>
        </w:rPr>
      </w:pPr>
      <w:hyperlink r:id="rId21" w:history="1">
        <w:r w:rsidRPr="009347BB">
          <w:rPr>
            <w:rFonts w:ascii="Times New Roman" w:hAnsi="Times New Roman"/>
            <w:color w:val="0000FF"/>
            <w:u w:val="single"/>
          </w:rPr>
          <w:t>Service Requests: Category One and Category Two</w:t>
        </w:r>
      </w:hyperlink>
    </w:p>
    <w:p w:rsidR="009347BB" w:rsidRPr="009347BB" w:rsidRDefault="009347BB" w:rsidP="009347BB">
      <w:pPr>
        <w:numPr>
          <w:ilvl w:val="0"/>
          <w:numId w:val="7"/>
        </w:numPr>
        <w:spacing w:after="60" w:line="225" w:lineRule="atLeast"/>
        <w:jc w:val="left"/>
        <w:rPr>
          <w:rFonts w:ascii="Times New Roman" w:hAnsi="Times New Roman"/>
          <w:color w:val="333333"/>
        </w:rPr>
      </w:pPr>
      <w:hyperlink r:id="rId22" w:history="1">
        <w:r w:rsidRPr="009347BB">
          <w:rPr>
            <w:rFonts w:ascii="Times New Roman" w:hAnsi="Times New Roman"/>
            <w:color w:val="0000FF"/>
            <w:u w:val="single"/>
          </w:rPr>
          <w:t>Technical Contact and Procurement Information</w:t>
        </w:r>
      </w:hyperlink>
    </w:p>
    <w:p w:rsidR="009347BB" w:rsidRPr="009347BB" w:rsidRDefault="009347BB" w:rsidP="009347BB">
      <w:pPr>
        <w:numPr>
          <w:ilvl w:val="0"/>
          <w:numId w:val="7"/>
        </w:numPr>
        <w:spacing w:after="60" w:line="225" w:lineRule="atLeast"/>
        <w:jc w:val="left"/>
        <w:rPr>
          <w:rFonts w:ascii="Times New Roman" w:hAnsi="Times New Roman"/>
          <w:color w:val="333333"/>
        </w:rPr>
      </w:pPr>
      <w:hyperlink r:id="rId23" w:history="1">
        <w:r w:rsidRPr="009347BB">
          <w:rPr>
            <w:rFonts w:ascii="Times New Roman" w:hAnsi="Times New Roman"/>
            <w:color w:val="0000FF"/>
            <w:u w:val="single"/>
          </w:rPr>
          <w:t>FCC Form 470 Review and Certification</w:t>
        </w:r>
      </w:hyperlink>
    </w:p>
    <w:p w:rsidR="009347BB" w:rsidRPr="009347BB" w:rsidRDefault="009347BB" w:rsidP="009347BB">
      <w:pPr>
        <w:numPr>
          <w:ilvl w:val="0"/>
          <w:numId w:val="7"/>
        </w:numPr>
        <w:spacing w:after="60" w:line="225" w:lineRule="atLeast"/>
        <w:jc w:val="left"/>
        <w:rPr>
          <w:rFonts w:ascii="Times New Roman" w:hAnsi="Times New Roman"/>
          <w:color w:val="333333"/>
        </w:rPr>
      </w:pPr>
      <w:hyperlink r:id="rId24" w:history="1">
        <w:r w:rsidRPr="009347BB">
          <w:rPr>
            <w:rFonts w:ascii="Times New Roman" w:hAnsi="Times New Roman"/>
            <w:color w:val="0000FF"/>
            <w:u w:val="single"/>
          </w:rPr>
          <w:t>Post an Additional RFP Document</w:t>
        </w:r>
      </w:hyperlink>
    </w:p>
    <w:p w:rsidR="009347BB" w:rsidRPr="009347BB" w:rsidRDefault="009347BB" w:rsidP="009347BB">
      <w:pPr>
        <w:numPr>
          <w:ilvl w:val="0"/>
          <w:numId w:val="6"/>
        </w:numPr>
        <w:contextualSpacing/>
        <w:rPr>
          <w:rFonts w:ascii="Times New Roman" w:hAnsi="Times New Roman"/>
        </w:rPr>
      </w:pPr>
      <w:hyperlink r:id="rId25" w:history="1">
        <w:r w:rsidRPr="009347BB">
          <w:rPr>
            <w:rFonts w:ascii="Times New Roman" w:hAnsi="Times New Roman"/>
            <w:color w:val="0000FF"/>
            <w:u w:val="single"/>
          </w:rPr>
          <w:t>How to Search for FCC Forms 470</w:t>
        </w:r>
      </w:hyperlink>
    </w:p>
    <w:p w:rsidR="002B061C" w:rsidRDefault="002B061C" w:rsidP="002B061C">
      <w:pPr>
        <w:rPr>
          <w:rFonts w:ascii="Times New Roman" w:hAnsi="Times New Roman"/>
          <w:i/>
          <w:color w:val="1F3864"/>
        </w:rPr>
      </w:pPr>
    </w:p>
    <w:p w:rsidR="002B061C" w:rsidRDefault="002B061C" w:rsidP="002B061C">
      <w:pPr>
        <w:rPr>
          <w:rFonts w:ascii="Times New Roman" w:hAnsi="Times New Roman"/>
          <w:i/>
          <w:color w:val="1F3864"/>
        </w:rPr>
      </w:pPr>
    </w:p>
    <w:p w:rsidR="002D061A" w:rsidRPr="00DF12B3" w:rsidRDefault="002D061A" w:rsidP="002B061C">
      <w:pPr>
        <w:rPr>
          <w:rFonts w:ascii="Times New Roman" w:hAnsi="Times New Roman"/>
          <w:i/>
          <w:color w:val="1F3864"/>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64391A">
      <w:headerReference w:type="default" r:id="rId32"/>
      <w:footerReference w:type="default" r:id="rId33"/>
      <w:headerReference w:type="first" r:id="rId34"/>
      <w:footerReference w:type="first" r:id="rId35"/>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8666A9">
      <w:rPr>
        <w:rStyle w:val="PageNumber"/>
        <w:rFonts w:ascii="Times New Roman" w:hAnsi="Times New Roman"/>
        <w:color w:val="808080"/>
        <w:sz w:val="20"/>
        <w:szCs w:val="20"/>
      </w:rPr>
      <w:t>5</w:t>
    </w:r>
    <w:proofErr w:type="gramEnd"/>
  </w:p>
  <w:p w:rsidR="0017591C" w:rsidRPr="00240AEB" w:rsidRDefault="009347BB"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8666A9">
      <w:rPr>
        <w:rStyle w:val="PageNumber"/>
        <w:rFonts w:ascii="Times New Roman" w:hAnsi="Times New Roman"/>
        <w:color w:val="808080"/>
        <w:sz w:val="20"/>
        <w:szCs w:val="20"/>
      </w:rPr>
      <w:t>5</w:t>
    </w:r>
    <w:proofErr w:type="gramEnd"/>
  </w:p>
  <w:p w:rsidR="0017591C" w:rsidRDefault="0093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9347BB" w:rsidP="0017591C"/>
  <w:p w:rsidR="0017591C" w:rsidRDefault="00934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9347BB"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8666A9">
            <w:rPr>
              <w:rFonts w:ascii="Times New Roman" w:hAnsi="Times New Roman"/>
              <w:b/>
              <w:color w:val="003366"/>
              <w:sz w:val="20"/>
              <w:szCs w:val="20"/>
            </w:rPr>
            <w:t>8</w:t>
          </w:r>
          <w:r w:rsidRPr="00240AEB">
            <w:rPr>
              <w:rFonts w:ascii="Times New Roman" w:hAnsi="Times New Roman"/>
              <w:b/>
              <w:color w:val="003366"/>
              <w:sz w:val="20"/>
              <w:szCs w:val="20"/>
            </w:rPr>
            <w:t xml:space="preserve">    </w:t>
          </w:r>
          <w:r>
            <w:rPr>
              <w:rFonts w:ascii="Times New Roman" w:hAnsi="Times New Roman"/>
              <w:b/>
              <w:color w:val="003366"/>
              <w:sz w:val="20"/>
              <w:szCs w:val="20"/>
            </w:rPr>
            <w:t xml:space="preserve">February </w:t>
          </w:r>
          <w:r w:rsidR="008666A9">
            <w:rPr>
              <w:rFonts w:ascii="Times New Roman" w:hAnsi="Times New Roman"/>
              <w:b/>
              <w:color w:val="003366"/>
              <w:sz w:val="20"/>
              <w:szCs w:val="20"/>
            </w:rPr>
            <w:t>25</w:t>
          </w:r>
          <w:r>
            <w:rPr>
              <w:rFonts w:ascii="Times New Roman" w:hAnsi="Times New Roman"/>
              <w:b/>
              <w:color w:val="003366"/>
              <w:sz w:val="20"/>
              <w:szCs w:val="20"/>
            </w:rPr>
            <w:t>, 2019</w:t>
          </w:r>
        </w:p>
      </w:tc>
    </w:tr>
  </w:tbl>
  <w:p w:rsidR="0017591C" w:rsidRDefault="0093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A02B2"/>
    <w:rsid w:val="000A1F4F"/>
    <w:rsid w:val="000A463D"/>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403B39"/>
    <w:rsid w:val="00450A24"/>
    <w:rsid w:val="004715AA"/>
    <w:rsid w:val="0048192A"/>
    <w:rsid w:val="004B06A6"/>
    <w:rsid w:val="004C5588"/>
    <w:rsid w:val="004D358E"/>
    <w:rsid w:val="004E0983"/>
    <w:rsid w:val="004E411E"/>
    <w:rsid w:val="004E69FD"/>
    <w:rsid w:val="004F69C6"/>
    <w:rsid w:val="00554B08"/>
    <w:rsid w:val="005A6819"/>
    <w:rsid w:val="005E612C"/>
    <w:rsid w:val="00600E3A"/>
    <w:rsid w:val="00611E09"/>
    <w:rsid w:val="00613A75"/>
    <w:rsid w:val="006165F2"/>
    <w:rsid w:val="0061664F"/>
    <w:rsid w:val="0062171A"/>
    <w:rsid w:val="00633DC2"/>
    <w:rsid w:val="006532D5"/>
    <w:rsid w:val="00683399"/>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E52ED"/>
    <w:rsid w:val="008F5CF3"/>
    <w:rsid w:val="00926E4B"/>
    <w:rsid w:val="009347BB"/>
    <w:rsid w:val="00941F77"/>
    <w:rsid w:val="00942C67"/>
    <w:rsid w:val="0095251A"/>
    <w:rsid w:val="00952D2B"/>
    <w:rsid w:val="00982577"/>
    <w:rsid w:val="0098429F"/>
    <w:rsid w:val="00984C1D"/>
    <w:rsid w:val="009A2E1A"/>
    <w:rsid w:val="009B7CB1"/>
    <w:rsid w:val="009D1A18"/>
    <w:rsid w:val="009D39E4"/>
    <w:rsid w:val="009F2A2F"/>
    <w:rsid w:val="00A212DD"/>
    <w:rsid w:val="00A34850"/>
    <w:rsid w:val="00A557A4"/>
    <w:rsid w:val="00A65545"/>
    <w:rsid w:val="00A76454"/>
    <w:rsid w:val="00AA5BD0"/>
    <w:rsid w:val="00AE0EAB"/>
    <w:rsid w:val="00AE6E53"/>
    <w:rsid w:val="00AF02C2"/>
    <w:rsid w:val="00B01F59"/>
    <w:rsid w:val="00B05BAE"/>
    <w:rsid w:val="00B05DAE"/>
    <w:rsid w:val="00B07019"/>
    <w:rsid w:val="00B07E65"/>
    <w:rsid w:val="00B222CF"/>
    <w:rsid w:val="00B26559"/>
    <w:rsid w:val="00B27AE3"/>
    <w:rsid w:val="00B3110B"/>
    <w:rsid w:val="00B3401E"/>
    <w:rsid w:val="00B600CD"/>
    <w:rsid w:val="00B639A2"/>
    <w:rsid w:val="00B85991"/>
    <w:rsid w:val="00BA13BA"/>
    <w:rsid w:val="00BA62D1"/>
    <w:rsid w:val="00BC0944"/>
    <w:rsid w:val="00BD4EE6"/>
    <w:rsid w:val="00BF48EE"/>
    <w:rsid w:val="00C4071E"/>
    <w:rsid w:val="00C45A68"/>
    <w:rsid w:val="00C574AE"/>
    <w:rsid w:val="00C946D3"/>
    <w:rsid w:val="00CA7B7F"/>
    <w:rsid w:val="00CB54CA"/>
    <w:rsid w:val="00CC3A6A"/>
    <w:rsid w:val="00CD00D3"/>
    <w:rsid w:val="00D16F62"/>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F00293"/>
    <w:rsid w:val="00F31103"/>
    <w:rsid w:val="00F415BD"/>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C1DA"/>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atecentral.com/Resources/Newsletters/News-of-the-Week/ArticleID/1815/February-4-2019" TargetMode="External"/><Relationship Id="rId18" Type="http://schemas.openxmlformats.org/officeDocument/2006/relationships/hyperlink" Target="https://ecfsapi.fcc.gov/file/102190661501015/SECA%20C2%20Letter%20(2019_02_19).pdf" TargetMode="External"/><Relationship Id="rId26" Type="http://schemas.openxmlformats.org/officeDocument/2006/relationships/hyperlink" Target="https://www.linkedin.com/company/e-rate-central" TargetMode="External"/><Relationship Id="rId3" Type="http://schemas.openxmlformats.org/officeDocument/2006/relationships/settings" Target="settings.xml"/><Relationship Id="rId21" Type="http://schemas.openxmlformats.org/officeDocument/2006/relationships/hyperlink" Target="http://usac.org/sl/about/outreach/videos/FCC-Form-470-Service-Requests-Category-One-and-Category-Two.aspx" TargetMode="External"/><Relationship Id="rId34" Type="http://schemas.openxmlformats.org/officeDocument/2006/relationships/header" Target="header2.xml"/><Relationship Id="rId7" Type="http://schemas.openxmlformats.org/officeDocument/2006/relationships/hyperlink" Target="https://e-ratecentral.com/Resources/Newsletters/News-of-the-Week/ArticleID/1815/February-4-2019" TargetMode="External"/><Relationship Id="rId12" Type="http://schemas.openxmlformats.org/officeDocument/2006/relationships/hyperlink" Target="https://docs.fcc.gov/public/attachments/FCC-19-5A1.pdf" TargetMode="External"/><Relationship Id="rId17" Type="http://schemas.openxmlformats.org/officeDocument/2006/relationships/hyperlink" Target="https://e-ratecentral.com/Portals/0/DocFiles/files/fcc/FCC-14-99A1.pdf" TargetMode="External"/><Relationship Id="rId25" Type="http://schemas.openxmlformats.org/officeDocument/2006/relationships/hyperlink" Target="http://usac.org/sl/about/outreach/videos/FCC-Form-470-How-to-Search.asp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fsapi.fcc.gov/file/102210580516826/SHLB%20Letter%20-%20Category%202%20Clarification%20-%20Feb.%2021%202019%20-%20Final.pdf" TargetMode="External"/><Relationship Id="rId20" Type="http://schemas.openxmlformats.org/officeDocument/2006/relationships/hyperlink" Target="http://usac.org/sl/about/outreach/videos/FCC-Form-470-Starting.aspx"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ac.org/sl/about/outreach/training/webinars.aspx" TargetMode="External"/><Relationship Id="rId24" Type="http://schemas.openxmlformats.org/officeDocument/2006/relationships/hyperlink" Target="http://usac.org/sl/about/outreach/videos/FCC-Form-470-Post-an-Additional-RFP-Document.asp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ratecentral.com/Resources/Newsletters/News-of-the-Week/ArticleID/1820/February-18-2019" TargetMode="External"/><Relationship Id="rId23" Type="http://schemas.openxmlformats.org/officeDocument/2006/relationships/hyperlink" Target="http://usac.org/sl/about/outreach/videos/FCC-Form-470-Review-and-Certification.aspx" TargetMode="External"/><Relationship Id="rId28" Type="http://schemas.openxmlformats.org/officeDocument/2006/relationships/hyperlink" Target="https://www.facebook.com/eratecentral"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ratecentral.com/Portals/0/DocFiles/files/sld-news-briefs/879.pdf"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cs.fcc.gov/public/attachments/DA-19-71A1.pdf" TargetMode="External"/><Relationship Id="rId22" Type="http://schemas.openxmlformats.org/officeDocument/2006/relationships/hyperlink" Target="http://usac.org/sl/about/outreach/videos/FCC-Form-470-Technical-Contact-and-Procurement-Information.aspx" TargetMode="External"/><Relationship Id="rId27" Type="http://schemas.openxmlformats.org/officeDocument/2006/relationships/image" Target="media/image4.png"/><Relationship Id="rId30" Type="http://schemas.openxmlformats.org/officeDocument/2006/relationships/hyperlink" Target="https://twitter.com/ERateCentra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4</cp:revision>
  <dcterms:created xsi:type="dcterms:W3CDTF">2019-02-22T23:30:00Z</dcterms:created>
  <dcterms:modified xsi:type="dcterms:W3CDTF">2019-02-24T19:55:00Z</dcterms:modified>
</cp:coreProperties>
</file>