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61C" w:rsidRPr="00575901" w:rsidRDefault="002B061C" w:rsidP="002B06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8A6DCD" w:rsidRPr="008A6DCD" w:rsidRDefault="008A6DCD" w:rsidP="008A6DCD">
      <w:pPr>
        <w:numPr>
          <w:ilvl w:val="0"/>
          <w:numId w:val="1"/>
        </w:numPr>
        <w:spacing w:before="120"/>
        <w:jc w:val="left"/>
        <w:outlineLvl w:val="0"/>
        <w:rPr>
          <w:rFonts w:ascii="Times New Roman" w:hAnsi="Times New Roman"/>
        </w:rPr>
      </w:pPr>
      <w:bookmarkStart w:id="9" w:name="_Hlk514143108"/>
      <w:bookmarkStart w:id="10" w:name="_Hlk514143072"/>
      <w:bookmarkStart w:id="11" w:name="_Hlk529203092"/>
      <w:bookmarkStart w:id="12" w:name="_Hlk516308379"/>
      <w:bookmarkStart w:id="13" w:name="_Hlk501354306"/>
      <w:bookmarkStart w:id="14" w:name="_Hlk509759858"/>
      <w:bookmarkStart w:id="15" w:name="_Hlk514143666"/>
      <w:bookmarkEnd w:id="0"/>
      <w:bookmarkEnd w:id="1"/>
      <w:bookmarkEnd w:id="2"/>
      <w:bookmarkEnd w:id="3"/>
      <w:bookmarkEnd w:id="4"/>
      <w:bookmarkEnd w:id="5"/>
      <w:bookmarkEnd w:id="6"/>
      <w:bookmarkEnd w:id="7"/>
      <w:bookmarkEnd w:id="8"/>
      <w:r w:rsidRPr="008A6DCD">
        <w:rPr>
          <w:rFonts w:ascii="Times New Roman" w:hAnsi="Times New Roman"/>
        </w:rPr>
        <w:t>Funding Status – FY 2019 and FY 2018</w:t>
      </w:r>
    </w:p>
    <w:p w:rsidR="008A6DCD" w:rsidRPr="008A6DCD" w:rsidRDefault="008A6DCD" w:rsidP="008A6DCD">
      <w:pPr>
        <w:numPr>
          <w:ilvl w:val="0"/>
          <w:numId w:val="1"/>
        </w:numPr>
        <w:spacing w:before="120"/>
        <w:jc w:val="left"/>
        <w:outlineLvl w:val="0"/>
        <w:rPr>
          <w:rFonts w:ascii="Times New Roman" w:hAnsi="Times New Roman"/>
        </w:rPr>
      </w:pPr>
      <w:r w:rsidRPr="008A6DCD">
        <w:rPr>
          <w:rFonts w:ascii="Times New Roman" w:hAnsi="Times New Roman"/>
        </w:rPr>
        <w:t>FCC To Consider a USF Budgetary Cap</w:t>
      </w:r>
      <w:bookmarkStart w:id="16" w:name="_GoBack"/>
      <w:bookmarkEnd w:id="16"/>
    </w:p>
    <w:p w:rsidR="008A6DCD" w:rsidRPr="008A6DCD" w:rsidRDefault="008A6DCD" w:rsidP="008A6DCD">
      <w:pPr>
        <w:numPr>
          <w:ilvl w:val="0"/>
          <w:numId w:val="1"/>
        </w:numPr>
        <w:spacing w:before="120"/>
        <w:jc w:val="left"/>
        <w:outlineLvl w:val="0"/>
        <w:rPr>
          <w:rFonts w:ascii="Times New Roman" w:hAnsi="Times New Roman"/>
        </w:rPr>
      </w:pPr>
      <w:r w:rsidRPr="008A6DCD">
        <w:rPr>
          <w:rFonts w:ascii="Times New Roman" w:hAnsi="Times New Roman"/>
        </w:rPr>
        <w:t>E-Rate</w:t>
      </w:r>
      <w:r w:rsidRPr="008A6DCD">
        <w:rPr>
          <w:rFonts w:ascii="Times New Roman" w:hAnsi="Times New Roman"/>
          <w:i/>
        </w:rPr>
        <w:t xml:space="preserve"> </w:t>
      </w:r>
      <w:r w:rsidRPr="008A6DCD">
        <w:rPr>
          <w:rFonts w:ascii="Times New Roman" w:hAnsi="Times New Roman"/>
        </w:rPr>
        <w:t>Updates and Reminders</w:t>
      </w:r>
    </w:p>
    <w:p w:rsidR="008A6DCD" w:rsidRPr="008A6DCD" w:rsidRDefault="008A6DCD" w:rsidP="008A6DCD">
      <w:pPr>
        <w:numPr>
          <w:ilvl w:val="1"/>
          <w:numId w:val="1"/>
        </w:numPr>
        <w:spacing w:before="20"/>
        <w:ind w:left="810"/>
        <w:contextualSpacing/>
        <w:jc w:val="left"/>
        <w:outlineLvl w:val="0"/>
        <w:rPr>
          <w:rFonts w:ascii="Times New Roman" w:hAnsi="Times New Roman"/>
        </w:rPr>
      </w:pPr>
      <w:r w:rsidRPr="008A6DCD">
        <w:rPr>
          <w:rFonts w:ascii="Times New Roman" w:hAnsi="Times New Roman"/>
        </w:rPr>
        <w:t>Upcoming E-Rate Dates</w:t>
      </w:r>
    </w:p>
    <w:p w:rsidR="008A6DCD" w:rsidRPr="008A6DCD" w:rsidRDefault="008A6DCD" w:rsidP="008A6DCD">
      <w:pPr>
        <w:numPr>
          <w:ilvl w:val="1"/>
          <w:numId w:val="1"/>
        </w:numPr>
        <w:spacing w:before="20"/>
        <w:ind w:left="810"/>
        <w:contextualSpacing/>
        <w:jc w:val="left"/>
        <w:outlineLvl w:val="0"/>
        <w:rPr>
          <w:rFonts w:ascii="Times New Roman" w:hAnsi="Times New Roman"/>
        </w:rPr>
      </w:pPr>
      <w:r w:rsidRPr="008A6DCD">
        <w:rPr>
          <w:rFonts w:ascii="Times New Roman" w:hAnsi="Times New Roman"/>
        </w:rPr>
        <w:t>FCC Decision Watch</w:t>
      </w:r>
    </w:p>
    <w:p w:rsidR="008A6DCD" w:rsidRPr="008A6DCD" w:rsidRDefault="008A6DCD" w:rsidP="008A6DCD">
      <w:pPr>
        <w:numPr>
          <w:ilvl w:val="1"/>
          <w:numId w:val="1"/>
        </w:numPr>
        <w:spacing w:before="20"/>
        <w:ind w:left="810"/>
        <w:contextualSpacing/>
        <w:jc w:val="left"/>
        <w:outlineLvl w:val="0"/>
        <w:rPr>
          <w:rFonts w:ascii="Times New Roman" w:hAnsi="Times New Roman"/>
        </w:rPr>
      </w:pPr>
      <w:r w:rsidRPr="008A6DCD">
        <w:rPr>
          <w:rFonts w:ascii="Times New Roman" w:hAnsi="Times New Roman"/>
        </w:rPr>
        <w:t>Reply Comments on Special Construction Amortization</w:t>
      </w:r>
    </w:p>
    <w:p w:rsidR="008A6DCD" w:rsidRPr="008A6DCD" w:rsidRDefault="008A6DCD" w:rsidP="008A6DCD">
      <w:pPr>
        <w:numPr>
          <w:ilvl w:val="1"/>
          <w:numId w:val="1"/>
        </w:numPr>
        <w:spacing w:before="20"/>
        <w:ind w:left="810"/>
        <w:jc w:val="left"/>
        <w:outlineLvl w:val="0"/>
        <w:rPr>
          <w:rFonts w:ascii="Times New Roman" w:hAnsi="Times New Roman"/>
        </w:rPr>
      </w:pPr>
      <w:r w:rsidRPr="008A6DCD">
        <w:rPr>
          <w:rFonts w:ascii="Times New Roman" w:hAnsi="Times New Roman"/>
        </w:rPr>
        <w:t xml:space="preserve">USAC Annual Report for 2018 </w:t>
      </w:r>
    </w:p>
    <w:p w:rsidR="008A6DCD" w:rsidRPr="008A6DCD" w:rsidRDefault="008A6DCD" w:rsidP="008A6DCD">
      <w:pPr>
        <w:numPr>
          <w:ilvl w:val="1"/>
          <w:numId w:val="1"/>
        </w:numPr>
        <w:spacing w:before="20"/>
        <w:ind w:left="810"/>
        <w:contextualSpacing/>
        <w:jc w:val="left"/>
        <w:outlineLvl w:val="0"/>
        <w:rPr>
          <w:rFonts w:ascii="Times New Roman" w:hAnsi="Times New Roman"/>
        </w:rPr>
      </w:pPr>
      <w:r w:rsidRPr="008A6DCD">
        <w:rPr>
          <w:rFonts w:ascii="Times New Roman" w:hAnsi="Times New Roman"/>
        </w:rPr>
        <w:t>USAC Semi-Annual Audit Recovery Report</w:t>
      </w:r>
    </w:p>
    <w:p w:rsidR="008A6DCD" w:rsidRPr="008A6DCD" w:rsidRDefault="008A6DCD" w:rsidP="008A6DCD">
      <w:pPr>
        <w:numPr>
          <w:ilvl w:val="1"/>
          <w:numId w:val="1"/>
        </w:numPr>
        <w:spacing w:before="20"/>
        <w:ind w:left="810"/>
        <w:jc w:val="left"/>
        <w:outlineLvl w:val="0"/>
        <w:rPr>
          <w:rFonts w:ascii="Times New Roman" w:hAnsi="Times New Roman"/>
        </w:rPr>
      </w:pPr>
      <w:r w:rsidRPr="008A6DCD">
        <w:rPr>
          <w:rFonts w:ascii="Times New Roman" w:hAnsi="Times New Roman"/>
        </w:rPr>
        <w:t>FFL’s Annual E-Rate Survey</w:t>
      </w:r>
    </w:p>
    <w:p w:rsidR="008A6DCD" w:rsidRPr="008A6DCD" w:rsidRDefault="008A6DCD" w:rsidP="008A6DCD">
      <w:pPr>
        <w:numPr>
          <w:ilvl w:val="0"/>
          <w:numId w:val="1"/>
        </w:numPr>
        <w:spacing w:before="120"/>
        <w:jc w:val="left"/>
        <w:outlineLvl w:val="0"/>
        <w:rPr>
          <w:rFonts w:ascii="Times New Roman" w:hAnsi="Times New Roman"/>
          <w:b/>
          <w:color w:val="2F5496"/>
        </w:rPr>
      </w:pPr>
      <w:r w:rsidRPr="008A6DCD">
        <w:rPr>
          <w:rFonts w:ascii="Times New Roman" w:hAnsi="Times New Roman"/>
        </w:rPr>
        <w:t>USAC News Brief Dated April 5 – Overview of the PIA Review Process</w:t>
      </w:r>
    </w:p>
    <w:p w:rsidR="008A6DCD" w:rsidRPr="00683C03" w:rsidRDefault="008A6DCD" w:rsidP="008A6DCD">
      <w:pPr>
        <w:jc w:val="left"/>
        <w:outlineLvl w:val="0"/>
        <w:rPr>
          <w:rFonts w:ascii="Times New Roman" w:hAnsi="Times New Roman"/>
          <w:b/>
          <w:color w:val="2F5496"/>
          <w:sz w:val="40"/>
          <w:szCs w:val="40"/>
        </w:rPr>
      </w:pPr>
    </w:p>
    <w:p w:rsidR="008A6DCD" w:rsidRPr="008A6DCD" w:rsidRDefault="008A6DCD" w:rsidP="008A6DCD">
      <w:pPr>
        <w:jc w:val="left"/>
        <w:outlineLvl w:val="0"/>
        <w:rPr>
          <w:rFonts w:ascii="Times New Roman" w:hAnsi="Times New Roman"/>
          <w:b/>
          <w:color w:val="2F5496"/>
        </w:rPr>
      </w:pPr>
      <w:r w:rsidRPr="008A6DCD">
        <w:rPr>
          <w:rFonts w:ascii="Times New Roman" w:hAnsi="Times New Roman"/>
          <w:b/>
          <w:color w:val="2F5496"/>
        </w:rPr>
        <w:t>Funding Status – FY 2019 and FY 2018</w:t>
      </w:r>
    </w:p>
    <w:p w:rsidR="008A6DCD" w:rsidRPr="008A6DCD" w:rsidRDefault="008A6DCD" w:rsidP="008A6DCD">
      <w:pPr>
        <w:rPr>
          <w:rFonts w:ascii="Times New Roman" w:hAnsi="Times New Roman"/>
          <w:color w:val="2F5496"/>
        </w:rPr>
      </w:pPr>
    </w:p>
    <w:p w:rsidR="008A6DCD" w:rsidRPr="008A6DCD" w:rsidRDefault="008A6DCD" w:rsidP="008A6DCD">
      <w:pPr>
        <w:rPr>
          <w:rFonts w:ascii="Times New Roman" w:hAnsi="Times New Roman"/>
          <w:i/>
          <w:color w:val="2F5496"/>
        </w:rPr>
      </w:pPr>
      <w:r w:rsidRPr="008A6DCD">
        <w:rPr>
          <w:rFonts w:ascii="Times New Roman" w:hAnsi="Times New Roman"/>
          <w:i/>
          <w:color w:val="2F5496"/>
        </w:rPr>
        <w:t>FY 2019:</w:t>
      </w:r>
    </w:p>
    <w:p w:rsidR="008A6DCD" w:rsidRPr="008A6DCD" w:rsidRDefault="008A6DCD" w:rsidP="008A6DCD">
      <w:pPr>
        <w:rPr>
          <w:rFonts w:ascii="Times New Roman" w:hAnsi="Times New Roman"/>
          <w:i/>
          <w:color w:val="1F3864"/>
        </w:rPr>
      </w:pPr>
    </w:p>
    <w:p w:rsidR="00683C03" w:rsidRPr="00683C03" w:rsidRDefault="00683C03" w:rsidP="00683C03">
      <w:pPr>
        <w:rPr>
          <w:rFonts w:ascii="Times New Roman" w:hAnsi="Times New Roman"/>
        </w:rPr>
      </w:pPr>
      <w:bookmarkStart w:id="17" w:name="_Hlk4947973"/>
      <w:bookmarkStart w:id="18" w:name="_Hlk533175781"/>
      <w:bookmarkStart w:id="19" w:name="_Hlk533170053"/>
      <w:r w:rsidRPr="00683C03">
        <w:rPr>
          <w:rFonts w:ascii="Times New Roman" w:hAnsi="Times New Roman"/>
        </w:rPr>
        <w:t xml:space="preserve">The Form 471 application window </w:t>
      </w:r>
      <w:bookmarkEnd w:id="19"/>
      <w:r w:rsidRPr="00683C03">
        <w:rPr>
          <w:rFonts w:ascii="Times New Roman" w:hAnsi="Times New Roman"/>
        </w:rPr>
        <w:t>closed Wednesday, March 27, 2019.  On April 1</w:t>
      </w:r>
      <w:r w:rsidRPr="00683C03">
        <w:rPr>
          <w:rFonts w:ascii="Times New Roman" w:hAnsi="Times New Roman"/>
          <w:vertAlign w:val="superscript"/>
        </w:rPr>
        <w:t>st</w:t>
      </w:r>
      <w:r w:rsidRPr="00683C03">
        <w:rPr>
          <w:rFonts w:ascii="Times New Roman" w:hAnsi="Times New Roman"/>
        </w:rPr>
        <w:t xml:space="preserve">, USAC released a </w:t>
      </w:r>
      <w:hyperlink r:id="rId7" w:history="1">
        <w:r w:rsidRPr="00683C03">
          <w:rPr>
            <w:rFonts w:ascii="Times New Roman" w:hAnsi="Times New Roman"/>
            <w:color w:val="0000FF"/>
            <w:u w:val="single"/>
          </w:rPr>
          <w:t>preliminary demand estimate</w:t>
        </w:r>
      </w:hyperlink>
      <w:r w:rsidRPr="00683C03">
        <w:rPr>
          <w:rFonts w:ascii="Times New Roman" w:hAnsi="Times New Roman"/>
        </w:rPr>
        <w:t xml:space="preserve"> for the coming year showing a 5% increase to $2.90 billion from FY 2018.  This is well within the $4.15 billion funding cap for the year (see </w:t>
      </w:r>
      <w:hyperlink r:id="rId8" w:history="1">
        <w:r w:rsidRPr="00683C03">
          <w:rPr>
            <w:rFonts w:ascii="Times New Roman" w:hAnsi="Times New Roman"/>
            <w:color w:val="0000FF"/>
            <w:u w:val="single"/>
          </w:rPr>
          <w:t>DA 19-170</w:t>
        </w:r>
      </w:hyperlink>
      <w:r w:rsidRPr="00683C03">
        <w:rPr>
          <w:rFonts w:ascii="Times New Roman" w:hAnsi="Times New Roman"/>
        </w:rPr>
        <w:t>).  As shown in the following table, the demand for FY 2019 shows a drop in Category 1 requests — more than would be accounted for simply by the final eligibility phase-out of voice services — but a healthy increase in Category 2 demand.</w:t>
      </w:r>
    </w:p>
    <w:p w:rsidR="003E754D" w:rsidRPr="003E754D" w:rsidRDefault="003E754D" w:rsidP="003E754D">
      <w:pPr>
        <w:rPr>
          <w:rFonts w:ascii="Times New Roman" w:hAnsi="Times New Roman"/>
          <w:sz w:val="16"/>
          <w:szCs w:val="16"/>
        </w:rPr>
      </w:pPr>
    </w:p>
    <w:p w:rsidR="003E754D" w:rsidRPr="003E754D" w:rsidRDefault="003E754D" w:rsidP="003E754D">
      <w:pPr>
        <w:ind w:left="1620"/>
        <w:rPr>
          <w:rFonts w:ascii="Times New Roman" w:hAnsi="Times New Roman"/>
        </w:rPr>
      </w:pPr>
      <w:r w:rsidRPr="003E754D">
        <w:rPr>
          <w:noProof/>
        </w:rPr>
        <w:drawing>
          <wp:inline distT="0" distB="0" distL="0" distR="0" wp14:anchorId="147BA640" wp14:editId="66A599C6">
            <wp:extent cx="3717249" cy="2217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45536" cy="2234294"/>
                    </a:xfrm>
                    <a:prstGeom prst="rect">
                      <a:avLst/>
                    </a:prstGeom>
                  </pic:spPr>
                </pic:pic>
              </a:graphicData>
            </a:graphic>
          </wp:inline>
        </w:drawing>
      </w:r>
    </w:p>
    <w:p w:rsidR="003E754D" w:rsidRPr="003E754D" w:rsidRDefault="003E754D" w:rsidP="003E754D">
      <w:pPr>
        <w:rPr>
          <w:rFonts w:ascii="Times New Roman" w:hAnsi="Times New Roman"/>
        </w:rPr>
      </w:pPr>
    </w:p>
    <w:p w:rsidR="003E754D" w:rsidRPr="003E754D" w:rsidRDefault="003E754D" w:rsidP="003E754D">
      <w:pPr>
        <w:rPr>
          <w:rFonts w:ascii="Times New Roman" w:hAnsi="Times New Roman"/>
        </w:rPr>
      </w:pPr>
      <w:r w:rsidRPr="003E754D">
        <w:rPr>
          <w:rFonts w:ascii="Times New Roman" w:hAnsi="Times New Roman"/>
        </w:rPr>
        <w:t xml:space="preserve">Issuance of the preliminary demand estimate, combined with the FCC’s approval </w:t>
      </w:r>
      <w:r w:rsidRPr="003E754D">
        <w:rPr>
          <w:rFonts w:ascii="Times New Roman" w:hAnsi="Times New Roman"/>
          <w:color w:val="413C40"/>
        </w:rPr>
        <w:t>(</w:t>
      </w:r>
      <w:hyperlink r:id="rId10" w:tgtFrame="_blank" w:history="1">
        <w:r w:rsidRPr="003E754D">
          <w:rPr>
            <w:rFonts w:ascii="Times New Roman" w:hAnsi="Times New Roman"/>
            <w:color w:val="0000FF"/>
            <w:u w:val="single"/>
          </w:rPr>
          <w:t>DA 19-218</w:t>
        </w:r>
      </w:hyperlink>
      <w:r w:rsidRPr="003E754D">
        <w:rPr>
          <w:rFonts w:ascii="Times New Roman" w:hAnsi="Times New Roman"/>
          <w:color w:val="413C40"/>
        </w:rPr>
        <w:t>)</w:t>
      </w:r>
      <w:r w:rsidRPr="003E754D">
        <w:rPr>
          <w:rFonts w:ascii="Arial" w:hAnsi="Arial" w:cs="Arial"/>
          <w:color w:val="413C40"/>
          <w:sz w:val="23"/>
          <w:szCs w:val="23"/>
        </w:rPr>
        <w:t xml:space="preserve"> </w:t>
      </w:r>
      <w:r w:rsidRPr="003E754D">
        <w:rPr>
          <w:rFonts w:ascii="Times New Roman" w:hAnsi="Times New Roman"/>
        </w:rPr>
        <w:t>of the PIA procedures the preceding week, positions USAC to begin FY 2019 funding waves later this month.</w:t>
      </w:r>
    </w:p>
    <w:bookmarkEnd w:id="17"/>
    <w:bookmarkEnd w:id="18"/>
    <w:p w:rsidR="008A6DCD" w:rsidRPr="008A6DCD" w:rsidRDefault="008A6DCD" w:rsidP="008A6DCD">
      <w:pPr>
        <w:rPr>
          <w:rFonts w:ascii="Times New Roman" w:hAnsi="Times New Roman"/>
          <w:b/>
          <w:color w:val="1F497D"/>
        </w:rPr>
      </w:pPr>
    </w:p>
    <w:p w:rsidR="008A6DCD" w:rsidRPr="008A6DCD" w:rsidRDefault="008A6DCD" w:rsidP="008A6DCD">
      <w:pPr>
        <w:rPr>
          <w:rFonts w:ascii="Times New Roman" w:hAnsi="Times New Roman"/>
          <w:i/>
          <w:color w:val="2F5496"/>
        </w:rPr>
      </w:pPr>
      <w:r w:rsidRPr="008A6DCD">
        <w:rPr>
          <w:rFonts w:ascii="Times New Roman" w:hAnsi="Times New Roman"/>
          <w:i/>
          <w:color w:val="2F5496"/>
        </w:rPr>
        <w:t>FY 2018:</w:t>
      </w:r>
    </w:p>
    <w:p w:rsidR="008A6DCD" w:rsidRPr="008A6DCD" w:rsidRDefault="008A6DCD" w:rsidP="008A6DCD">
      <w:pPr>
        <w:rPr>
          <w:rFonts w:ascii="Times New Roman" w:hAnsi="Times New Roman"/>
          <w:i/>
          <w:color w:val="1F3864"/>
        </w:rPr>
      </w:pPr>
    </w:p>
    <w:p w:rsidR="002B061C" w:rsidRDefault="008A6DCD" w:rsidP="008A6DCD">
      <w:pPr>
        <w:rPr>
          <w:rFonts w:ascii="Times New Roman" w:hAnsi="Times New Roman"/>
          <w:color w:val="000000"/>
        </w:rPr>
      </w:pPr>
      <w:r w:rsidRPr="00F364CE">
        <w:rPr>
          <w:rFonts w:ascii="Times New Roman" w:hAnsi="Times New Roman"/>
        </w:rPr>
        <w:t>USAC issued Wave 52 for FY 2018 on Thursday, April 4</w:t>
      </w:r>
      <w:r w:rsidRPr="00F364CE">
        <w:rPr>
          <w:rFonts w:ascii="Times New Roman" w:hAnsi="Times New Roman"/>
          <w:vertAlign w:val="superscript"/>
        </w:rPr>
        <w:t>th</w:t>
      </w:r>
      <w:r w:rsidRPr="00F364CE">
        <w:rPr>
          <w:rFonts w:ascii="Times New Roman" w:hAnsi="Times New Roman"/>
        </w:rPr>
        <w:t>, for $2.59 million.  Cumulative funding as of Wave 52 is</w:t>
      </w:r>
      <w:r w:rsidRPr="00F364CE">
        <w:rPr>
          <w:rFonts w:ascii="Times New Roman" w:hAnsi="Times New Roman"/>
          <w:color w:val="000000"/>
        </w:rPr>
        <w:t xml:space="preserve"> $2.19 billion</w:t>
      </w:r>
      <w:r w:rsidR="002B061C">
        <w:rPr>
          <w:rFonts w:ascii="Times New Roman" w:hAnsi="Times New Roman"/>
          <w:color w:val="000000"/>
        </w:rPr>
        <w:t>.</w:t>
      </w:r>
    </w:p>
    <w:bookmarkEnd w:id="9"/>
    <w:bookmarkEnd w:id="10"/>
    <w:bookmarkEnd w:id="11"/>
    <w:p w:rsidR="00683C03" w:rsidRPr="00683C03" w:rsidRDefault="00683C03" w:rsidP="00683C03">
      <w:pPr>
        <w:rPr>
          <w:rFonts w:ascii="Times New Roman" w:hAnsi="Times New Roman"/>
          <w:b/>
          <w:color w:val="2F5496"/>
        </w:rPr>
      </w:pPr>
      <w:r w:rsidRPr="00683C03">
        <w:rPr>
          <w:rFonts w:ascii="Times New Roman" w:hAnsi="Times New Roman"/>
          <w:b/>
          <w:color w:val="2F5496"/>
        </w:rPr>
        <w:lastRenderedPageBreak/>
        <w:t>FCC To Consider a USF Budgetary Cap</w:t>
      </w:r>
    </w:p>
    <w:p w:rsidR="00683C03" w:rsidRPr="00683C03" w:rsidRDefault="00683C03" w:rsidP="00683C03">
      <w:pPr>
        <w:rPr>
          <w:rFonts w:ascii="Times New Roman" w:hAnsi="Times New Roman"/>
          <w:i/>
          <w:color w:val="1F497D"/>
          <w:shd w:val="clear" w:color="auto" w:fill="FFFFFF"/>
        </w:rPr>
      </w:pPr>
    </w:p>
    <w:p w:rsidR="00683C03" w:rsidRPr="00683C03" w:rsidRDefault="00683C03" w:rsidP="00683C03">
      <w:pPr>
        <w:rPr>
          <w:rFonts w:ascii="Times New Roman" w:hAnsi="Times New Roman"/>
          <w:shd w:val="clear" w:color="auto" w:fill="FFFFFF"/>
        </w:rPr>
      </w:pPr>
      <w:r w:rsidRPr="00683C03">
        <w:rPr>
          <w:rFonts w:ascii="Times New Roman" w:hAnsi="Times New Roman"/>
          <w:shd w:val="clear" w:color="auto" w:fill="FFFFFF"/>
        </w:rPr>
        <w:t>An item is being circulated among the FCC Commissioners that, if ultimately adopted, would set an annual cap (subject to annual inflation adjustments) on the Universal Service Fund (“USF”).  Currently there is an annual cap on three of the four USF programs.  In addition to the Schools and Libraries program, known as “E-rate,” the other USF programs are High Cost, Lifeline, and Rural Health Care.</w:t>
      </w:r>
    </w:p>
    <w:p w:rsidR="00683C03" w:rsidRPr="00683C03" w:rsidRDefault="00683C03" w:rsidP="00683C03">
      <w:pPr>
        <w:rPr>
          <w:rFonts w:ascii="Times New Roman" w:hAnsi="Times New Roman"/>
          <w:shd w:val="clear" w:color="auto" w:fill="FFFFFF"/>
        </w:rPr>
      </w:pPr>
    </w:p>
    <w:p w:rsidR="00683C03" w:rsidRPr="00683C03" w:rsidRDefault="00683C03" w:rsidP="00683C03">
      <w:pPr>
        <w:rPr>
          <w:rFonts w:ascii="Times New Roman" w:hAnsi="Times New Roman"/>
          <w:shd w:val="clear" w:color="auto" w:fill="FFFFFF"/>
        </w:rPr>
      </w:pPr>
      <w:r w:rsidRPr="00683C03">
        <w:rPr>
          <w:rFonts w:ascii="Times New Roman" w:hAnsi="Times New Roman"/>
          <w:shd w:val="clear" w:color="auto" w:fill="FFFFFF"/>
        </w:rPr>
        <w:t xml:space="preserve">According to a </w:t>
      </w:r>
      <w:hyperlink r:id="rId11" w:history="1">
        <w:r w:rsidRPr="00683C03">
          <w:rPr>
            <w:rFonts w:ascii="Times New Roman" w:hAnsi="Times New Roman"/>
            <w:color w:val="0000FF"/>
            <w:u w:val="single"/>
            <w:shd w:val="clear" w:color="auto" w:fill="FFFFFF"/>
          </w:rPr>
          <w:t>recent blog post</w:t>
        </w:r>
      </w:hyperlink>
      <w:r w:rsidRPr="00683C03">
        <w:rPr>
          <w:rFonts w:ascii="Times New Roman" w:hAnsi="Times New Roman"/>
          <w:shd w:val="clear" w:color="auto" w:fill="FFFFFF"/>
        </w:rPr>
        <w:t xml:space="preserve"> by Commissioner Michael </w:t>
      </w:r>
      <w:proofErr w:type="spellStart"/>
      <w:r w:rsidRPr="00683C03">
        <w:rPr>
          <w:rFonts w:ascii="Times New Roman" w:hAnsi="Times New Roman"/>
          <w:shd w:val="clear" w:color="auto" w:fill="FFFFFF"/>
        </w:rPr>
        <w:t>O’Rielly</w:t>
      </w:r>
      <w:proofErr w:type="spellEnd"/>
      <w:r w:rsidRPr="00683C03">
        <w:rPr>
          <w:rFonts w:ascii="Times New Roman" w:hAnsi="Times New Roman"/>
          <w:shd w:val="clear" w:color="auto" w:fill="FFFFFF"/>
        </w:rPr>
        <w:t>, apparently the leading proponent for the proposal, the annual cap would be set at the total of the four programs’ current caps — currently $11.42 billion.</w:t>
      </w:r>
    </w:p>
    <w:p w:rsidR="00683C03" w:rsidRPr="00683C03" w:rsidRDefault="00683C03" w:rsidP="00683C03">
      <w:pPr>
        <w:rPr>
          <w:rFonts w:ascii="Times New Roman" w:hAnsi="Times New Roman"/>
          <w:shd w:val="clear" w:color="auto" w:fill="FFFFFF"/>
        </w:rPr>
      </w:pPr>
    </w:p>
    <w:p w:rsidR="00683C03" w:rsidRPr="00683C03" w:rsidRDefault="00683C03" w:rsidP="00683C03">
      <w:pPr>
        <w:rPr>
          <w:rFonts w:ascii="Times New Roman" w:hAnsi="Times New Roman"/>
          <w:shd w:val="clear" w:color="auto" w:fill="FFFFFF"/>
        </w:rPr>
      </w:pPr>
      <w:r w:rsidRPr="00683C03">
        <w:rPr>
          <w:rFonts w:ascii="Times New Roman" w:hAnsi="Times New Roman"/>
          <w:shd w:val="clear" w:color="auto" w:fill="FFFFFF"/>
        </w:rPr>
        <w:t>To put the proposed cap in context, it should be noted that although USF demand varies somewhat from quarter-to-quarter, annual USF funding requirements are currently running well under the proposed cap.  As shown below, total annual USF requirements, based on quarterly fund projections over the past two and a half years, have averaged slightly less than $8 billion per year.</w:t>
      </w:r>
    </w:p>
    <w:p w:rsidR="00683C03" w:rsidRPr="00683C03" w:rsidRDefault="00683C03" w:rsidP="00683C03">
      <w:pPr>
        <w:rPr>
          <w:rFonts w:ascii="Times New Roman" w:hAnsi="Times New Roman"/>
          <w:sz w:val="20"/>
          <w:szCs w:val="20"/>
          <w:shd w:val="clear" w:color="auto" w:fill="FFFFFF"/>
        </w:rPr>
      </w:pPr>
    </w:p>
    <w:p w:rsidR="00683C03" w:rsidRPr="00683C03" w:rsidRDefault="00683C03" w:rsidP="00683C03">
      <w:pPr>
        <w:rPr>
          <w:rFonts w:ascii="Times New Roman" w:hAnsi="Times New Roman"/>
          <w:shd w:val="clear" w:color="auto" w:fill="FFFFFF"/>
        </w:rPr>
      </w:pPr>
      <w:r w:rsidRPr="00683C03">
        <w:rPr>
          <w:rFonts w:ascii="Times New Roman" w:hAnsi="Times New Roman"/>
          <w:shd w:val="clear" w:color="auto" w:fill="FFFFFF"/>
        </w:rPr>
        <w:tab/>
      </w:r>
      <w:r w:rsidRPr="00683C03">
        <w:rPr>
          <w:rFonts w:ascii="Times New Roman" w:hAnsi="Times New Roman"/>
          <w:shd w:val="clear" w:color="auto" w:fill="FFFFFF"/>
        </w:rPr>
        <w:tab/>
      </w:r>
      <w:r w:rsidRPr="00683C03">
        <w:rPr>
          <w:rFonts w:ascii="Times New Roman" w:hAnsi="Times New Roman"/>
          <w:shd w:val="clear" w:color="auto" w:fill="FFFFFF"/>
        </w:rPr>
        <w:tab/>
      </w:r>
      <w:r w:rsidRPr="00683C03">
        <w:rPr>
          <w:rFonts w:ascii="Times New Roman" w:hAnsi="Times New Roman"/>
          <w:shd w:val="clear" w:color="auto" w:fill="FFFFFF"/>
        </w:rPr>
        <w:tab/>
      </w:r>
      <w:r w:rsidRPr="00683C03">
        <w:rPr>
          <w:noProof/>
        </w:rPr>
        <w:drawing>
          <wp:inline distT="0" distB="0" distL="0" distR="0" wp14:anchorId="1E2EFE5D" wp14:editId="0BE0E824">
            <wp:extent cx="2255520" cy="2825665"/>
            <wp:effectExtent l="0" t="0" r="0" b="0"/>
            <wp:docPr id="7" name="Picture 7" descr="cid:image001.jpg@01D4E566.D2A0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E566.D2A0696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264280" cy="2836639"/>
                    </a:xfrm>
                    <a:prstGeom prst="rect">
                      <a:avLst/>
                    </a:prstGeom>
                    <a:noFill/>
                    <a:ln>
                      <a:noFill/>
                    </a:ln>
                  </pic:spPr>
                </pic:pic>
              </a:graphicData>
            </a:graphic>
          </wp:inline>
        </w:drawing>
      </w:r>
    </w:p>
    <w:p w:rsidR="00683C03" w:rsidRPr="00683C03" w:rsidRDefault="00683C03" w:rsidP="00683C03">
      <w:pPr>
        <w:rPr>
          <w:rFonts w:ascii="Times New Roman" w:hAnsi="Times New Roman"/>
          <w:shd w:val="clear" w:color="auto" w:fill="FFFFFF"/>
        </w:rPr>
      </w:pPr>
    </w:p>
    <w:p w:rsidR="00683C03" w:rsidRPr="00683C03" w:rsidRDefault="00683C03" w:rsidP="00683C03">
      <w:pPr>
        <w:rPr>
          <w:rFonts w:ascii="Times New Roman" w:hAnsi="Times New Roman"/>
          <w:shd w:val="clear" w:color="auto" w:fill="FFFFFF"/>
        </w:rPr>
      </w:pPr>
      <w:r w:rsidRPr="00683C03">
        <w:rPr>
          <w:rFonts w:ascii="Times New Roman" w:hAnsi="Times New Roman"/>
          <w:shd w:val="clear" w:color="auto" w:fill="FFFFFF"/>
        </w:rPr>
        <w:t xml:space="preserve">A key factor in this discussion, also shown in the table above, is the contribution factor.  This factor represents the percentage of interstate telephone revenue that the telecommunications carriers are required to “contribute” into the USF fund each quarter.  This contribution is passed on to telephone users as USF surcharges.  As Commissioner </w:t>
      </w:r>
      <w:proofErr w:type="spellStart"/>
      <w:r w:rsidRPr="00683C03">
        <w:rPr>
          <w:rFonts w:ascii="Times New Roman" w:hAnsi="Times New Roman"/>
          <w:shd w:val="clear" w:color="auto" w:fill="FFFFFF"/>
        </w:rPr>
        <w:t>O’Rielly</w:t>
      </w:r>
      <w:proofErr w:type="spellEnd"/>
      <w:r w:rsidRPr="00683C03">
        <w:rPr>
          <w:rFonts w:ascii="Times New Roman" w:hAnsi="Times New Roman"/>
          <w:shd w:val="clear" w:color="auto" w:fill="FFFFFF"/>
        </w:rPr>
        <w:t xml:space="preserve"> notes in his blog, this contribution factor has been rising, recently reaching the 20% level.  The increase can be attributed not only to increasing demand for USF funds, but to decreasing interstate telephone revenues.</w:t>
      </w:r>
    </w:p>
    <w:p w:rsidR="00683C03" w:rsidRPr="00683C03" w:rsidRDefault="00683C03" w:rsidP="00683C03">
      <w:pPr>
        <w:rPr>
          <w:rFonts w:ascii="Times New Roman" w:hAnsi="Times New Roman"/>
          <w:shd w:val="clear" w:color="auto" w:fill="FFFFFF"/>
        </w:rPr>
      </w:pPr>
    </w:p>
    <w:p w:rsidR="00683C03" w:rsidRPr="00683C03" w:rsidRDefault="00683C03" w:rsidP="00683C03">
      <w:pPr>
        <w:rPr>
          <w:rFonts w:ascii="Times New Roman" w:hAnsi="Times New Roman"/>
          <w:shd w:val="clear" w:color="auto" w:fill="FFFFFF"/>
        </w:rPr>
      </w:pPr>
      <w:r w:rsidRPr="00683C03">
        <w:rPr>
          <w:rFonts w:ascii="Times New Roman" w:hAnsi="Times New Roman"/>
          <w:shd w:val="clear" w:color="auto" w:fill="FFFFFF"/>
        </w:rPr>
        <w:t xml:space="preserve">Much like the concern of a rising sea level with the melting of the polar ice caps, there is a question of how high the contribution factor can go without requiring a major restructuring of the USF — an issue long debated at the FCC.  Should the total demand for the USF programs reach the </w:t>
      </w:r>
      <w:proofErr w:type="gramStart"/>
      <w:r w:rsidRPr="00683C03">
        <w:rPr>
          <w:rFonts w:ascii="Times New Roman" w:hAnsi="Times New Roman"/>
          <w:shd w:val="clear" w:color="auto" w:fill="FFFFFF"/>
        </w:rPr>
        <w:t>$11.42 billion dollar</w:t>
      </w:r>
      <w:proofErr w:type="gramEnd"/>
      <w:r w:rsidRPr="00683C03">
        <w:rPr>
          <w:rFonts w:ascii="Times New Roman" w:hAnsi="Times New Roman"/>
          <w:shd w:val="clear" w:color="auto" w:fill="FFFFFF"/>
        </w:rPr>
        <w:t xml:space="preserve"> cap being discussed, with no change to today’s contribution base, we calculate that the contribution factor would rise to almost 28%.  In the short-term, cap or no cap, we don’t see that happening.  But it’s a legitimate longer-term concern.</w:t>
      </w:r>
    </w:p>
    <w:p w:rsidR="00683C03" w:rsidRPr="00683C03" w:rsidRDefault="00683C03" w:rsidP="00683C03">
      <w:pPr>
        <w:rPr>
          <w:rFonts w:ascii="Times New Roman" w:hAnsi="Times New Roman"/>
          <w:shd w:val="clear" w:color="auto" w:fill="FFFFFF"/>
        </w:rPr>
      </w:pPr>
    </w:p>
    <w:p w:rsidR="00683C03" w:rsidRPr="00683C03" w:rsidRDefault="00683C03" w:rsidP="00683C03">
      <w:pPr>
        <w:rPr>
          <w:rFonts w:ascii="Times New Roman" w:hAnsi="Times New Roman"/>
          <w:shd w:val="clear" w:color="auto" w:fill="FFFFFF"/>
        </w:rPr>
      </w:pPr>
      <w:r w:rsidRPr="00683C03">
        <w:rPr>
          <w:rFonts w:ascii="Times New Roman" w:hAnsi="Times New Roman"/>
          <w:shd w:val="clear" w:color="auto" w:fill="FFFFFF"/>
        </w:rPr>
        <w:lastRenderedPageBreak/>
        <w:t>From an E-rate perspective, capping the USF budget presents no immediate concern.  As indicated in the FY 2019 summary above, total E-rate demand is well under the current $4.15 billion cap.  Capping the total USF budget becomes an intermediate-term problem only to the extent that another USF program required additional funds and, rather than increase the total USF cap, the FCC chooses a rob-Peter-to-pay-Paul approach further constricting E-rate funds.</w:t>
      </w:r>
    </w:p>
    <w:p w:rsidR="00683C03" w:rsidRPr="00683C03" w:rsidRDefault="00683C03" w:rsidP="00683C03">
      <w:pPr>
        <w:rPr>
          <w:rFonts w:ascii="Times New Roman" w:hAnsi="Times New Roman"/>
          <w:shd w:val="clear" w:color="auto" w:fill="FFFFFF"/>
        </w:rPr>
      </w:pPr>
    </w:p>
    <w:p w:rsidR="00683C03" w:rsidRPr="00683C03" w:rsidRDefault="00683C03" w:rsidP="00683C03">
      <w:pPr>
        <w:rPr>
          <w:rFonts w:ascii="Times New Roman" w:hAnsi="Times New Roman"/>
          <w:shd w:val="clear" w:color="auto" w:fill="FFFFFF"/>
        </w:rPr>
      </w:pPr>
      <w:r w:rsidRPr="00683C03">
        <w:rPr>
          <w:rFonts w:ascii="Times New Roman" w:hAnsi="Times New Roman"/>
          <w:shd w:val="clear" w:color="auto" w:fill="FFFFFF"/>
        </w:rPr>
        <w:t>From a timing standpoint, the USF budgetary cap proposal is only being circulated within the Commission.  It is not an item on the Commission’s April open meeting agenda.  At the earliest — if ever — we might see the proposal surface as a Notice of Proposed Rulemaking (“NPRM”) released for public comment in May.  At that point, the E-rate community will likely have a vested interest in commenting.</w:t>
      </w:r>
    </w:p>
    <w:p w:rsidR="00683C03" w:rsidRPr="00683C03" w:rsidRDefault="00683C03" w:rsidP="00683C03">
      <w:pPr>
        <w:rPr>
          <w:rFonts w:ascii="Times New Roman" w:hAnsi="Times New Roman"/>
          <w:b/>
          <w:color w:val="2F5496"/>
          <w:sz w:val="36"/>
          <w:szCs w:val="36"/>
        </w:rPr>
      </w:pPr>
    </w:p>
    <w:p w:rsidR="00683C03" w:rsidRPr="00683C03" w:rsidRDefault="00683C03" w:rsidP="00683C03">
      <w:pPr>
        <w:rPr>
          <w:rFonts w:ascii="Times New Roman" w:hAnsi="Times New Roman"/>
          <w:b/>
          <w:color w:val="2F5496"/>
        </w:rPr>
      </w:pPr>
      <w:r w:rsidRPr="00683C03">
        <w:rPr>
          <w:rFonts w:ascii="Times New Roman" w:hAnsi="Times New Roman"/>
          <w:b/>
          <w:color w:val="2F5496"/>
        </w:rPr>
        <w:t>E-Rate Updates and Reminders</w:t>
      </w:r>
    </w:p>
    <w:p w:rsidR="00683C03" w:rsidRPr="00683C03" w:rsidRDefault="00683C03" w:rsidP="00683C03">
      <w:pPr>
        <w:ind w:left="720" w:hanging="360"/>
        <w:rPr>
          <w:rFonts w:ascii="Times New Roman" w:hAnsi="Times New Roman"/>
          <w:color w:val="2F5496"/>
        </w:rPr>
      </w:pPr>
    </w:p>
    <w:p w:rsidR="00683C03" w:rsidRPr="00683C03" w:rsidRDefault="00683C03" w:rsidP="00683C03">
      <w:pPr>
        <w:rPr>
          <w:rFonts w:ascii="Times New Roman" w:hAnsi="Times New Roman"/>
          <w:i/>
          <w:color w:val="2F5496"/>
        </w:rPr>
      </w:pPr>
      <w:bookmarkStart w:id="20" w:name="_Hlk514143144"/>
      <w:bookmarkStart w:id="21" w:name="_Hlk514143132"/>
      <w:r w:rsidRPr="00683C03">
        <w:rPr>
          <w:rFonts w:ascii="Times New Roman" w:hAnsi="Times New Roman"/>
          <w:i/>
          <w:color w:val="2F5496"/>
        </w:rPr>
        <w:t>Upcoming E-Rate Dates:</w:t>
      </w:r>
      <w:bookmarkStart w:id="22" w:name="_Hlk514143767"/>
      <w:bookmarkStart w:id="23" w:name="_Hlk514143153"/>
      <w:bookmarkStart w:id="24" w:name="_Hlk514143462"/>
      <w:bookmarkEnd w:id="20"/>
    </w:p>
    <w:bookmarkEnd w:id="21"/>
    <w:bookmarkEnd w:id="22"/>
    <w:bookmarkEnd w:id="23"/>
    <w:p w:rsidR="00683C03" w:rsidRPr="00683C03" w:rsidRDefault="00683C03" w:rsidP="00683C03">
      <w:pPr>
        <w:spacing w:after="60"/>
        <w:outlineLvl w:val="0"/>
        <w:rPr>
          <w:rFonts w:ascii="Times New Roman" w:hAnsi="Times New Roman"/>
          <w:sz w:val="20"/>
          <w:szCs w:val="20"/>
        </w:rPr>
      </w:pPr>
    </w:p>
    <w:p w:rsidR="00683C03" w:rsidRPr="00683C03" w:rsidRDefault="00683C03" w:rsidP="00683C03">
      <w:pPr>
        <w:spacing w:after="60"/>
        <w:ind w:left="2160" w:hanging="1800"/>
        <w:outlineLvl w:val="0"/>
        <w:rPr>
          <w:rFonts w:ascii="Times New Roman" w:hAnsi="Times New Roman"/>
          <w:color w:val="000000"/>
          <w:lang w:bidi="ar-SA"/>
        </w:rPr>
      </w:pPr>
      <w:r w:rsidRPr="00683C03">
        <w:rPr>
          <w:rFonts w:ascii="Times New Roman" w:hAnsi="Times New Roman"/>
        </w:rPr>
        <w:t>April 8</w:t>
      </w:r>
      <w:r w:rsidRPr="00683C03">
        <w:rPr>
          <w:rFonts w:ascii="Times New Roman" w:hAnsi="Times New Roman"/>
        </w:rPr>
        <w:tab/>
        <w:t>Form 486 deadline for FY 2018 funding committed in Wave 35.  More generally, the Form 486 deadline is 120 days from the FCDL date or the service start date (typically July 1</w:t>
      </w:r>
      <w:r w:rsidRPr="00683C03">
        <w:rPr>
          <w:rFonts w:ascii="Times New Roman" w:hAnsi="Times New Roman"/>
          <w:vertAlign w:val="superscript"/>
        </w:rPr>
        <w:t>st</w:t>
      </w:r>
      <w:r w:rsidRPr="00683C03">
        <w:rPr>
          <w:rFonts w:ascii="Times New Roman" w:hAnsi="Times New Roman"/>
        </w:rPr>
        <w:t xml:space="preserve">), whichever is later.  </w:t>
      </w:r>
      <w:r w:rsidRPr="00683C03">
        <w:rPr>
          <w:rFonts w:ascii="Times New Roman" w:hAnsi="Times New Roman"/>
          <w:color w:val="000000"/>
        </w:rPr>
        <w:t>Other upcoming Form 486 deadlines are:</w:t>
      </w:r>
    </w:p>
    <w:p w:rsidR="00683C03" w:rsidRPr="00683C03" w:rsidRDefault="00683C03" w:rsidP="00683C03">
      <w:pPr>
        <w:tabs>
          <w:tab w:val="left" w:pos="3240"/>
          <w:tab w:val="left" w:pos="5040"/>
        </w:tabs>
        <w:ind w:left="2880" w:hanging="1800"/>
        <w:outlineLvl w:val="0"/>
        <w:rPr>
          <w:rFonts w:ascii="Times New Roman" w:hAnsi="Times New Roman"/>
          <w:color w:val="000000"/>
          <w:lang w:bidi="ar-SA"/>
        </w:rPr>
      </w:pPr>
      <w:r w:rsidRPr="00683C03">
        <w:rPr>
          <w:rFonts w:ascii="Times New Roman" w:hAnsi="Times New Roman"/>
          <w:color w:val="000000"/>
          <w:lang w:bidi="ar-SA"/>
        </w:rPr>
        <w:tab/>
        <w:t>Wave 36</w:t>
      </w:r>
      <w:r w:rsidRPr="00683C03">
        <w:rPr>
          <w:rFonts w:ascii="Times New Roman" w:hAnsi="Times New Roman"/>
          <w:color w:val="000000"/>
          <w:lang w:bidi="ar-SA"/>
        </w:rPr>
        <w:tab/>
        <w:t>04/15/2019</w:t>
      </w:r>
    </w:p>
    <w:p w:rsidR="00683C03" w:rsidRPr="00683C03" w:rsidRDefault="00683C03" w:rsidP="00683C03">
      <w:pPr>
        <w:tabs>
          <w:tab w:val="left" w:pos="3240"/>
          <w:tab w:val="left" w:pos="5040"/>
        </w:tabs>
        <w:ind w:left="2880" w:hanging="1800"/>
        <w:outlineLvl w:val="0"/>
        <w:rPr>
          <w:rFonts w:ascii="Times New Roman" w:hAnsi="Times New Roman"/>
          <w:color w:val="000000"/>
          <w:lang w:bidi="ar-SA"/>
        </w:rPr>
      </w:pPr>
      <w:r w:rsidRPr="00683C03">
        <w:rPr>
          <w:rFonts w:ascii="Times New Roman" w:hAnsi="Times New Roman"/>
          <w:color w:val="000000"/>
          <w:lang w:bidi="ar-SA"/>
        </w:rPr>
        <w:tab/>
        <w:t>Wave 37</w:t>
      </w:r>
      <w:r w:rsidRPr="00683C03">
        <w:rPr>
          <w:rFonts w:ascii="Times New Roman" w:hAnsi="Times New Roman"/>
          <w:color w:val="000000"/>
          <w:lang w:bidi="ar-SA"/>
        </w:rPr>
        <w:tab/>
        <w:t>04/19/2019</w:t>
      </w:r>
    </w:p>
    <w:p w:rsidR="00683C03" w:rsidRPr="00683C03" w:rsidRDefault="00683C03" w:rsidP="00683C03">
      <w:pPr>
        <w:tabs>
          <w:tab w:val="left" w:pos="3240"/>
          <w:tab w:val="left" w:pos="5040"/>
        </w:tabs>
        <w:ind w:left="2880" w:hanging="1800"/>
        <w:outlineLvl w:val="0"/>
        <w:rPr>
          <w:rFonts w:ascii="Times New Roman" w:hAnsi="Times New Roman"/>
          <w:color w:val="000000"/>
          <w:lang w:bidi="ar-SA"/>
        </w:rPr>
      </w:pPr>
      <w:r w:rsidRPr="00683C03">
        <w:rPr>
          <w:rFonts w:ascii="Times New Roman" w:hAnsi="Times New Roman"/>
          <w:color w:val="000000"/>
          <w:lang w:bidi="ar-SA"/>
        </w:rPr>
        <w:tab/>
        <w:t>Wave 38</w:t>
      </w:r>
      <w:r w:rsidRPr="00683C03">
        <w:rPr>
          <w:rFonts w:ascii="Times New Roman" w:hAnsi="Times New Roman"/>
          <w:color w:val="000000"/>
          <w:lang w:bidi="ar-SA"/>
        </w:rPr>
        <w:tab/>
        <w:t>04/26/2019</w:t>
      </w:r>
    </w:p>
    <w:p w:rsidR="00683C03" w:rsidRPr="00683C03" w:rsidRDefault="00683C03" w:rsidP="00683C03">
      <w:pPr>
        <w:spacing w:before="120"/>
        <w:ind w:left="2160"/>
        <w:outlineLvl w:val="0"/>
        <w:rPr>
          <w:rFonts w:ascii="Times New Roman" w:hAnsi="Times New Roman"/>
          <w:color w:val="000000"/>
          <w:lang w:bidi="ar-SA"/>
        </w:rPr>
      </w:pPr>
      <w:r w:rsidRPr="00683C03">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bookmarkStart w:id="25" w:name="_Hlk514143523"/>
      <w:bookmarkStart w:id="26" w:name="_Hlk514143783"/>
      <w:bookmarkStart w:id="27" w:name="_Hlk514143203"/>
      <w:bookmarkEnd w:id="24"/>
    </w:p>
    <w:p w:rsidR="00683C03" w:rsidRPr="00683C03" w:rsidRDefault="00683C03" w:rsidP="00683C03">
      <w:pPr>
        <w:spacing w:before="120"/>
        <w:ind w:left="2160" w:hanging="1800"/>
        <w:outlineLvl w:val="0"/>
        <w:rPr>
          <w:rFonts w:ascii="Times New Roman" w:hAnsi="Times New Roman"/>
          <w:color w:val="413C40"/>
        </w:rPr>
      </w:pPr>
      <w:r w:rsidRPr="00683C03">
        <w:rPr>
          <w:rFonts w:ascii="Times New Roman" w:hAnsi="Times New Roman"/>
          <w:color w:val="000000"/>
          <w:lang w:bidi="ar-SA"/>
        </w:rPr>
        <w:t>April 9</w:t>
      </w:r>
      <w:r w:rsidRPr="00683C03">
        <w:rPr>
          <w:rFonts w:ascii="Times New Roman" w:hAnsi="Times New Roman"/>
          <w:color w:val="000000"/>
          <w:lang w:bidi="ar-SA"/>
        </w:rPr>
        <w:tab/>
        <w:t>Announced date for USAC to unlock EPC entity profiles.</w:t>
      </w:r>
      <w:r w:rsidRPr="00683C03">
        <w:rPr>
          <w:rFonts w:ascii="Times New Roman" w:hAnsi="Times New Roman"/>
          <w:lang w:bidi="ar-SA"/>
        </w:rPr>
        <w:t xml:space="preserve">  </w:t>
      </w:r>
      <w:r w:rsidRPr="00683C03">
        <w:rPr>
          <w:rFonts w:ascii="Times New Roman" w:hAnsi="Times New Roman"/>
        </w:rPr>
        <w:t>It is important to note that any changes applicants now make in their EPC entity profiles will </w:t>
      </w:r>
      <w:r w:rsidRPr="00683C03">
        <w:rPr>
          <w:rFonts w:ascii="Times New Roman" w:hAnsi="Times New Roman"/>
          <w:b/>
          <w:bCs/>
          <w:u w:val="single"/>
        </w:rPr>
        <w:t>not</w:t>
      </w:r>
      <w:r w:rsidRPr="00683C03">
        <w:rPr>
          <w:rFonts w:ascii="Times New Roman" w:hAnsi="Times New Roman"/>
        </w:rPr>
        <w:t> automatically carry through to FY 2019 applications.  To make entity changes that apply to pending applications, applicants must submit RAL modifications (see </w:t>
      </w:r>
      <w:hyperlink r:id="rId14" w:tgtFrame="_blank" w:history="1">
        <w:r w:rsidRPr="00683C03">
          <w:rPr>
            <w:rFonts w:ascii="Times New Roman" w:hAnsi="Times New Roman"/>
            <w:color w:val="0000FF"/>
            <w:u w:val="single"/>
          </w:rPr>
          <w:t>USAC’s Schools and Libraries News Brief of March 22, 2019</w:t>
        </w:r>
      </w:hyperlink>
      <w:r w:rsidRPr="00683C03">
        <w:rPr>
          <w:rFonts w:ascii="Times New Roman" w:hAnsi="Times New Roman"/>
        </w:rPr>
        <w:t>).</w:t>
      </w:r>
    </w:p>
    <w:p w:rsidR="00683C03" w:rsidRPr="00683C03" w:rsidRDefault="00683C03" w:rsidP="00683C03">
      <w:pPr>
        <w:spacing w:before="120"/>
        <w:ind w:left="2160" w:hanging="1800"/>
        <w:outlineLvl w:val="0"/>
        <w:rPr>
          <w:rFonts w:ascii="Times New Roman" w:hAnsi="Times New Roman"/>
          <w:color w:val="000000"/>
          <w:lang w:bidi="ar-SA"/>
        </w:rPr>
      </w:pPr>
      <w:r w:rsidRPr="00683C03">
        <w:rPr>
          <w:rFonts w:ascii="Times New Roman" w:hAnsi="Times New Roman"/>
          <w:color w:val="000000"/>
          <w:lang w:bidi="ar-SA"/>
        </w:rPr>
        <w:t>April 17</w:t>
      </w:r>
      <w:r w:rsidRPr="00683C03">
        <w:rPr>
          <w:rFonts w:ascii="Times New Roman" w:hAnsi="Times New Roman"/>
          <w:color w:val="000000"/>
          <w:lang w:bidi="ar-SA"/>
        </w:rPr>
        <w:tab/>
        <w:t xml:space="preserve">USAC webinar on the </w:t>
      </w:r>
      <w:hyperlink r:id="rId15" w:history="1">
        <w:r w:rsidRPr="00683C03">
          <w:rPr>
            <w:rFonts w:ascii="Times New Roman" w:hAnsi="Times New Roman"/>
            <w:color w:val="0000FF"/>
            <w:u w:val="single"/>
            <w:lang w:bidi="ar-SA"/>
          </w:rPr>
          <w:t>Program Integrity Assurance</w:t>
        </w:r>
      </w:hyperlink>
      <w:r w:rsidRPr="00683C03">
        <w:rPr>
          <w:rFonts w:ascii="Times New Roman" w:hAnsi="Times New Roman"/>
          <w:color w:val="000000"/>
          <w:lang w:bidi="ar-SA"/>
        </w:rPr>
        <w:t xml:space="preserve"> (“PIA”) review process.</w:t>
      </w:r>
    </w:p>
    <w:p w:rsidR="00683C03" w:rsidRPr="00683C03" w:rsidRDefault="00683C03" w:rsidP="00683C03">
      <w:pPr>
        <w:spacing w:before="120"/>
        <w:ind w:left="2160" w:hanging="1800"/>
        <w:outlineLvl w:val="0"/>
        <w:rPr>
          <w:rFonts w:ascii="Times New Roman" w:hAnsi="Times New Roman"/>
          <w:color w:val="000000"/>
          <w:lang w:bidi="ar-SA"/>
        </w:rPr>
      </w:pPr>
      <w:r w:rsidRPr="00683C03">
        <w:rPr>
          <w:rFonts w:ascii="Times New Roman" w:hAnsi="Times New Roman"/>
          <w:color w:val="000000"/>
          <w:lang w:bidi="ar-SA"/>
        </w:rPr>
        <w:t>May 15</w:t>
      </w:r>
      <w:r w:rsidRPr="00683C03">
        <w:rPr>
          <w:rFonts w:ascii="Times New Roman" w:hAnsi="Times New Roman"/>
          <w:color w:val="000000"/>
          <w:lang w:bidi="ar-SA"/>
        </w:rPr>
        <w:tab/>
        <w:t xml:space="preserve">USAC webinar on the </w:t>
      </w:r>
      <w:hyperlink r:id="rId16" w:history="1">
        <w:r w:rsidRPr="00683C03">
          <w:rPr>
            <w:rFonts w:ascii="Times New Roman" w:hAnsi="Times New Roman"/>
            <w:color w:val="0000FF"/>
            <w:u w:val="single"/>
            <w:lang w:bidi="ar-SA"/>
          </w:rPr>
          <w:t>Form 486</w:t>
        </w:r>
      </w:hyperlink>
      <w:r w:rsidRPr="00683C03">
        <w:rPr>
          <w:rFonts w:ascii="Times New Roman" w:hAnsi="Times New Roman"/>
          <w:color w:val="000000"/>
          <w:lang w:bidi="ar-SA"/>
        </w:rPr>
        <w:t>.</w:t>
      </w:r>
    </w:p>
    <w:p w:rsidR="00683C03" w:rsidRPr="00683C03" w:rsidRDefault="00683C03" w:rsidP="00683C03">
      <w:pPr>
        <w:outlineLvl w:val="0"/>
        <w:rPr>
          <w:rFonts w:ascii="Times New Roman" w:hAnsi="Times New Roman"/>
          <w:i/>
          <w:color w:val="2F5496"/>
          <w:lang w:bidi="ar-SA"/>
        </w:rPr>
      </w:pPr>
    </w:p>
    <w:p w:rsidR="00683C03" w:rsidRPr="00683C03" w:rsidRDefault="00683C03" w:rsidP="00683C03">
      <w:pPr>
        <w:outlineLvl w:val="0"/>
        <w:rPr>
          <w:rFonts w:ascii="Times New Roman" w:hAnsi="Times New Roman"/>
          <w:i/>
          <w:color w:val="2F5496"/>
          <w:lang w:bidi="ar-SA"/>
        </w:rPr>
      </w:pPr>
      <w:r w:rsidRPr="00683C03">
        <w:rPr>
          <w:rFonts w:ascii="Times New Roman" w:hAnsi="Times New Roman"/>
          <w:i/>
          <w:color w:val="2F5496"/>
          <w:lang w:bidi="ar-SA"/>
        </w:rPr>
        <w:t>FCC Decision Watch:</w:t>
      </w:r>
    </w:p>
    <w:p w:rsidR="00683C03" w:rsidRPr="00683C03" w:rsidRDefault="00683C03" w:rsidP="00683C03">
      <w:pPr>
        <w:outlineLvl w:val="0"/>
        <w:rPr>
          <w:rFonts w:ascii="Times New Roman" w:hAnsi="Times New Roman"/>
          <w:i/>
          <w:color w:val="44546A"/>
          <w:lang w:bidi="ar-SA"/>
        </w:rPr>
      </w:pPr>
    </w:p>
    <w:p w:rsidR="00683C03" w:rsidRPr="00683C03" w:rsidRDefault="00683C03" w:rsidP="00683C03">
      <w:pPr>
        <w:rPr>
          <w:rFonts w:ascii="Times New Roman" w:hAnsi="Times New Roman"/>
          <w:lang w:bidi="ar-SA"/>
        </w:rPr>
      </w:pPr>
      <w:r w:rsidRPr="00683C03">
        <w:rPr>
          <w:rFonts w:ascii="Times New Roman" w:hAnsi="Times New Roman"/>
          <w:lang w:bidi="ar-SA"/>
        </w:rPr>
        <w:t>The FCC issued its March set of “streamlined” precedent-based decisions (</w:t>
      </w:r>
      <w:bookmarkStart w:id="28" w:name="_Hlk2264690"/>
      <w:r w:rsidRPr="00683C03">
        <w:rPr>
          <w:rFonts w:ascii="Times New Roman" w:hAnsi="Times New Roman"/>
          <w:color w:val="0000FF"/>
          <w:u w:val="single"/>
          <w:lang w:bidi="ar-SA"/>
        </w:rPr>
        <w:fldChar w:fldCharType="begin"/>
      </w:r>
      <w:r w:rsidRPr="00683C03">
        <w:rPr>
          <w:rFonts w:ascii="Times New Roman" w:hAnsi="Times New Roman"/>
          <w:color w:val="0000FF"/>
          <w:u w:val="single"/>
          <w:lang w:bidi="ar-SA"/>
        </w:rPr>
        <w:instrText xml:space="preserve"> HYPERLINK "https://docs.fcc.gov/public/attachments/DA-19-213A1.pdf" </w:instrText>
      </w:r>
      <w:r w:rsidRPr="00683C03">
        <w:rPr>
          <w:rFonts w:ascii="Times New Roman" w:hAnsi="Times New Roman"/>
          <w:color w:val="0000FF"/>
          <w:u w:val="single"/>
          <w:lang w:bidi="ar-SA"/>
        </w:rPr>
        <w:fldChar w:fldCharType="separate"/>
      </w:r>
      <w:r w:rsidRPr="00683C03">
        <w:rPr>
          <w:rFonts w:ascii="Times New Roman" w:hAnsi="Times New Roman"/>
          <w:color w:val="0000FF"/>
          <w:u w:val="single"/>
          <w:lang w:bidi="ar-SA"/>
        </w:rPr>
        <w:t>DA 19-213</w:t>
      </w:r>
      <w:bookmarkEnd w:id="28"/>
      <w:r w:rsidRPr="00683C03">
        <w:rPr>
          <w:rFonts w:ascii="Times New Roman" w:hAnsi="Times New Roman"/>
          <w:color w:val="0000FF"/>
          <w:u w:val="single"/>
          <w:lang w:bidi="ar-SA"/>
        </w:rPr>
        <w:fldChar w:fldCharType="end"/>
      </w:r>
      <w:r w:rsidRPr="00683C03">
        <w:rPr>
          <w:rFonts w:ascii="Times New Roman" w:hAnsi="Times New Roman"/>
          <w:lang w:bidi="ar-SA"/>
        </w:rPr>
        <w:t>) on March 29</w:t>
      </w:r>
      <w:r w:rsidRPr="00683C03">
        <w:rPr>
          <w:rFonts w:ascii="Times New Roman" w:hAnsi="Times New Roman"/>
          <w:vertAlign w:val="superscript"/>
          <w:lang w:bidi="ar-SA"/>
        </w:rPr>
        <w:t>th</w:t>
      </w:r>
      <w:r w:rsidRPr="00683C03">
        <w:rPr>
          <w:rFonts w:ascii="Times New Roman" w:hAnsi="Times New Roman"/>
          <w:lang w:bidi="ar-SA"/>
        </w:rPr>
        <w:t xml:space="preserve">.  Applicants facing similar problems as addressed in these decisions may garner useful information by carefully reading the additional FCC explanations found in the footnotes.  The original appeal and waiver requests can be found online in the FCC’s </w:t>
      </w:r>
      <w:hyperlink r:id="rId17" w:history="1">
        <w:r w:rsidRPr="00683C03">
          <w:rPr>
            <w:rFonts w:ascii="Times New Roman" w:hAnsi="Times New Roman"/>
            <w:color w:val="0000FF"/>
            <w:u w:val="single"/>
            <w:lang w:bidi="ar-SA"/>
          </w:rPr>
          <w:t>Search for Filings</w:t>
        </w:r>
      </w:hyperlink>
      <w:r w:rsidRPr="00683C03">
        <w:rPr>
          <w:rFonts w:ascii="Times New Roman" w:hAnsi="Times New Roman"/>
          <w:lang w:bidi="ar-SA"/>
        </w:rPr>
        <w:t xml:space="preserve"> under Docket 02-6.</w:t>
      </w:r>
    </w:p>
    <w:p w:rsidR="00683C03" w:rsidRPr="00683C03" w:rsidRDefault="00683C03" w:rsidP="00683C03">
      <w:pPr>
        <w:rPr>
          <w:rFonts w:ascii="Times New Roman" w:hAnsi="Times New Roman"/>
          <w:lang w:bidi="ar-SA"/>
        </w:rPr>
      </w:pPr>
    </w:p>
    <w:p w:rsidR="00683C03" w:rsidRDefault="00683C03" w:rsidP="00683C03">
      <w:pPr>
        <w:rPr>
          <w:rFonts w:ascii="Times New Roman" w:hAnsi="Times New Roman"/>
          <w:lang w:bidi="ar-SA"/>
        </w:rPr>
      </w:pPr>
    </w:p>
    <w:p w:rsidR="00683C03" w:rsidRDefault="00683C03" w:rsidP="00683C03">
      <w:pPr>
        <w:rPr>
          <w:rFonts w:ascii="Times New Roman" w:hAnsi="Times New Roman"/>
          <w:lang w:bidi="ar-SA"/>
        </w:rPr>
      </w:pPr>
    </w:p>
    <w:p w:rsidR="00683C03" w:rsidRPr="00683C03" w:rsidRDefault="00683C03" w:rsidP="00683C03">
      <w:pPr>
        <w:rPr>
          <w:rFonts w:ascii="Times New Roman" w:hAnsi="Times New Roman"/>
          <w:lang w:bidi="ar-SA"/>
        </w:rPr>
      </w:pPr>
      <w:r w:rsidRPr="00683C03">
        <w:rPr>
          <w:rFonts w:ascii="Times New Roman" w:hAnsi="Times New Roman"/>
          <w:lang w:bidi="ar-SA"/>
        </w:rPr>
        <w:lastRenderedPageBreak/>
        <w:t>In last week’s decisions, the FCC:</w:t>
      </w:r>
    </w:p>
    <w:p w:rsidR="00683C03" w:rsidRPr="00683C03" w:rsidRDefault="00683C03" w:rsidP="00683C03">
      <w:pPr>
        <w:rPr>
          <w:rFonts w:ascii="Times New Roman" w:hAnsi="Times New Roman"/>
          <w:lang w:bidi="ar-SA"/>
        </w:rPr>
      </w:pPr>
    </w:p>
    <w:p w:rsidR="00683C03" w:rsidRPr="00683C03" w:rsidRDefault="00683C03" w:rsidP="00683C03">
      <w:pPr>
        <w:numPr>
          <w:ilvl w:val="0"/>
          <w:numId w:val="8"/>
        </w:numPr>
        <w:spacing w:after="60"/>
        <w:rPr>
          <w:rFonts w:ascii="Times New Roman" w:hAnsi="Times New Roman"/>
          <w:lang w:bidi="ar-SA"/>
        </w:rPr>
      </w:pPr>
      <w:r w:rsidRPr="00683C03">
        <w:rPr>
          <w:rFonts w:ascii="Times New Roman" w:hAnsi="Times New Roman"/>
          <w:lang w:bidi="ar-SA"/>
        </w:rPr>
        <w:t>Dismissed as moot two Requests for Review on which USAC had already taken the requested action.</w:t>
      </w:r>
    </w:p>
    <w:p w:rsidR="00683C03" w:rsidRPr="00683C03" w:rsidRDefault="00683C03" w:rsidP="00683C03">
      <w:pPr>
        <w:numPr>
          <w:ilvl w:val="0"/>
          <w:numId w:val="8"/>
        </w:numPr>
        <w:spacing w:after="60"/>
        <w:rPr>
          <w:rFonts w:ascii="Times New Roman" w:hAnsi="Times New Roman"/>
          <w:lang w:bidi="ar-SA"/>
        </w:rPr>
      </w:pPr>
      <w:r w:rsidRPr="00683C03">
        <w:rPr>
          <w:rFonts w:ascii="Times New Roman" w:hAnsi="Times New Roman"/>
          <w:lang w:bidi="ar-SA"/>
        </w:rPr>
        <w:t>Dismissed six Petitions for Reconsideration for failure to identify any factors not already fully considered by the Wireline Competition Bureau.  Two lengthy footnotes on these dismissals are instructive.</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In one case the applicant argued that it had been unable to file a BEAR because its service provider had not filed its annual Form 473 (“SPAC”) and did not sign the BEAR form.  The FCC rejected this argument as a valid basis for an invoice extension noting that this was a service provider problem, not a USAC processing problem.</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In two other cases, applicants seeking waivers to file USAC appeals were denied because of delays resulting from their having first tried to file their appeals directly with the FCC.  Only waivers can first be filed with the FCC.  The dividing line between an appeal and a waiver is sometimes a fine one, perhaps one reason that many FCC filings are often characterized as a “Request for Review and/or Waiver.”</w:t>
      </w:r>
    </w:p>
    <w:p w:rsidR="00683C03" w:rsidRPr="00683C03" w:rsidRDefault="00683C03" w:rsidP="00683C03">
      <w:pPr>
        <w:numPr>
          <w:ilvl w:val="0"/>
          <w:numId w:val="8"/>
        </w:numPr>
        <w:spacing w:after="60"/>
        <w:rPr>
          <w:rFonts w:ascii="Times New Roman" w:hAnsi="Times New Roman"/>
          <w:lang w:bidi="ar-SA"/>
        </w:rPr>
      </w:pPr>
      <w:r w:rsidRPr="00683C03">
        <w:rPr>
          <w:rFonts w:ascii="Times New Roman" w:hAnsi="Times New Roman"/>
          <w:lang w:bidi="ar-SA"/>
        </w:rPr>
        <w:t>Granted:</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One Request for Review of the 28-day Form 470 posting requirement which was only missed by 1-3 days.</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Two Requests for Waiver of the 60-day appeal or waiver deadline which was missed by only a “few days.”</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Two Requests for Review and/or Waiver of urban/rural classifications for which the FCC disagreed with USAC’s analysis.</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Two Requests for Review and/or Waiver permitting, despite the suspension of the amortization requirement, buildout expenses to be incurred as ongoing monthly recurring costs.</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One Request for Review and/or Waiver finding (not surprisingly) “that requesting discounts on services pursuant to an existing contract did not necessarily violate the Commission’s competitive bidding rules.”</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One Request for Review and/or Waiver upholding an applicant’s right to reject incomplete and/or non-responsive bids.</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Three Requests for Review giving applicants an opportunity to refile invoices on remand.</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One Request for Review confirming the principle that E-rate discounts are based on the price of service prior to the application of any state-provided support.</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Two Requests for Review and/or Waiver granting relief from the Form 486 deadline involving forms filed before January 30, 2017, when the FCC adopted a more rigid standard for late-filed Form 486s.</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Four Requests for Review and/or Waiver for various ministerial and/or clerical errors.</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 xml:space="preserve">Twelve Requests for Waiver involving late-filed Form 471s for FY 2016 under similar circumstances as granted to the Pribilof School District (see FCC 18-188 as discussed in our </w:t>
      </w:r>
      <w:hyperlink r:id="rId18" w:history="1">
        <w:r w:rsidRPr="00683C03">
          <w:rPr>
            <w:rFonts w:ascii="Times New Roman" w:hAnsi="Times New Roman"/>
            <w:color w:val="0000FF"/>
            <w:u w:val="single"/>
            <w:lang w:bidi="ar-SA"/>
          </w:rPr>
          <w:t>newsletter of August 13, 2018</w:t>
        </w:r>
      </w:hyperlink>
      <w:r w:rsidRPr="00683C03">
        <w:rPr>
          <w:rFonts w:ascii="Times New Roman" w:hAnsi="Times New Roman"/>
          <w:lang w:bidi="ar-SA"/>
        </w:rPr>
        <w:t>).</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lastRenderedPageBreak/>
        <w:t xml:space="preserve">One Request for Review relieving an applicant of the responsibility for not providing inventory records for equipment </w:t>
      </w:r>
      <w:r w:rsidRPr="00683C03">
        <w:rPr>
          <w:rFonts w:ascii="Times New Roman" w:hAnsi="Times New Roman"/>
          <w:u w:val="single"/>
          <w:lang w:bidi="ar-SA"/>
        </w:rPr>
        <w:t>not</w:t>
      </w:r>
      <w:r w:rsidRPr="00683C03">
        <w:rPr>
          <w:rFonts w:ascii="Times New Roman" w:hAnsi="Times New Roman"/>
          <w:lang w:bidi="ar-SA"/>
        </w:rPr>
        <w:t xml:space="preserve"> delivered by the service provider.</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Two Requests for Waiver of the deadline for appeals involving errors by USAC.</w:t>
      </w:r>
    </w:p>
    <w:p w:rsidR="00683C03" w:rsidRPr="00683C03" w:rsidRDefault="00683C03" w:rsidP="00683C03">
      <w:pPr>
        <w:numPr>
          <w:ilvl w:val="0"/>
          <w:numId w:val="8"/>
        </w:numPr>
        <w:spacing w:after="60"/>
        <w:rPr>
          <w:rFonts w:ascii="Times New Roman" w:hAnsi="Times New Roman"/>
          <w:lang w:bidi="ar-SA"/>
        </w:rPr>
      </w:pPr>
      <w:r w:rsidRPr="00683C03">
        <w:rPr>
          <w:rFonts w:ascii="Times New Roman" w:hAnsi="Times New Roman"/>
          <w:lang w:bidi="ar-SA"/>
        </w:rPr>
        <w:t>Denied:</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Two Requests for Waiver for late-filed Form 486s.</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Fourteen Requests for Waiver of invoice deadlines.</w:t>
      </w:r>
    </w:p>
    <w:p w:rsidR="00683C03" w:rsidRPr="00683C03" w:rsidRDefault="00683C03" w:rsidP="00683C03">
      <w:pPr>
        <w:numPr>
          <w:ilvl w:val="1"/>
          <w:numId w:val="8"/>
        </w:numPr>
        <w:spacing w:after="60"/>
        <w:rPr>
          <w:rFonts w:ascii="Times New Roman" w:hAnsi="Times New Roman"/>
          <w:lang w:bidi="ar-SA"/>
        </w:rPr>
      </w:pPr>
      <w:r w:rsidRPr="00683C03">
        <w:rPr>
          <w:rFonts w:ascii="Times New Roman" w:hAnsi="Times New Roman"/>
          <w:lang w:bidi="ar-SA"/>
        </w:rPr>
        <w:t>Six Requests for Waiver of Form 471 filing deadlines.</w:t>
      </w:r>
    </w:p>
    <w:p w:rsidR="00683C03" w:rsidRPr="00683C03" w:rsidRDefault="00683C03" w:rsidP="00683C03">
      <w:pPr>
        <w:numPr>
          <w:ilvl w:val="1"/>
          <w:numId w:val="8"/>
        </w:numPr>
        <w:rPr>
          <w:rFonts w:ascii="Times New Roman" w:hAnsi="Times New Roman"/>
          <w:lang w:bidi="ar-SA"/>
        </w:rPr>
      </w:pPr>
      <w:r w:rsidRPr="00683C03">
        <w:rPr>
          <w:rFonts w:ascii="Times New Roman" w:hAnsi="Times New Roman"/>
          <w:lang w:bidi="ar-SA"/>
        </w:rPr>
        <w:t>Twelve Requests for Review and/or Waiver of late-filed appeals or waivers.</w:t>
      </w:r>
    </w:p>
    <w:p w:rsidR="00683C03" w:rsidRPr="00683C03" w:rsidRDefault="00683C03" w:rsidP="00683C03">
      <w:pPr>
        <w:outlineLvl w:val="0"/>
        <w:rPr>
          <w:rFonts w:ascii="Times New Roman" w:hAnsi="Times New Roman"/>
          <w:i/>
          <w:color w:val="2F5496"/>
          <w:lang w:bidi="ar-SA"/>
        </w:rPr>
      </w:pPr>
    </w:p>
    <w:p w:rsidR="00683C03" w:rsidRPr="00683C03" w:rsidRDefault="00683C03" w:rsidP="00683C03">
      <w:pPr>
        <w:outlineLvl w:val="0"/>
        <w:rPr>
          <w:rFonts w:ascii="Times New Roman" w:hAnsi="Times New Roman"/>
          <w:i/>
          <w:color w:val="2F5496"/>
          <w:lang w:bidi="ar-SA"/>
        </w:rPr>
      </w:pPr>
      <w:r w:rsidRPr="00683C03">
        <w:rPr>
          <w:rFonts w:ascii="Times New Roman" w:hAnsi="Times New Roman"/>
          <w:i/>
          <w:color w:val="2F5496"/>
          <w:lang w:bidi="ar-SA"/>
        </w:rPr>
        <w:t>Reply Comments on Special Construction Amortization:</w:t>
      </w:r>
    </w:p>
    <w:p w:rsidR="00683C03" w:rsidRPr="00683C03" w:rsidRDefault="00683C03" w:rsidP="00683C03">
      <w:pPr>
        <w:outlineLvl w:val="0"/>
        <w:rPr>
          <w:rFonts w:ascii="Times New Roman" w:hAnsi="Times New Roman"/>
          <w:i/>
          <w:color w:val="44546A"/>
          <w:lang w:bidi="ar-SA"/>
        </w:rPr>
      </w:pPr>
    </w:p>
    <w:p w:rsidR="00683C03" w:rsidRPr="00683C03" w:rsidRDefault="00683C03" w:rsidP="00683C03">
      <w:pPr>
        <w:outlineLvl w:val="0"/>
        <w:rPr>
          <w:rFonts w:ascii="Times New Roman" w:hAnsi="Times New Roman"/>
          <w:lang w:bidi="ar-SA"/>
        </w:rPr>
      </w:pPr>
      <w:r w:rsidRPr="00683C03">
        <w:rPr>
          <w:rFonts w:ascii="Times New Roman" w:hAnsi="Times New Roman"/>
          <w:lang w:bidi="ar-SA"/>
        </w:rPr>
        <w:t>Reply comments to the FCC’s Notice of Proposed Rulemaking (“NPRM”) and Order (</w:t>
      </w:r>
      <w:hyperlink r:id="rId19" w:history="1">
        <w:r w:rsidRPr="00683C03">
          <w:rPr>
            <w:rFonts w:ascii="Times New Roman" w:hAnsi="Times New Roman"/>
            <w:color w:val="0000FF"/>
            <w:u w:val="single"/>
            <w:lang w:bidi="ar-SA"/>
          </w:rPr>
          <w:t>FCC 19-5</w:t>
        </w:r>
      </w:hyperlink>
      <w:r w:rsidRPr="00683C03">
        <w:rPr>
          <w:rFonts w:ascii="Times New Roman" w:hAnsi="Times New Roman"/>
          <w:lang w:bidi="ar-SA"/>
        </w:rPr>
        <w:t>) to permanently eliminate the pre-FY 2015 rule requiring a three-year amortization of special construction charges of $500,000 or more were received from the following organizations.</w:t>
      </w:r>
    </w:p>
    <w:p w:rsidR="00683C03" w:rsidRPr="00683C03" w:rsidRDefault="00683C03" w:rsidP="00683C03">
      <w:pPr>
        <w:numPr>
          <w:ilvl w:val="0"/>
          <w:numId w:val="19"/>
        </w:numPr>
        <w:spacing w:before="160" w:after="60"/>
        <w:outlineLvl w:val="0"/>
        <w:rPr>
          <w:rFonts w:ascii="Times New Roman" w:hAnsi="Times New Roman"/>
          <w:lang w:bidi="ar-SA"/>
        </w:rPr>
      </w:pPr>
      <w:hyperlink r:id="rId20" w:history="1">
        <w:r w:rsidRPr="00683C03">
          <w:rPr>
            <w:rFonts w:ascii="Times New Roman" w:hAnsi="Times New Roman"/>
            <w:color w:val="0000FF"/>
            <w:u w:val="single"/>
            <w:lang w:bidi="ar-SA"/>
          </w:rPr>
          <w:t>EducationSuperHighway</w:t>
        </w:r>
      </w:hyperlink>
      <w:r w:rsidRPr="00683C03">
        <w:rPr>
          <w:rFonts w:ascii="Times New Roman" w:hAnsi="Times New Roman"/>
          <w:lang w:bidi="ar-SA"/>
        </w:rPr>
        <w:t xml:space="preserve"> (“ESH”)</w:t>
      </w:r>
    </w:p>
    <w:p w:rsidR="00683C03" w:rsidRPr="00683C03" w:rsidRDefault="00683C03" w:rsidP="00683C03">
      <w:pPr>
        <w:numPr>
          <w:ilvl w:val="0"/>
          <w:numId w:val="19"/>
        </w:numPr>
        <w:spacing w:after="60"/>
        <w:outlineLvl w:val="0"/>
        <w:rPr>
          <w:rFonts w:ascii="Times New Roman" w:hAnsi="Times New Roman"/>
          <w:lang w:bidi="ar-SA"/>
        </w:rPr>
      </w:pPr>
      <w:hyperlink r:id="rId21" w:history="1">
        <w:r w:rsidRPr="00683C03">
          <w:rPr>
            <w:rFonts w:ascii="Times New Roman" w:hAnsi="Times New Roman"/>
            <w:color w:val="0000FF"/>
            <w:u w:val="single"/>
            <w:lang w:bidi="ar-SA"/>
          </w:rPr>
          <w:t xml:space="preserve">Funds </w:t>
        </w:r>
        <w:proofErr w:type="gramStart"/>
        <w:r w:rsidRPr="00683C03">
          <w:rPr>
            <w:rFonts w:ascii="Times New Roman" w:hAnsi="Times New Roman"/>
            <w:color w:val="0000FF"/>
            <w:u w:val="single"/>
            <w:lang w:bidi="ar-SA"/>
          </w:rPr>
          <w:t>For</w:t>
        </w:r>
        <w:proofErr w:type="gramEnd"/>
        <w:r w:rsidRPr="00683C03">
          <w:rPr>
            <w:rFonts w:ascii="Times New Roman" w:hAnsi="Times New Roman"/>
            <w:color w:val="0000FF"/>
            <w:u w:val="single"/>
            <w:lang w:bidi="ar-SA"/>
          </w:rPr>
          <w:t xml:space="preserve"> Learning</w:t>
        </w:r>
      </w:hyperlink>
      <w:r w:rsidRPr="00683C03">
        <w:rPr>
          <w:rFonts w:ascii="Times New Roman" w:hAnsi="Times New Roman"/>
          <w:lang w:bidi="ar-SA"/>
        </w:rPr>
        <w:t xml:space="preserve"> (“FFL”)</w:t>
      </w:r>
    </w:p>
    <w:p w:rsidR="00683C03" w:rsidRPr="00683C03" w:rsidRDefault="00683C03" w:rsidP="00683C03">
      <w:pPr>
        <w:numPr>
          <w:ilvl w:val="0"/>
          <w:numId w:val="19"/>
        </w:numPr>
        <w:spacing w:after="60"/>
        <w:outlineLvl w:val="0"/>
        <w:rPr>
          <w:rFonts w:ascii="Times New Roman" w:hAnsi="Times New Roman"/>
          <w:lang w:bidi="ar-SA"/>
        </w:rPr>
      </w:pPr>
      <w:hyperlink r:id="rId22" w:history="1">
        <w:proofErr w:type="spellStart"/>
        <w:r w:rsidRPr="00683C03">
          <w:rPr>
            <w:rFonts w:ascii="Times New Roman" w:hAnsi="Times New Roman"/>
            <w:color w:val="0000FF"/>
            <w:u w:val="single"/>
            <w:lang w:bidi="ar-SA"/>
          </w:rPr>
          <w:t>USTelecom</w:t>
        </w:r>
        <w:proofErr w:type="spellEnd"/>
      </w:hyperlink>
      <w:r w:rsidRPr="00683C03">
        <w:rPr>
          <w:rFonts w:ascii="Times New Roman" w:hAnsi="Times New Roman"/>
          <w:lang w:bidi="ar-SA"/>
        </w:rPr>
        <w:t xml:space="preserve"> (The Broadband Association)</w:t>
      </w:r>
    </w:p>
    <w:p w:rsidR="00683C03" w:rsidRPr="00683C03" w:rsidRDefault="00683C03" w:rsidP="00683C03">
      <w:pPr>
        <w:numPr>
          <w:ilvl w:val="0"/>
          <w:numId w:val="19"/>
        </w:numPr>
        <w:contextualSpacing/>
        <w:outlineLvl w:val="0"/>
        <w:rPr>
          <w:rFonts w:ascii="Times New Roman" w:hAnsi="Times New Roman"/>
          <w:lang w:bidi="ar-SA"/>
        </w:rPr>
      </w:pPr>
      <w:hyperlink r:id="rId23" w:history="1">
        <w:r w:rsidRPr="00683C03">
          <w:rPr>
            <w:rFonts w:ascii="Times New Roman" w:hAnsi="Times New Roman"/>
            <w:color w:val="0000FF"/>
            <w:u w:val="single"/>
            <w:lang w:bidi="ar-SA"/>
          </w:rPr>
          <w:t>Wisconsin Department of Public Instruction</w:t>
        </w:r>
      </w:hyperlink>
    </w:p>
    <w:p w:rsidR="00683C03" w:rsidRPr="00683C03" w:rsidRDefault="00683C03" w:rsidP="00683C03">
      <w:pPr>
        <w:outlineLvl w:val="0"/>
        <w:rPr>
          <w:rFonts w:ascii="Times New Roman" w:hAnsi="Times New Roman"/>
          <w:lang w:bidi="ar-SA"/>
        </w:rPr>
      </w:pPr>
    </w:p>
    <w:p w:rsidR="00683C03" w:rsidRPr="00683C03" w:rsidRDefault="00683C03" w:rsidP="00683C03">
      <w:pPr>
        <w:spacing w:after="40"/>
        <w:rPr>
          <w:rFonts w:ascii="Times New Roman" w:hAnsi="Times New Roman"/>
        </w:rPr>
      </w:pPr>
      <w:r w:rsidRPr="00683C03">
        <w:rPr>
          <w:rFonts w:ascii="Times New Roman" w:hAnsi="Times New Roman"/>
          <w:lang w:bidi="ar-SA"/>
        </w:rPr>
        <w:t xml:space="preserve">Three of the four reply comments expressed strong support for elimination of the amortization requirement.  The </w:t>
      </w:r>
      <w:proofErr w:type="spellStart"/>
      <w:r w:rsidRPr="00683C03">
        <w:rPr>
          <w:rFonts w:ascii="Times New Roman" w:hAnsi="Times New Roman"/>
          <w:lang w:bidi="ar-SA"/>
        </w:rPr>
        <w:t>USTelecom</w:t>
      </w:r>
      <w:proofErr w:type="spellEnd"/>
      <w:r w:rsidRPr="00683C03">
        <w:rPr>
          <w:rFonts w:ascii="Times New Roman" w:hAnsi="Times New Roman"/>
          <w:lang w:bidi="ar-SA"/>
        </w:rPr>
        <w:t xml:space="preserve"> reply was more circumspect, picking up on the initial comments of </w:t>
      </w:r>
      <w:hyperlink r:id="rId24" w:history="1">
        <w:r w:rsidRPr="00683C03">
          <w:rPr>
            <w:rFonts w:ascii="Times New Roman" w:hAnsi="Times New Roman"/>
            <w:color w:val="0000FF"/>
            <w:u w:val="single"/>
          </w:rPr>
          <w:t>NTCA</w:t>
        </w:r>
      </w:hyperlink>
      <w:r w:rsidRPr="00683C03">
        <w:rPr>
          <w:rFonts w:ascii="Times New Roman" w:hAnsi="Times New Roman"/>
        </w:rPr>
        <w:t xml:space="preserve"> expressing concern regarding special construction subsidies for “redundant networks in areas where there are comparable, competitive networks.”  This position was contested by ESH and FFL noting that carrier industry concerns of “overbuilding” is really an attempt “to force applicants to use broadband providers with local facilities, without regard for cost and competition.”</w:t>
      </w:r>
    </w:p>
    <w:p w:rsidR="00683C03" w:rsidRPr="00683C03" w:rsidRDefault="00683C03" w:rsidP="00683C03">
      <w:pPr>
        <w:outlineLvl w:val="0"/>
        <w:rPr>
          <w:rFonts w:ascii="Times New Roman" w:hAnsi="Times New Roman"/>
          <w:lang w:bidi="ar-SA"/>
        </w:rPr>
      </w:pPr>
    </w:p>
    <w:p w:rsidR="00683C03" w:rsidRPr="00683C03" w:rsidRDefault="00683C03" w:rsidP="00683C03">
      <w:pPr>
        <w:spacing w:after="160"/>
        <w:outlineLvl w:val="0"/>
        <w:rPr>
          <w:rFonts w:ascii="Times New Roman" w:hAnsi="Times New Roman"/>
          <w:lang w:bidi="ar-SA"/>
        </w:rPr>
      </w:pPr>
      <w:r w:rsidRPr="00683C03">
        <w:rPr>
          <w:rFonts w:ascii="Times New Roman" w:hAnsi="Times New Roman"/>
          <w:lang w:bidi="ar-SA"/>
        </w:rPr>
        <w:t>FFL’s reply comments also expressed strong support for a white paper entitled “</w:t>
      </w:r>
      <w:hyperlink r:id="rId25" w:history="1">
        <w:r w:rsidRPr="00683C03">
          <w:rPr>
            <w:rFonts w:ascii="Times New Roman" w:hAnsi="Times New Roman"/>
            <w:color w:val="0000FF"/>
            <w:u w:val="single"/>
            <w:lang w:bidi="ar-SA"/>
          </w:rPr>
          <w:t>Improving the Administration of E-rate</w:t>
        </w:r>
      </w:hyperlink>
      <w:r w:rsidRPr="00683C03">
        <w:rPr>
          <w:rFonts w:ascii="Times New Roman" w:hAnsi="Times New Roman"/>
          <w:lang w:bidi="ar-SA"/>
        </w:rPr>
        <w:t>” presented to the FCC last month by the Benton Foundation and ESH.  That paper, as well as FFL’s supporting comments, focused on the following three implementation areas that have led to delays in application approvals for special construction projects:</w:t>
      </w:r>
    </w:p>
    <w:p w:rsidR="00683C03" w:rsidRPr="00683C03" w:rsidRDefault="00683C03" w:rsidP="00683C03">
      <w:pPr>
        <w:numPr>
          <w:ilvl w:val="0"/>
          <w:numId w:val="20"/>
        </w:numPr>
        <w:spacing w:after="60"/>
        <w:outlineLvl w:val="0"/>
        <w:rPr>
          <w:rFonts w:ascii="Times New Roman" w:hAnsi="Times New Roman"/>
          <w:lang w:bidi="ar-SA"/>
        </w:rPr>
      </w:pPr>
      <w:r w:rsidRPr="00683C03">
        <w:rPr>
          <w:rFonts w:ascii="Times New Roman" w:hAnsi="Times New Roman"/>
          <w:lang w:bidi="ar-SA"/>
        </w:rPr>
        <w:t>The use of an undisclosed cost-model to review a market-based competitive bidding process;</w:t>
      </w:r>
    </w:p>
    <w:p w:rsidR="00683C03" w:rsidRPr="00683C03" w:rsidRDefault="00683C03" w:rsidP="00683C03">
      <w:pPr>
        <w:numPr>
          <w:ilvl w:val="0"/>
          <w:numId w:val="20"/>
        </w:numPr>
        <w:spacing w:after="60"/>
        <w:outlineLvl w:val="0"/>
        <w:rPr>
          <w:rFonts w:ascii="Times New Roman" w:hAnsi="Times New Roman"/>
          <w:lang w:bidi="ar-SA"/>
        </w:rPr>
      </w:pPr>
      <w:r w:rsidRPr="00683C03">
        <w:rPr>
          <w:rFonts w:ascii="Times New Roman" w:hAnsi="Times New Roman"/>
          <w:lang w:bidi="ar-SA"/>
        </w:rPr>
        <w:t>The use of an un-vetted questionnaire (not approved under the Paperwork Reduction Act) to review applications; and</w:t>
      </w:r>
    </w:p>
    <w:p w:rsidR="00683C03" w:rsidRPr="00683C03" w:rsidRDefault="00683C03" w:rsidP="00683C03">
      <w:pPr>
        <w:numPr>
          <w:ilvl w:val="0"/>
          <w:numId w:val="20"/>
        </w:numPr>
        <w:contextualSpacing/>
        <w:outlineLvl w:val="0"/>
        <w:rPr>
          <w:rFonts w:ascii="Times New Roman" w:hAnsi="Times New Roman"/>
          <w:lang w:bidi="ar-SA"/>
        </w:rPr>
      </w:pPr>
      <w:r w:rsidRPr="00683C03">
        <w:rPr>
          <w:rFonts w:ascii="Times New Roman" w:hAnsi="Times New Roman"/>
          <w:lang w:bidi="ar-SA"/>
        </w:rPr>
        <w:t>The ambiguity around the use of the “cardinal change rule” to force denial or re-institution of bidding processes.</w:t>
      </w:r>
    </w:p>
    <w:p w:rsidR="00683C03" w:rsidRPr="00683C03" w:rsidRDefault="00683C03" w:rsidP="00683C03">
      <w:pPr>
        <w:outlineLvl w:val="0"/>
        <w:rPr>
          <w:rFonts w:ascii="Times New Roman" w:hAnsi="Times New Roman"/>
          <w:i/>
          <w:color w:val="2F5496"/>
          <w:lang w:bidi="ar-SA"/>
        </w:rPr>
      </w:pPr>
    </w:p>
    <w:p w:rsidR="00683C03" w:rsidRPr="00683C03" w:rsidRDefault="00683C03" w:rsidP="00683C03">
      <w:pPr>
        <w:rPr>
          <w:rFonts w:ascii="Times New Roman" w:hAnsi="Times New Roman"/>
          <w:i/>
          <w:color w:val="2F5496"/>
        </w:rPr>
      </w:pPr>
      <w:r w:rsidRPr="00683C03">
        <w:rPr>
          <w:rFonts w:ascii="Times New Roman" w:hAnsi="Times New Roman"/>
          <w:i/>
          <w:color w:val="2F5496"/>
        </w:rPr>
        <w:t>USAC Annual Report for 2018:</w:t>
      </w:r>
    </w:p>
    <w:p w:rsidR="00683C03" w:rsidRPr="00683C03" w:rsidRDefault="00683C03" w:rsidP="00683C03">
      <w:pPr>
        <w:ind w:right="-180"/>
        <w:rPr>
          <w:rFonts w:ascii="Times New Roman" w:hAnsi="Times New Roman"/>
          <w:i/>
          <w:color w:val="1F497D"/>
        </w:rPr>
      </w:pPr>
    </w:p>
    <w:p w:rsidR="00683C03" w:rsidRPr="00683C03" w:rsidRDefault="00683C03" w:rsidP="00683C03">
      <w:pPr>
        <w:spacing w:after="200"/>
        <w:rPr>
          <w:rFonts w:ascii="Times New Roman" w:hAnsi="Times New Roman"/>
        </w:rPr>
      </w:pPr>
      <w:r w:rsidRPr="00683C03">
        <w:rPr>
          <w:rFonts w:ascii="Times New Roman" w:hAnsi="Times New Roman"/>
        </w:rPr>
        <w:t xml:space="preserve">USAC released its </w:t>
      </w:r>
      <w:hyperlink r:id="rId26" w:history="1">
        <w:r w:rsidRPr="00683C03">
          <w:rPr>
            <w:rFonts w:ascii="Times New Roman" w:hAnsi="Times New Roman"/>
            <w:color w:val="0000FF"/>
            <w:u w:val="single"/>
          </w:rPr>
          <w:t>2018 Annual Report</w:t>
        </w:r>
      </w:hyperlink>
      <w:r w:rsidRPr="00683C03">
        <w:rPr>
          <w:rFonts w:ascii="Times New Roman" w:hAnsi="Times New Roman"/>
        </w:rPr>
        <w:t xml:space="preserve"> summarizing the year and highlighting all four Universal Service Fund (“USF”) programs.  For E-rate, USAC focused on:</w:t>
      </w:r>
    </w:p>
    <w:p w:rsidR="00683C03" w:rsidRPr="00683C03" w:rsidRDefault="00683C03" w:rsidP="00683C03">
      <w:pPr>
        <w:numPr>
          <w:ilvl w:val="0"/>
          <w:numId w:val="17"/>
        </w:numPr>
        <w:spacing w:after="120"/>
        <w:rPr>
          <w:rFonts w:ascii="Times New Roman" w:hAnsi="Times New Roman"/>
          <w:lang w:val="x-none" w:eastAsia="x-none" w:bidi="ar-SA"/>
        </w:rPr>
      </w:pPr>
      <w:r w:rsidRPr="00683C03">
        <w:rPr>
          <w:rFonts w:ascii="Times New Roman" w:hAnsi="Times New Roman"/>
          <w:lang w:eastAsia="x-none" w:bidi="ar-SA"/>
        </w:rPr>
        <w:t>Issuing funding decisions faster.</w:t>
      </w:r>
    </w:p>
    <w:p w:rsidR="00683C03" w:rsidRPr="00683C03" w:rsidRDefault="00683C03" w:rsidP="00683C03">
      <w:pPr>
        <w:numPr>
          <w:ilvl w:val="0"/>
          <w:numId w:val="17"/>
        </w:numPr>
        <w:spacing w:after="120"/>
        <w:rPr>
          <w:rFonts w:ascii="Times New Roman" w:hAnsi="Times New Roman"/>
          <w:lang w:val="x-none" w:eastAsia="x-none" w:bidi="ar-SA"/>
        </w:rPr>
      </w:pPr>
      <w:r w:rsidRPr="00683C03">
        <w:rPr>
          <w:rFonts w:ascii="Times New Roman" w:hAnsi="Times New Roman"/>
          <w:lang w:eastAsia="x-none" w:bidi="ar-SA"/>
        </w:rPr>
        <w:lastRenderedPageBreak/>
        <w:t>The transition of Client Service Bureau (“CSB”) operations to a new call center contractor, Sutherland Government Solutions.</w:t>
      </w:r>
    </w:p>
    <w:p w:rsidR="00683C03" w:rsidRPr="00683C03" w:rsidRDefault="00683C03" w:rsidP="00683C03">
      <w:pPr>
        <w:numPr>
          <w:ilvl w:val="0"/>
          <w:numId w:val="17"/>
        </w:numPr>
        <w:spacing w:after="120"/>
        <w:rPr>
          <w:rFonts w:ascii="Times New Roman" w:hAnsi="Times New Roman"/>
          <w:lang w:val="x-none" w:eastAsia="x-none" w:bidi="ar-SA"/>
        </w:rPr>
      </w:pPr>
      <w:r w:rsidRPr="00683C03">
        <w:rPr>
          <w:rFonts w:ascii="Times New Roman" w:hAnsi="Times New Roman"/>
          <w:lang w:eastAsia="x-none" w:bidi="ar-SA"/>
        </w:rPr>
        <w:t>The signing of a new Business Process Outsourcing contract with Maximus Federal Systems to begin handling PIA review functions as of 2019.</w:t>
      </w:r>
    </w:p>
    <w:p w:rsidR="00683C03" w:rsidRPr="00683C03" w:rsidRDefault="00683C03" w:rsidP="00683C03">
      <w:pPr>
        <w:numPr>
          <w:ilvl w:val="0"/>
          <w:numId w:val="17"/>
        </w:numPr>
        <w:contextualSpacing/>
        <w:rPr>
          <w:rFonts w:ascii="Times New Roman" w:hAnsi="Times New Roman"/>
          <w:lang w:val="x-none" w:eastAsia="x-none" w:bidi="ar-SA"/>
        </w:rPr>
      </w:pPr>
      <w:r w:rsidRPr="00683C03">
        <w:rPr>
          <w:rFonts w:ascii="Times New Roman" w:hAnsi="Times New Roman"/>
          <w:lang w:eastAsia="x-none" w:bidi="ar-SA"/>
        </w:rPr>
        <w:t>The reduction of the number of onsite training sessions while expanding the number and scope of online training modules for both applicants and service providers.</w:t>
      </w:r>
    </w:p>
    <w:p w:rsidR="00683C03" w:rsidRPr="00683C03" w:rsidRDefault="00683C03" w:rsidP="00683C03">
      <w:pPr>
        <w:outlineLvl w:val="0"/>
        <w:rPr>
          <w:rFonts w:ascii="Times New Roman" w:hAnsi="Times New Roman"/>
        </w:rPr>
      </w:pPr>
    </w:p>
    <w:p w:rsidR="00683C03" w:rsidRPr="00683C03" w:rsidRDefault="00683C03" w:rsidP="00683C03">
      <w:pPr>
        <w:jc w:val="left"/>
        <w:outlineLvl w:val="0"/>
        <w:rPr>
          <w:rFonts w:ascii="Times New Roman" w:hAnsi="Times New Roman"/>
          <w:i/>
          <w:color w:val="1F497D"/>
        </w:rPr>
      </w:pPr>
      <w:bookmarkStart w:id="29" w:name="_Hlk5182844"/>
      <w:r w:rsidRPr="00683C03">
        <w:rPr>
          <w:rFonts w:ascii="Times New Roman" w:hAnsi="Times New Roman"/>
          <w:i/>
          <w:color w:val="1F497D"/>
        </w:rPr>
        <w:t>USAC Semi-Annual Audit Recovery Report:</w:t>
      </w:r>
    </w:p>
    <w:p w:rsidR="00683C03" w:rsidRPr="00683C03" w:rsidRDefault="00683C03" w:rsidP="00683C03">
      <w:pPr>
        <w:jc w:val="left"/>
        <w:outlineLvl w:val="0"/>
        <w:rPr>
          <w:rFonts w:ascii="Times New Roman" w:hAnsi="Times New Roman"/>
          <w:i/>
          <w:color w:val="44546A"/>
        </w:rPr>
      </w:pPr>
    </w:p>
    <w:p w:rsidR="00683C03" w:rsidRPr="00683C03" w:rsidRDefault="00683C03" w:rsidP="00683C03">
      <w:pPr>
        <w:rPr>
          <w:rFonts w:ascii="Times New Roman" w:hAnsi="Times New Roman"/>
        </w:rPr>
      </w:pPr>
      <w:r w:rsidRPr="00683C03">
        <w:rPr>
          <w:rFonts w:ascii="Times New Roman" w:hAnsi="Times New Roman"/>
        </w:rPr>
        <w:t xml:space="preserve">USAC released a </w:t>
      </w:r>
      <w:hyperlink r:id="rId27" w:history="1">
        <w:r w:rsidRPr="00683C03">
          <w:rPr>
            <w:rFonts w:ascii="Times New Roman" w:hAnsi="Times New Roman"/>
            <w:color w:val="0000FF"/>
            <w:u w:val="single"/>
          </w:rPr>
          <w:t>Semi-Annual Audit Recovery Report</w:t>
        </w:r>
      </w:hyperlink>
      <w:r w:rsidRPr="00683C03">
        <w:rPr>
          <w:rFonts w:ascii="Times New Roman" w:hAnsi="Times New Roman"/>
        </w:rPr>
        <w:t xml:space="preserve"> (and an </w:t>
      </w:r>
      <w:hyperlink r:id="rId28" w:history="1">
        <w:r w:rsidRPr="00683C03">
          <w:rPr>
            <w:rFonts w:ascii="Times New Roman" w:hAnsi="Times New Roman"/>
            <w:color w:val="0000FF"/>
            <w:u w:val="single"/>
          </w:rPr>
          <w:t>associated spreadsheet</w:t>
        </w:r>
      </w:hyperlink>
      <w:r w:rsidRPr="00683C03">
        <w:rPr>
          <w:rFonts w:ascii="Times New Roman" w:hAnsi="Times New Roman"/>
        </w:rPr>
        <w:t>) for the period ending February 28, 2019.  The Report reviews the process for recovering funds based on previous audit findings and summarizes the status of audit findings outstanding for more than six months.</w:t>
      </w:r>
    </w:p>
    <w:p w:rsidR="00683C03" w:rsidRPr="00683C03" w:rsidRDefault="00683C03" w:rsidP="00683C03">
      <w:pPr>
        <w:rPr>
          <w:rFonts w:ascii="Times New Roman" w:hAnsi="Times New Roman"/>
        </w:rPr>
      </w:pPr>
    </w:p>
    <w:p w:rsidR="00683C03" w:rsidRPr="00683C03" w:rsidRDefault="00683C03" w:rsidP="00683C03">
      <w:pPr>
        <w:rPr>
          <w:rFonts w:ascii="Times New Roman" w:hAnsi="Times New Roman"/>
        </w:rPr>
      </w:pPr>
      <w:r w:rsidRPr="00683C03">
        <w:rPr>
          <w:rFonts w:ascii="Times New Roman" w:hAnsi="Times New Roman"/>
        </w:rPr>
        <w:t xml:space="preserve">One interesting aspect of these semi-annual reports that we’ve been tracking over the past year has been USAC’s renewed focus and recovery efforts on audits covering funding years from 10-20 years ago.  USAC began issuing Notification of Commitment Adjustment Letters or Notification of Recovery of Improperly Disbursed Funds Letters in early 2018.  Applicants receiving letters subjecting them to the potential repayment of E-rate funds disbursed so many years ago are justifiably upset.  As shown in the table below, what the latest semi-annual report indicates is that many of the pending actions reported last summer (see our </w:t>
      </w:r>
      <w:hyperlink r:id="rId29" w:anchor="InnerPageAnchor333" w:history="1">
        <w:r w:rsidRPr="00683C03">
          <w:rPr>
            <w:rFonts w:ascii="Times New Roman" w:hAnsi="Times New Roman"/>
            <w:color w:val="0000FF"/>
            <w:u w:val="single"/>
          </w:rPr>
          <w:t>newsletter of October 15, 2018</w:t>
        </w:r>
      </w:hyperlink>
      <w:r w:rsidRPr="00683C03">
        <w:rPr>
          <w:rFonts w:ascii="Times New Roman" w:hAnsi="Times New Roman"/>
        </w:rPr>
        <w:t>) are still pending.  In the interim six-month period, the number of pending recovery actions for FY 2010 or earlier has dropped from forty to thirteen, but the funding at risk still exceeds $15 million.</w:t>
      </w:r>
    </w:p>
    <w:p w:rsidR="00683C03" w:rsidRPr="00683C03" w:rsidRDefault="00683C03" w:rsidP="00683C03">
      <w:pPr>
        <w:rPr>
          <w:rFonts w:ascii="Times New Roman" w:hAnsi="Times New Roman"/>
          <w:sz w:val="20"/>
          <w:szCs w:val="20"/>
        </w:rPr>
      </w:pPr>
    </w:p>
    <w:p w:rsidR="00683C03" w:rsidRPr="00683C03" w:rsidRDefault="00683C03" w:rsidP="00683C03">
      <w:pPr>
        <w:rPr>
          <w:rFonts w:ascii="Times New Roman" w:hAnsi="Times New Roman"/>
        </w:rPr>
      </w:pPr>
      <w:r w:rsidRPr="00683C03">
        <w:rPr>
          <w:rFonts w:ascii="Times New Roman" w:hAnsi="Times New Roman"/>
        </w:rPr>
        <w:tab/>
      </w:r>
      <w:r w:rsidRPr="00683C03">
        <w:rPr>
          <w:rFonts w:ascii="Times New Roman" w:hAnsi="Times New Roman"/>
        </w:rPr>
        <w:tab/>
      </w:r>
      <w:r w:rsidRPr="00683C03">
        <w:rPr>
          <w:rFonts w:ascii="Times New Roman" w:hAnsi="Times New Roman"/>
        </w:rPr>
        <w:tab/>
      </w:r>
      <w:r w:rsidRPr="00683C03">
        <w:rPr>
          <w:noProof/>
        </w:rPr>
        <w:drawing>
          <wp:inline distT="0" distB="0" distL="0" distR="0" wp14:anchorId="4E3662F3" wp14:editId="177EF51F">
            <wp:extent cx="2971800" cy="24985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93185" cy="2516563"/>
                    </a:xfrm>
                    <a:prstGeom prst="rect">
                      <a:avLst/>
                    </a:prstGeom>
                  </pic:spPr>
                </pic:pic>
              </a:graphicData>
            </a:graphic>
          </wp:inline>
        </w:drawing>
      </w:r>
    </w:p>
    <w:p w:rsidR="00683C03" w:rsidRPr="00683C03" w:rsidRDefault="00683C03" w:rsidP="00683C03">
      <w:pPr>
        <w:rPr>
          <w:rFonts w:ascii="Times New Roman" w:hAnsi="Times New Roman"/>
        </w:rPr>
      </w:pPr>
    </w:p>
    <w:p w:rsidR="00683C03" w:rsidRPr="00683C03" w:rsidRDefault="00683C03" w:rsidP="00683C03">
      <w:pPr>
        <w:outlineLvl w:val="0"/>
        <w:rPr>
          <w:rFonts w:ascii="Times New Roman" w:hAnsi="Times New Roman"/>
          <w:i/>
          <w:color w:val="1F497D"/>
        </w:rPr>
      </w:pPr>
      <w:r w:rsidRPr="00683C03">
        <w:rPr>
          <w:rFonts w:ascii="Times New Roman" w:hAnsi="Times New Roman"/>
          <w:i/>
          <w:color w:val="1F497D"/>
        </w:rPr>
        <w:t>FFL’s Annual E-Rate Survey:</w:t>
      </w:r>
    </w:p>
    <w:p w:rsidR="00683C03" w:rsidRPr="00683C03" w:rsidRDefault="00683C03" w:rsidP="00683C03">
      <w:pPr>
        <w:outlineLvl w:val="0"/>
        <w:rPr>
          <w:rFonts w:ascii="Times New Roman" w:hAnsi="Times New Roman"/>
          <w:i/>
          <w:color w:val="44546A"/>
        </w:rPr>
      </w:pPr>
    </w:p>
    <w:p w:rsidR="00683C03" w:rsidRPr="00683C03" w:rsidRDefault="00683C03" w:rsidP="00683C03">
      <w:pPr>
        <w:rPr>
          <w:rFonts w:ascii="Times New Roman" w:hAnsi="Times New Roman"/>
        </w:rPr>
      </w:pPr>
      <w:r w:rsidRPr="00683C03">
        <w:rPr>
          <w:rFonts w:ascii="Times New Roman" w:hAnsi="Times New Roman"/>
        </w:rPr>
        <w:t xml:space="preserve">This is the ninth year in which Funds </w:t>
      </w:r>
      <w:proofErr w:type="gramStart"/>
      <w:r w:rsidRPr="00683C03">
        <w:rPr>
          <w:rFonts w:ascii="Times New Roman" w:hAnsi="Times New Roman"/>
        </w:rPr>
        <w:t>For</w:t>
      </w:r>
      <w:proofErr w:type="gramEnd"/>
      <w:r w:rsidRPr="00683C03">
        <w:rPr>
          <w:rFonts w:ascii="Times New Roman" w:hAnsi="Times New Roman"/>
        </w:rPr>
        <w:t xml:space="preserve"> Learning (“FFL”) — an E-rate consultant (and colleague) — has initiated a broad nationwide survey of E-rate applicants.  The survey has traditionally yielded valuable E-rate information that has had a meaningful and positive impact on public policy.  The key conclusions from the 2018 survey were:</w:t>
      </w:r>
    </w:p>
    <w:p w:rsidR="00683C03" w:rsidRPr="00683C03" w:rsidRDefault="00683C03" w:rsidP="00683C03">
      <w:pPr>
        <w:rPr>
          <w:rFonts w:ascii="Times New Roman" w:hAnsi="Times New Roman"/>
          <w:sz w:val="16"/>
          <w:szCs w:val="16"/>
          <w:lang w:bidi="ar-SA"/>
        </w:rPr>
      </w:pPr>
    </w:p>
    <w:p w:rsidR="00683C03" w:rsidRPr="00683C03" w:rsidRDefault="00683C03" w:rsidP="00683C03">
      <w:pPr>
        <w:numPr>
          <w:ilvl w:val="0"/>
          <w:numId w:val="18"/>
        </w:numPr>
        <w:spacing w:after="60"/>
        <w:rPr>
          <w:rFonts w:ascii="Times New Roman" w:hAnsi="Times New Roman"/>
          <w:lang w:bidi="ar-SA"/>
        </w:rPr>
      </w:pPr>
      <w:r w:rsidRPr="00683C03">
        <w:rPr>
          <w:rFonts w:ascii="Times New Roman" w:hAnsi="Times New Roman"/>
          <w:lang w:bidi="ar-SA"/>
        </w:rPr>
        <w:lastRenderedPageBreak/>
        <w:t xml:space="preserve">E-rate is mission critical.  88% of applicants believe that E-rate is vital to maintaining their Internet connectivity. </w:t>
      </w:r>
    </w:p>
    <w:p w:rsidR="00683C03" w:rsidRPr="00683C03" w:rsidRDefault="00683C03" w:rsidP="00683C03">
      <w:pPr>
        <w:numPr>
          <w:ilvl w:val="0"/>
          <w:numId w:val="18"/>
        </w:numPr>
        <w:spacing w:after="60"/>
        <w:rPr>
          <w:rFonts w:ascii="Times New Roman" w:hAnsi="Times New Roman"/>
          <w:lang w:bidi="ar-SA"/>
        </w:rPr>
      </w:pPr>
      <w:r w:rsidRPr="00683C03">
        <w:rPr>
          <w:rFonts w:ascii="Times New Roman" w:hAnsi="Times New Roman"/>
          <w:lang w:bidi="ar-SA"/>
        </w:rPr>
        <w:t>WiFi demand is surging.  51% of networks will require upgrades within 3 years.</w:t>
      </w:r>
    </w:p>
    <w:p w:rsidR="00683C03" w:rsidRPr="00683C03" w:rsidRDefault="00683C03" w:rsidP="00683C03">
      <w:pPr>
        <w:numPr>
          <w:ilvl w:val="0"/>
          <w:numId w:val="18"/>
        </w:numPr>
        <w:spacing w:after="60"/>
        <w:rPr>
          <w:rFonts w:ascii="Times New Roman" w:hAnsi="Times New Roman"/>
          <w:lang w:bidi="ar-SA"/>
        </w:rPr>
      </w:pPr>
      <w:r w:rsidRPr="00683C03">
        <w:rPr>
          <w:rFonts w:ascii="Times New Roman" w:hAnsi="Times New Roman"/>
          <w:lang w:bidi="ar-SA"/>
        </w:rPr>
        <w:t>Higher Category 2 budgets are needed.  45% believe that the C2 budget factor should be $250 per student.</w:t>
      </w:r>
    </w:p>
    <w:p w:rsidR="00683C03" w:rsidRPr="00683C03" w:rsidRDefault="00683C03" w:rsidP="00683C03">
      <w:pPr>
        <w:numPr>
          <w:ilvl w:val="0"/>
          <w:numId w:val="18"/>
        </w:numPr>
        <w:spacing w:after="60"/>
        <w:rPr>
          <w:rFonts w:ascii="Times New Roman" w:hAnsi="Times New Roman"/>
          <w:lang w:bidi="ar-SA"/>
        </w:rPr>
      </w:pPr>
      <w:r w:rsidRPr="00683C03">
        <w:rPr>
          <w:rFonts w:ascii="Times New Roman" w:hAnsi="Times New Roman"/>
          <w:lang w:bidi="ar-SA"/>
        </w:rPr>
        <w:t>Applicants need dependable Internet.  74% want the FCC to allow E-rate support for backup connections.</w:t>
      </w:r>
    </w:p>
    <w:p w:rsidR="00683C03" w:rsidRPr="00683C03" w:rsidRDefault="00683C03" w:rsidP="00683C03">
      <w:pPr>
        <w:numPr>
          <w:ilvl w:val="0"/>
          <w:numId w:val="18"/>
        </w:numPr>
        <w:spacing w:after="60"/>
        <w:rPr>
          <w:rFonts w:ascii="Times New Roman" w:hAnsi="Times New Roman"/>
          <w:lang w:bidi="ar-SA"/>
        </w:rPr>
      </w:pPr>
      <w:r w:rsidRPr="00683C03">
        <w:rPr>
          <w:rFonts w:ascii="Times New Roman" w:hAnsi="Times New Roman"/>
          <w:lang w:bidi="ar-SA"/>
        </w:rPr>
        <w:t>The “homework gap” remains a concern.  82% describe the lack of home Internet access as a significant issue.</w:t>
      </w:r>
    </w:p>
    <w:p w:rsidR="00683C03" w:rsidRPr="00683C03" w:rsidRDefault="00683C03" w:rsidP="00683C03">
      <w:pPr>
        <w:numPr>
          <w:ilvl w:val="0"/>
          <w:numId w:val="18"/>
        </w:numPr>
        <w:contextualSpacing/>
        <w:rPr>
          <w:rFonts w:ascii="Times New Roman" w:hAnsi="Times New Roman"/>
          <w:lang w:bidi="ar-SA"/>
        </w:rPr>
      </w:pPr>
      <w:r w:rsidRPr="00683C03">
        <w:rPr>
          <w:rFonts w:ascii="Times New Roman" w:hAnsi="Times New Roman"/>
          <w:lang w:bidi="ar-SA"/>
        </w:rPr>
        <w:t>48% think that the EPC portal has improved, but 44% say that E-rate is not fast, simple, or efficient.</w:t>
      </w:r>
    </w:p>
    <w:p w:rsidR="00683C03" w:rsidRPr="00683C03" w:rsidRDefault="00683C03" w:rsidP="00683C03">
      <w:pPr>
        <w:rPr>
          <w:rFonts w:ascii="Times New Roman" w:hAnsi="Times New Roman"/>
        </w:rPr>
      </w:pPr>
    </w:p>
    <w:p w:rsidR="00683C03" w:rsidRPr="00683C03" w:rsidRDefault="00683C03" w:rsidP="00683C03">
      <w:pPr>
        <w:rPr>
          <w:rFonts w:ascii="Times New Roman" w:hAnsi="Times New Roman"/>
        </w:rPr>
      </w:pPr>
      <w:r w:rsidRPr="00683C03">
        <w:rPr>
          <w:rFonts w:ascii="Times New Roman" w:hAnsi="Times New Roman"/>
        </w:rPr>
        <w:t xml:space="preserve">This year, with the FCC considering changes to Category 2 funding, we believe that it is especially important for the E-rate community to be proactive.  We encourage all E-rate applicants to visit </w:t>
      </w:r>
      <w:hyperlink r:id="rId31" w:history="1">
        <w:r w:rsidRPr="00683C03">
          <w:rPr>
            <w:rFonts w:ascii="Times New Roman" w:hAnsi="Times New Roman"/>
            <w:color w:val="0000FF"/>
            <w:u w:val="single"/>
          </w:rPr>
          <w:t>FFL’s 2019 survey site</w:t>
        </w:r>
      </w:hyperlink>
      <w:r w:rsidRPr="00683C03">
        <w:rPr>
          <w:rFonts w:ascii="Times New Roman" w:hAnsi="Times New Roman"/>
        </w:rPr>
        <w:t xml:space="preserve"> and express their views.</w:t>
      </w:r>
    </w:p>
    <w:bookmarkEnd w:id="29"/>
    <w:p w:rsidR="00683C03" w:rsidRPr="00683C03" w:rsidRDefault="00683C03" w:rsidP="00683C03">
      <w:pPr>
        <w:rPr>
          <w:rFonts w:ascii="Times New Roman" w:hAnsi="Times New Roman"/>
          <w:b/>
          <w:color w:val="1F497D"/>
          <w:sz w:val="36"/>
          <w:szCs w:val="36"/>
        </w:rPr>
      </w:pPr>
    </w:p>
    <w:bookmarkEnd w:id="25"/>
    <w:bookmarkEnd w:id="26"/>
    <w:bookmarkEnd w:id="27"/>
    <w:p w:rsidR="00683C03" w:rsidRPr="00683C03" w:rsidRDefault="00683C03" w:rsidP="00683C03">
      <w:pPr>
        <w:rPr>
          <w:rFonts w:ascii="Times New Roman" w:hAnsi="Times New Roman"/>
          <w:b/>
          <w:color w:val="1F3864"/>
        </w:rPr>
      </w:pPr>
      <w:r w:rsidRPr="00683C03">
        <w:rPr>
          <w:rFonts w:ascii="Times New Roman" w:hAnsi="Times New Roman"/>
          <w:b/>
          <w:color w:val="2F5496"/>
        </w:rPr>
        <w:t>USAC News Brief Dated April 5 – Overview of the PIA Review Process</w:t>
      </w:r>
    </w:p>
    <w:p w:rsidR="00683C03" w:rsidRPr="00683C03" w:rsidRDefault="00683C03" w:rsidP="00683C03">
      <w:pPr>
        <w:rPr>
          <w:rFonts w:ascii="Times New Roman" w:hAnsi="Times New Roman"/>
          <w:b/>
          <w:color w:val="1F497D"/>
        </w:rPr>
      </w:pPr>
    </w:p>
    <w:p w:rsidR="00683C03" w:rsidRPr="00683C03" w:rsidRDefault="00683C03" w:rsidP="00683C03">
      <w:pPr>
        <w:spacing w:after="160"/>
        <w:rPr>
          <w:rFonts w:ascii="Times New Roman" w:hAnsi="Times New Roman"/>
        </w:rPr>
      </w:pPr>
      <w:hyperlink r:id="rId32" w:history="1">
        <w:r w:rsidRPr="00683C03">
          <w:rPr>
            <w:rFonts w:ascii="Times New Roman" w:hAnsi="Times New Roman"/>
            <w:color w:val="0000FF"/>
            <w:u w:val="single"/>
          </w:rPr>
          <w:t>USAC’s Schools and Libraries News Brief of April 5, 2019</w:t>
        </w:r>
      </w:hyperlink>
      <w:r w:rsidRPr="00683C03">
        <w:rPr>
          <w:rFonts w:ascii="Times New Roman" w:hAnsi="Times New Roman"/>
        </w:rPr>
        <w:t xml:space="preserve">, discusses the following three aspects of the PIA review process: </w:t>
      </w:r>
    </w:p>
    <w:p w:rsidR="00683C03" w:rsidRPr="00683C03" w:rsidRDefault="00683C03" w:rsidP="00683C03">
      <w:pPr>
        <w:numPr>
          <w:ilvl w:val="0"/>
          <w:numId w:val="21"/>
        </w:numPr>
        <w:spacing w:after="40"/>
        <w:rPr>
          <w:rFonts w:ascii="Times New Roman" w:hAnsi="Times New Roman"/>
        </w:rPr>
      </w:pPr>
      <w:r w:rsidRPr="00683C03">
        <w:rPr>
          <w:rFonts w:ascii="Times New Roman" w:hAnsi="Times New Roman"/>
        </w:rPr>
        <w:t>Initial review</w:t>
      </w:r>
    </w:p>
    <w:p w:rsidR="00683C03" w:rsidRPr="00683C03" w:rsidRDefault="00683C03" w:rsidP="00683C03">
      <w:pPr>
        <w:numPr>
          <w:ilvl w:val="0"/>
          <w:numId w:val="21"/>
        </w:numPr>
        <w:spacing w:after="40"/>
        <w:rPr>
          <w:rFonts w:ascii="Times New Roman" w:hAnsi="Times New Roman"/>
        </w:rPr>
      </w:pPr>
      <w:r w:rsidRPr="00683C03">
        <w:rPr>
          <w:rFonts w:ascii="Times New Roman" w:hAnsi="Times New Roman"/>
        </w:rPr>
        <w:t>Initial review modifications and denials</w:t>
      </w:r>
    </w:p>
    <w:p w:rsidR="00683C03" w:rsidRPr="00683C03" w:rsidRDefault="00683C03" w:rsidP="00683C03">
      <w:pPr>
        <w:numPr>
          <w:ilvl w:val="0"/>
          <w:numId w:val="21"/>
        </w:numPr>
        <w:contextualSpacing/>
        <w:rPr>
          <w:rFonts w:ascii="Times New Roman" w:hAnsi="Times New Roman"/>
        </w:rPr>
      </w:pPr>
      <w:r w:rsidRPr="00683C03">
        <w:rPr>
          <w:rFonts w:ascii="Times New Roman" w:hAnsi="Times New Roman"/>
        </w:rPr>
        <w:t>Final review and quality assurance</w:t>
      </w:r>
    </w:p>
    <w:p w:rsidR="00F70666" w:rsidRDefault="00F25EBB" w:rsidP="002B061C">
      <w:pPr>
        <w:rPr>
          <w:rFonts w:ascii="Times New Roman" w:hAnsi="Times New Roman"/>
          <w:i/>
          <w:color w:val="244061" w:themeColor="accent1" w:themeShade="80"/>
        </w:rPr>
      </w:pPr>
      <w:r w:rsidRPr="00946846">
        <w:rPr>
          <w:rFonts w:ascii="Times New Roman" w:hAnsi="Times New Roman"/>
          <w:i/>
          <w:color w:val="244061" w:themeColor="accent1" w:themeShade="80"/>
        </w:rPr>
        <w:t xml:space="preserve"> </w:t>
      </w:r>
    </w:p>
    <w:p w:rsidR="00683C03" w:rsidRDefault="00683C03" w:rsidP="002B061C">
      <w:pPr>
        <w:rPr>
          <w:rFonts w:ascii="Times New Roman" w:hAnsi="Times New Roman"/>
          <w:color w:val="244061" w:themeColor="accent1" w:themeShade="80"/>
        </w:rPr>
      </w:pPr>
    </w:p>
    <w:p w:rsidR="00683C03" w:rsidRDefault="00683C03" w:rsidP="002B061C">
      <w:pPr>
        <w:rPr>
          <w:rFonts w:ascii="Times New Roman" w:hAnsi="Times New Roman"/>
          <w:color w:val="244061" w:themeColor="accent1" w:themeShade="80"/>
        </w:rPr>
      </w:pPr>
    </w:p>
    <w:p w:rsidR="00683C03" w:rsidRDefault="00683C03" w:rsidP="002B061C">
      <w:pPr>
        <w:rPr>
          <w:rFonts w:ascii="Times New Roman" w:hAnsi="Times New Roman"/>
          <w:color w:val="244061" w:themeColor="accent1" w:themeShade="80"/>
        </w:rPr>
      </w:pPr>
    </w:p>
    <w:p w:rsidR="00683C03" w:rsidRPr="00946846" w:rsidRDefault="00683C03" w:rsidP="002B061C">
      <w:pPr>
        <w:rPr>
          <w:rFonts w:ascii="Times New Roman" w:hAnsi="Times New Roman"/>
          <w:color w:val="244061" w:themeColor="accent1" w:themeShade="80"/>
        </w:rPr>
      </w:pPr>
    </w:p>
    <w:bookmarkEnd w:id="12"/>
    <w:bookmarkEnd w:id="13"/>
    <w:bookmarkEnd w:id="14"/>
    <w:bookmarkEnd w:id="15"/>
    <w:p w:rsidR="001623AB" w:rsidRDefault="002D061A" w:rsidP="001623AB">
      <w:pPr>
        <w:rPr>
          <w:rFonts w:ascii="Times New Roman" w:hAnsi="Times New Roman"/>
          <w:i/>
          <w:sz w:val="18"/>
          <w:szCs w:val="18"/>
        </w:rPr>
      </w:pPr>
      <w:r>
        <w:rPr>
          <w:rFonts w:ascii="Times New Roman" w:hAnsi="Times New Roman"/>
        </w:rPr>
        <w:t>---------------------------------------------------------------------------------------------------------------------</w:t>
      </w:r>
      <w:r w:rsidR="001623AB" w:rsidRPr="001623AB">
        <w:rPr>
          <w:rFonts w:ascii="Times New Roman" w:hAnsi="Times New Roman"/>
          <w:i/>
          <w:sz w:val="18"/>
          <w:szCs w:val="18"/>
        </w:rPr>
        <w:t xml:space="preserve"> </w:t>
      </w:r>
      <w:r w:rsidR="001623AB"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1623AB"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D061A" w:rsidRDefault="002D061A" w:rsidP="001623AB">
      <w:pPr>
        <w:rPr>
          <w:rFonts w:ascii="Times New Roman" w:hAnsi="Times New Roman"/>
          <w:i/>
          <w:sz w:val="16"/>
          <w:szCs w:val="16"/>
        </w:rPr>
      </w:pPr>
    </w:p>
    <w:p w:rsidR="002D061A" w:rsidRDefault="002D061A" w:rsidP="002D061A">
      <w:pPr>
        <w:pStyle w:val="Header"/>
        <w:rPr>
          <w:rFonts w:ascii="Times New Roman" w:hAnsi="Times New Roman"/>
          <w:i/>
          <w:sz w:val="16"/>
          <w:szCs w:val="16"/>
        </w:rPr>
      </w:pPr>
      <w:r>
        <w:rPr>
          <w:rFonts w:ascii="Times New Roman" w:hAnsi="Times New Roman"/>
          <w:i/>
          <w:sz w:val="16"/>
          <w:szCs w:val="16"/>
        </w:rPr>
        <w:t xml:space="preserve">For further information on E-rate, follow us on Twitter, Facebook, and LinkedIn.  </w:t>
      </w:r>
    </w:p>
    <w:p w:rsidR="002D061A" w:rsidRPr="00DF12B3" w:rsidRDefault="002D061A" w:rsidP="002D061A">
      <w:pPr>
        <w:rPr>
          <w:rFonts w:ascii="Times New Roman" w:hAnsi="Times New Roman"/>
          <w:i/>
          <w:color w:val="1F3864"/>
        </w:rPr>
      </w:pPr>
      <w:r>
        <w:rPr>
          <w:noProof/>
        </w:rPr>
        <w:drawing>
          <wp:inline distT="0" distB="0" distL="0" distR="0" wp14:anchorId="63210F1D" wp14:editId="064DB56A">
            <wp:extent cx="238125" cy="238125"/>
            <wp:effectExtent l="0" t="0" r="9525" b="9525"/>
            <wp:docPr id="1" name="Picture 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6E3549DE" wp14:editId="0D5FC9DB">
            <wp:extent cx="238125" cy="238125"/>
            <wp:effectExtent l="0" t="0" r="9525" b="9525"/>
            <wp:docPr id="2" name="Picture 2">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2ECF81F2" wp14:editId="69B8DAE8">
            <wp:extent cx="238125" cy="238125"/>
            <wp:effectExtent l="0" t="0" r="9525" b="9525"/>
            <wp:docPr id="3" name="Picture 3">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p>
    <w:p w:rsidR="00D9725D" w:rsidRDefault="00D9725D"/>
    <w:sectPr w:rsidR="00D9725D" w:rsidSect="00683C03">
      <w:headerReference w:type="default" r:id="rId39"/>
      <w:footerReference w:type="default" r:id="rId40"/>
      <w:headerReference w:type="first" r:id="rId41"/>
      <w:footerReference w:type="first" r:id="rId42"/>
      <w:pgSz w:w="12240" w:h="15840"/>
      <w:pgMar w:top="1440" w:right="1440" w:bottom="99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E4B" w:rsidRDefault="001623AB">
      <w:r>
        <w:separator/>
      </w:r>
    </w:p>
  </w:endnote>
  <w:endnote w:type="continuationSeparator" w:id="0">
    <w:p w:rsidR="00926E4B" w:rsidRDefault="0016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084B9A">
      <w:rPr>
        <w:rStyle w:val="PageNumber"/>
        <w:rFonts w:ascii="Times New Roman" w:hAnsi="Times New Roman"/>
        <w:color w:val="808080"/>
        <w:sz w:val="20"/>
        <w:szCs w:val="20"/>
      </w:rPr>
      <w:t>7</w:t>
    </w:r>
    <w:proofErr w:type="gramEnd"/>
  </w:p>
  <w:p w:rsidR="0017591C" w:rsidRPr="00240AEB" w:rsidRDefault="00683C03"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084B9A">
      <w:rPr>
        <w:rStyle w:val="PageNumber"/>
        <w:rFonts w:ascii="Times New Roman" w:hAnsi="Times New Roman"/>
        <w:color w:val="808080"/>
        <w:sz w:val="20"/>
        <w:szCs w:val="20"/>
      </w:rPr>
      <w:t>7</w:t>
    </w:r>
    <w:proofErr w:type="gramEnd"/>
  </w:p>
  <w:p w:rsidR="0017591C" w:rsidRDefault="00683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E4B" w:rsidRDefault="001623AB">
      <w:r>
        <w:separator/>
      </w:r>
    </w:p>
  </w:footnote>
  <w:footnote w:type="continuationSeparator" w:id="0">
    <w:p w:rsidR="00926E4B" w:rsidRDefault="0016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683C03" w:rsidP="0017591C"/>
  <w:p w:rsidR="0017591C" w:rsidRDefault="00683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E4106E">
      <w:trPr>
        <w:trHeight w:val="336"/>
      </w:trPr>
      <w:tc>
        <w:tcPr>
          <w:tcW w:w="5775" w:type="dxa"/>
          <w:vMerge w:val="restart"/>
          <w:shd w:val="clear" w:color="auto" w:fill="auto"/>
          <w:noWrap/>
          <w:vAlign w:val="center"/>
        </w:tcPr>
        <w:p w:rsidR="00240AEB" w:rsidRPr="00240AEB" w:rsidRDefault="002B061C"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B061C"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E4106E">
      <w:trPr>
        <w:trHeight w:val="356"/>
      </w:trPr>
      <w:tc>
        <w:tcPr>
          <w:tcW w:w="5775" w:type="dxa"/>
          <w:vMerge/>
          <w:shd w:val="clear" w:color="auto" w:fill="auto"/>
          <w:vAlign w:val="center"/>
        </w:tcPr>
        <w:p w:rsidR="00240AEB" w:rsidRPr="00240AEB" w:rsidRDefault="00683C03" w:rsidP="00240AEB">
          <w:pPr>
            <w:rPr>
              <w:rFonts w:ascii="Times New Roman" w:hAnsi="Times New Roman"/>
              <w:color w:val="003366"/>
              <w:sz w:val="44"/>
              <w:szCs w:val="44"/>
            </w:rPr>
          </w:pPr>
        </w:p>
      </w:tc>
      <w:tc>
        <w:tcPr>
          <w:tcW w:w="3690" w:type="dxa"/>
          <w:shd w:val="clear" w:color="auto" w:fill="auto"/>
          <w:noWrap/>
        </w:tcPr>
        <w:p w:rsidR="00240AEB" w:rsidRPr="00240AEB" w:rsidRDefault="002B061C"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Pr>
              <w:rFonts w:ascii="Times New Roman" w:hAnsi="Times New Roman"/>
              <w:b/>
              <w:color w:val="003366"/>
              <w:sz w:val="20"/>
              <w:szCs w:val="20"/>
            </w:rPr>
            <w:t xml:space="preserve">13, No. </w:t>
          </w:r>
          <w:r w:rsidR="0095232B">
            <w:rPr>
              <w:rFonts w:ascii="Times New Roman" w:hAnsi="Times New Roman"/>
              <w:b/>
              <w:color w:val="003366"/>
              <w:sz w:val="20"/>
              <w:szCs w:val="20"/>
            </w:rPr>
            <w:t>1</w:t>
          </w:r>
          <w:r w:rsidR="00084B9A">
            <w:rPr>
              <w:rFonts w:ascii="Times New Roman" w:hAnsi="Times New Roman"/>
              <w:b/>
              <w:color w:val="003366"/>
              <w:sz w:val="20"/>
              <w:szCs w:val="20"/>
            </w:rPr>
            <w:t>4</w:t>
          </w:r>
          <w:r w:rsidRPr="00240AEB">
            <w:rPr>
              <w:rFonts w:ascii="Times New Roman" w:hAnsi="Times New Roman"/>
              <w:b/>
              <w:color w:val="003366"/>
              <w:sz w:val="20"/>
              <w:szCs w:val="20"/>
            </w:rPr>
            <w:t xml:space="preserve">   </w:t>
          </w:r>
          <w:r w:rsidR="006A4E46">
            <w:rPr>
              <w:rFonts w:ascii="Times New Roman" w:hAnsi="Times New Roman"/>
              <w:b/>
              <w:color w:val="003366"/>
              <w:sz w:val="20"/>
              <w:szCs w:val="20"/>
            </w:rPr>
            <w:t xml:space="preserve">      </w:t>
          </w:r>
          <w:r w:rsidRPr="00240AEB">
            <w:rPr>
              <w:rFonts w:ascii="Times New Roman" w:hAnsi="Times New Roman"/>
              <w:b/>
              <w:color w:val="003366"/>
              <w:sz w:val="20"/>
              <w:szCs w:val="20"/>
            </w:rPr>
            <w:t xml:space="preserve"> </w:t>
          </w:r>
          <w:r w:rsidR="00EF340F">
            <w:rPr>
              <w:rFonts w:ascii="Times New Roman" w:hAnsi="Times New Roman"/>
              <w:b/>
              <w:color w:val="003366"/>
              <w:sz w:val="20"/>
              <w:szCs w:val="20"/>
            </w:rPr>
            <w:t xml:space="preserve">April </w:t>
          </w:r>
          <w:r w:rsidR="00084B9A">
            <w:rPr>
              <w:rFonts w:ascii="Times New Roman" w:hAnsi="Times New Roman"/>
              <w:b/>
              <w:color w:val="003366"/>
              <w:sz w:val="20"/>
              <w:szCs w:val="20"/>
            </w:rPr>
            <w:t>8</w:t>
          </w:r>
          <w:r>
            <w:rPr>
              <w:rFonts w:ascii="Times New Roman" w:hAnsi="Times New Roman"/>
              <w:b/>
              <w:color w:val="003366"/>
              <w:sz w:val="20"/>
              <w:szCs w:val="20"/>
            </w:rPr>
            <w:t>, 2019</w:t>
          </w:r>
        </w:p>
      </w:tc>
    </w:tr>
  </w:tbl>
  <w:p w:rsidR="0017591C" w:rsidRDefault="00683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2BF3"/>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91948"/>
    <w:multiLevelType w:val="hybridMultilevel"/>
    <w:tmpl w:val="0B341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F01CC"/>
    <w:multiLevelType w:val="hybridMultilevel"/>
    <w:tmpl w:val="532E68B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6FD0C96"/>
    <w:multiLevelType w:val="hybridMultilevel"/>
    <w:tmpl w:val="16D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F3DDC"/>
    <w:multiLevelType w:val="hybridMultilevel"/>
    <w:tmpl w:val="C6227F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13518D1"/>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61DA9"/>
    <w:multiLevelType w:val="hybridMultilevel"/>
    <w:tmpl w:val="1CBE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FE5C97"/>
    <w:multiLevelType w:val="hybridMultilevel"/>
    <w:tmpl w:val="DE2E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B34D3"/>
    <w:multiLevelType w:val="hybridMultilevel"/>
    <w:tmpl w:val="A5068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449C6"/>
    <w:multiLevelType w:val="hybridMultilevel"/>
    <w:tmpl w:val="D6B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F1233"/>
    <w:multiLevelType w:val="hybridMultilevel"/>
    <w:tmpl w:val="C880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B12897"/>
    <w:multiLevelType w:val="hybridMultilevel"/>
    <w:tmpl w:val="A6685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A2C9A"/>
    <w:multiLevelType w:val="hybridMultilevel"/>
    <w:tmpl w:val="C812D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06540"/>
    <w:multiLevelType w:val="hybridMultilevel"/>
    <w:tmpl w:val="1388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81881"/>
    <w:multiLevelType w:val="hybridMultilevel"/>
    <w:tmpl w:val="DFE0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E579E6"/>
    <w:multiLevelType w:val="hybridMultilevel"/>
    <w:tmpl w:val="870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90E3E"/>
    <w:multiLevelType w:val="hybridMultilevel"/>
    <w:tmpl w:val="6DA85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54601C"/>
    <w:multiLevelType w:val="hybridMultilevel"/>
    <w:tmpl w:val="9D22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8"/>
  </w:num>
  <w:num w:numId="4">
    <w:abstractNumId w:val="13"/>
  </w:num>
  <w:num w:numId="5">
    <w:abstractNumId w:val="4"/>
  </w:num>
  <w:num w:numId="6">
    <w:abstractNumId w:val="5"/>
  </w:num>
  <w:num w:numId="7">
    <w:abstractNumId w:val="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2"/>
  </w:num>
  <w:num w:numId="12">
    <w:abstractNumId w:val="16"/>
  </w:num>
  <w:num w:numId="13">
    <w:abstractNumId w:val="6"/>
  </w:num>
  <w:num w:numId="14">
    <w:abstractNumId w:val="11"/>
  </w:num>
  <w:num w:numId="15">
    <w:abstractNumId w:val="7"/>
  </w:num>
  <w:num w:numId="16">
    <w:abstractNumId w:val="1"/>
  </w:num>
  <w:num w:numId="17">
    <w:abstractNumId w:val="3"/>
  </w:num>
  <w:num w:numId="18">
    <w:abstractNumId w:val="12"/>
  </w:num>
  <w:num w:numId="19">
    <w:abstractNumId w:val="10"/>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1C"/>
    <w:rsid w:val="0000570F"/>
    <w:rsid w:val="00007675"/>
    <w:rsid w:val="0003731C"/>
    <w:rsid w:val="0005338B"/>
    <w:rsid w:val="00077EBB"/>
    <w:rsid w:val="00084B9A"/>
    <w:rsid w:val="000A02B2"/>
    <w:rsid w:val="000A1F4F"/>
    <w:rsid w:val="000A463D"/>
    <w:rsid w:val="000D02CA"/>
    <w:rsid w:val="000E0AFE"/>
    <w:rsid w:val="000E40E1"/>
    <w:rsid w:val="000F3A94"/>
    <w:rsid w:val="00124DAE"/>
    <w:rsid w:val="001265C3"/>
    <w:rsid w:val="00127DCE"/>
    <w:rsid w:val="00154D61"/>
    <w:rsid w:val="001623AB"/>
    <w:rsid w:val="001663B5"/>
    <w:rsid w:val="0017021A"/>
    <w:rsid w:val="001A7D1C"/>
    <w:rsid w:val="00224F20"/>
    <w:rsid w:val="00244FCC"/>
    <w:rsid w:val="00253A22"/>
    <w:rsid w:val="00264930"/>
    <w:rsid w:val="00267B95"/>
    <w:rsid w:val="00282427"/>
    <w:rsid w:val="002B061C"/>
    <w:rsid w:val="002B16FB"/>
    <w:rsid w:val="002B2070"/>
    <w:rsid w:val="002B5839"/>
    <w:rsid w:val="002B6031"/>
    <w:rsid w:val="002C698D"/>
    <w:rsid w:val="002D061A"/>
    <w:rsid w:val="00305D83"/>
    <w:rsid w:val="0032002F"/>
    <w:rsid w:val="00326301"/>
    <w:rsid w:val="00340961"/>
    <w:rsid w:val="003518CA"/>
    <w:rsid w:val="00377F49"/>
    <w:rsid w:val="00386EC2"/>
    <w:rsid w:val="003A02A3"/>
    <w:rsid w:val="003A0769"/>
    <w:rsid w:val="003B12E8"/>
    <w:rsid w:val="003B4650"/>
    <w:rsid w:val="003B48C2"/>
    <w:rsid w:val="003E754D"/>
    <w:rsid w:val="00403B39"/>
    <w:rsid w:val="0040738B"/>
    <w:rsid w:val="00423FD3"/>
    <w:rsid w:val="00450A24"/>
    <w:rsid w:val="004715AA"/>
    <w:rsid w:val="0048192A"/>
    <w:rsid w:val="00491957"/>
    <w:rsid w:val="004B06A6"/>
    <w:rsid w:val="004C5588"/>
    <w:rsid w:val="004D358E"/>
    <w:rsid w:val="004E0983"/>
    <w:rsid w:val="004E411E"/>
    <w:rsid w:val="004E69FD"/>
    <w:rsid w:val="004F69C6"/>
    <w:rsid w:val="00554B08"/>
    <w:rsid w:val="005A6819"/>
    <w:rsid w:val="005E612C"/>
    <w:rsid w:val="00600E3A"/>
    <w:rsid w:val="00611E09"/>
    <w:rsid w:val="00613A75"/>
    <w:rsid w:val="006165F2"/>
    <w:rsid w:val="0061664F"/>
    <w:rsid w:val="0062171A"/>
    <w:rsid w:val="00633DC2"/>
    <w:rsid w:val="00647BED"/>
    <w:rsid w:val="006532D5"/>
    <w:rsid w:val="00657E22"/>
    <w:rsid w:val="00683399"/>
    <w:rsid w:val="00683C03"/>
    <w:rsid w:val="006A4E46"/>
    <w:rsid w:val="006F5CE2"/>
    <w:rsid w:val="006F6F55"/>
    <w:rsid w:val="0072235F"/>
    <w:rsid w:val="00722F25"/>
    <w:rsid w:val="0072554D"/>
    <w:rsid w:val="0073257C"/>
    <w:rsid w:val="00747B7A"/>
    <w:rsid w:val="00761B3F"/>
    <w:rsid w:val="007674F6"/>
    <w:rsid w:val="00786107"/>
    <w:rsid w:val="00786A2E"/>
    <w:rsid w:val="007B2475"/>
    <w:rsid w:val="007B25FC"/>
    <w:rsid w:val="007B787A"/>
    <w:rsid w:val="007F271D"/>
    <w:rsid w:val="007F7EF4"/>
    <w:rsid w:val="00832B58"/>
    <w:rsid w:val="00851C4F"/>
    <w:rsid w:val="008666A9"/>
    <w:rsid w:val="008754A4"/>
    <w:rsid w:val="008756E1"/>
    <w:rsid w:val="00881BCF"/>
    <w:rsid w:val="00895CA0"/>
    <w:rsid w:val="008A6DCD"/>
    <w:rsid w:val="008E52ED"/>
    <w:rsid w:val="008F5CF3"/>
    <w:rsid w:val="00926E4B"/>
    <w:rsid w:val="009347BB"/>
    <w:rsid w:val="00941F77"/>
    <w:rsid w:val="00942C67"/>
    <w:rsid w:val="00946846"/>
    <w:rsid w:val="0095232B"/>
    <w:rsid w:val="0095251A"/>
    <w:rsid w:val="00952D2B"/>
    <w:rsid w:val="00982577"/>
    <w:rsid w:val="0098429F"/>
    <w:rsid w:val="00984C1D"/>
    <w:rsid w:val="009A2E1A"/>
    <w:rsid w:val="009B7CB1"/>
    <w:rsid w:val="009D1A18"/>
    <w:rsid w:val="009D39E4"/>
    <w:rsid w:val="009F2A2F"/>
    <w:rsid w:val="00A212DD"/>
    <w:rsid w:val="00A34850"/>
    <w:rsid w:val="00A432A9"/>
    <w:rsid w:val="00A557A4"/>
    <w:rsid w:val="00A65545"/>
    <w:rsid w:val="00A76454"/>
    <w:rsid w:val="00AA5BD0"/>
    <w:rsid w:val="00AE0EAB"/>
    <w:rsid w:val="00AE6E53"/>
    <w:rsid w:val="00AF02C2"/>
    <w:rsid w:val="00B01F59"/>
    <w:rsid w:val="00B05BAE"/>
    <w:rsid w:val="00B05DAE"/>
    <w:rsid w:val="00B07019"/>
    <w:rsid w:val="00B07E65"/>
    <w:rsid w:val="00B222CF"/>
    <w:rsid w:val="00B26559"/>
    <w:rsid w:val="00B27AE3"/>
    <w:rsid w:val="00B3110B"/>
    <w:rsid w:val="00B3401E"/>
    <w:rsid w:val="00B466B8"/>
    <w:rsid w:val="00B600CD"/>
    <w:rsid w:val="00B639A2"/>
    <w:rsid w:val="00B76BE1"/>
    <w:rsid w:val="00B85991"/>
    <w:rsid w:val="00BA13BA"/>
    <w:rsid w:val="00BA62D1"/>
    <w:rsid w:val="00BC0944"/>
    <w:rsid w:val="00BD4EE6"/>
    <w:rsid w:val="00BF48EE"/>
    <w:rsid w:val="00C25D7E"/>
    <w:rsid w:val="00C4071E"/>
    <w:rsid w:val="00C45A68"/>
    <w:rsid w:val="00C574AE"/>
    <w:rsid w:val="00C946D3"/>
    <w:rsid w:val="00CA7B7F"/>
    <w:rsid w:val="00CB54CA"/>
    <w:rsid w:val="00CC3A6A"/>
    <w:rsid w:val="00CD00D3"/>
    <w:rsid w:val="00D02FE5"/>
    <w:rsid w:val="00D16F62"/>
    <w:rsid w:val="00D335E3"/>
    <w:rsid w:val="00D5079B"/>
    <w:rsid w:val="00D9725D"/>
    <w:rsid w:val="00DA1C19"/>
    <w:rsid w:val="00DA763E"/>
    <w:rsid w:val="00DB7F6D"/>
    <w:rsid w:val="00DF6E98"/>
    <w:rsid w:val="00E04EEC"/>
    <w:rsid w:val="00E07333"/>
    <w:rsid w:val="00E26608"/>
    <w:rsid w:val="00E4137D"/>
    <w:rsid w:val="00E46622"/>
    <w:rsid w:val="00E470DF"/>
    <w:rsid w:val="00E474EF"/>
    <w:rsid w:val="00E6132E"/>
    <w:rsid w:val="00E721E6"/>
    <w:rsid w:val="00E72F5B"/>
    <w:rsid w:val="00E969E4"/>
    <w:rsid w:val="00EB2334"/>
    <w:rsid w:val="00EB6828"/>
    <w:rsid w:val="00EB70B0"/>
    <w:rsid w:val="00EF340F"/>
    <w:rsid w:val="00F00293"/>
    <w:rsid w:val="00F25EBB"/>
    <w:rsid w:val="00F31103"/>
    <w:rsid w:val="00F415BD"/>
    <w:rsid w:val="00F70666"/>
    <w:rsid w:val="00FB0ABA"/>
    <w:rsid w:val="00FC441E"/>
    <w:rsid w:val="00FC4C87"/>
    <w:rsid w:val="00FE6E2C"/>
    <w:rsid w:val="00FF33B4"/>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DBA2"/>
  <w15:chartTrackingRefBased/>
  <w15:docId w15:val="{D9DC6AEC-6054-493B-9F11-6E23041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6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2D061A"/>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061C"/>
    <w:pPr>
      <w:tabs>
        <w:tab w:val="center" w:pos="4680"/>
        <w:tab w:val="right" w:pos="9360"/>
      </w:tabs>
    </w:pPr>
  </w:style>
  <w:style w:type="character" w:customStyle="1" w:styleId="HeaderChar">
    <w:name w:val="Header Char"/>
    <w:basedOn w:val="DefaultParagraphFont"/>
    <w:link w:val="Header"/>
    <w:rsid w:val="002B06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2B061C"/>
    <w:pPr>
      <w:tabs>
        <w:tab w:val="center" w:pos="4680"/>
        <w:tab w:val="right" w:pos="9360"/>
      </w:tabs>
    </w:pPr>
  </w:style>
  <w:style w:type="character" w:customStyle="1" w:styleId="FooterChar">
    <w:name w:val="Footer Char"/>
    <w:basedOn w:val="DefaultParagraphFont"/>
    <w:link w:val="Footer"/>
    <w:uiPriority w:val="99"/>
    <w:rsid w:val="002B061C"/>
    <w:rPr>
      <w:rFonts w:ascii="Calibri" w:eastAsia="Times New Roman" w:hAnsi="Calibri" w:cs="Times New Roman"/>
      <w:sz w:val="24"/>
      <w:szCs w:val="24"/>
      <w:lang w:bidi="en-US"/>
    </w:rPr>
  </w:style>
  <w:style w:type="character" w:styleId="PageNumber">
    <w:name w:val="page number"/>
    <w:basedOn w:val="DefaultParagraphFont"/>
    <w:rsid w:val="002B061C"/>
  </w:style>
  <w:style w:type="character" w:customStyle="1" w:styleId="Heading6Char">
    <w:name w:val="Heading 6 Char"/>
    <w:basedOn w:val="DefaultParagraphFont"/>
    <w:link w:val="Heading6"/>
    <w:rsid w:val="002D061A"/>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F25EBB"/>
    <w:pPr>
      <w:spacing w:after="200"/>
    </w:pPr>
  </w:style>
  <w:style w:type="character" w:customStyle="1" w:styleId="FootnoteTextChar">
    <w:name w:val="Footnote Text Char"/>
    <w:basedOn w:val="DefaultParagraphFont"/>
    <w:uiPriority w:val="99"/>
    <w:semiHidden/>
    <w:rsid w:val="00F25EBB"/>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F25EBB"/>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F25EBB"/>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240650">
      <w:bodyDiv w:val="1"/>
      <w:marLeft w:val="0"/>
      <w:marRight w:val="0"/>
      <w:marTop w:val="0"/>
      <w:marBottom w:val="0"/>
      <w:divBdr>
        <w:top w:val="none" w:sz="0" w:space="0" w:color="auto"/>
        <w:left w:val="none" w:sz="0" w:space="0" w:color="auto"/>
        <w:bottom w:val="none" w:sz="0" w:space="0" w:color="auto"/>
        <w:right w:val="none" w:sz="0" w:space="0" w:color="auto"/>
      </w:divBdr>
    </w:div>
    <w:div w:id="1502965493">
      <w:bodyDiv w:val="1"/>
      <w:marLeft w:val="0"/>
      <w:marRight w:val="0"/>
      <w:marTop w:val="0"/>
      <w:marBottom w:val="0"/>
      <w:divBdr>
        <w:top w:val="none" w:sz="0" w:space="0" w:color="auto"/>
        <w:left w:val="none" w:sz="0" w:space="0" w:color="auto"/>
        <w:bottom w:val="none" w:sz="0" w:space="0" w:color="auto"/>
        <w:right w:val="none" w:sz="0" w:space="0" w:color="auto"/>
      </w:divBdr>
    </w:div>
    <w:div w:id="197467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fcc.gov/public/attachments/DA-19-170A1.pdf" TargetMode="External"/><Relationship Id="rId13" Type="http://schemas.openxmlformats.org/officeDocument/2006/relationships/image" Target="cid:image001.jpg@01D4E566.D2A06960" TargetMode="External"/><Relationship Id="rId18" Type="http://schemas.openxmlformats.org/officeDocument/2006/relationships/hyperlink" Target="https://e-ratecentral.com/Resources/Newsletters/News-of-the-Week/ArticleID/1700/August-13-2018" TargetMode="External"/><Relationship Id="rId26" Type="http://schemas.openxmlformats.org/officeDocument/2006/relationships/hyperlink" Target="https://www.usac.org/_res/documents/about/pdf/annual-reports/usac-annual-report-2018.pdf"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cfsapi.fcc.gov/file/104012663204694/FFL%20Reply%20Comments%20-%20CC%20Dockets%2019-2%3B%2013-184.pdf" TargetMode="External"/><Relationship Id="rId34" Type="http://schemas.openxmlformats.org/officeDocument/2006/relationships/image" Target="media/image4.png"/><Relationship Id="rId42" Type="http://schemas.openxmlformats.org/officeDocument/2006/relationships/footer" Target="footer2.xml"/><Relationship Id="rId7" Type="http://schemas.openxmlformats.org/officeDocument/2006/relationships/hyperlink" Target="https://www.usac.org/_res/documents/sl/pdf/FY2019-E-rate-Demand-Estimate.pdf" TargetMode="External"/><Relationship Id="rId12" Type="http://schemas.openxmlformats.org/officeDocument/2006/relationships/image" Target="media/image2.jpeg"/><Relationship Id="rId17" Type="http://schemas.openxmlformats.org/officeDocument/2006/relationships/hyperlink" Target="https://www.fcc.gov/ecfs/" TargetMode="External"/><Relationship Id="rId25" Type="http://schemas.openxmlformats.org/officeDocument/2006/relationships/hyperlink" Target="https://ecfsapi.fcc.gov/file/10311114424197/3.11.19%20Benton%20and%20ESH%20E-Rate%20White%20Paper%20Final.docx" TargetMode="External"/><Relationship Id="rId33" Type="http://schemas.openxmlformats.org/officeDocument/2006/relationships/hyperlink" Target="https://www.linkedin.com/company/e-rate-central" TargetMode="External"/><Relationship Id="rId38"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register.gotowebinar.com/register/8870224692617305603?source=SL+News+Brief_Website" TargetMode="External"/><Relationship Id="rId20" Type="http://schemas.openxmlformats.org/officeDocument/2006/relationships/hyperlink" Target="https://ecfsapi.fcc.gov/file/104011843622057/4.1.19%20ESH%20Amortization%20Reply%20Comments.pdf" TargetMode="External"/><Relationship Id="rId29" Type="http://schemas.openxmlformats.org/officeDocument/2006/relationships/hyperlink" Target="https://e-ratecentral.com/Resources/Newsletters/News-of-the-Week/ArticleID/1730/October-15-2018"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cc.gov/news-events/blog/2019/04/02/needed-usf-budgetary-cap" TargetMode="External"/><Relationship Id="rId24" Type="http://schemas.openxmlformats.org/officeDocument/2006/relationships/hyperlink" Target="https://ecfsapi.fcc.gov/file/1031871287238/03.18.19_NTCA_Comments_re-E-Rate_Amortization_NPRM_Docket_19-2_and_13-184.pdf" TargetMode="External"/><Relationship Id="rId32" Type="http://schemas.openxmlformats.org/officeDocument/2006/relationships/hyperlink" Target="https://e-ratecentral.com/Portals/0/DocFiles/files/sld-news-briefs/886.pdf" TargetMode="External"/><Relationship Id="rId37" Type="http://schemas.openxmlformats.org/officeDocument/2006/relationships/hyperlink" Target="https://twitter.com/ERateCentral"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egister.gotowebinar.com/register/4562062157391473411?source=SL+News+Brief_Website" TargetMode="External"/><Relationship Id="rId23" Type="http://schemas.openxmlformats.org/officeDocument/2006/relationships/hyperlink" Target="https://ecfsapi.fcc.gov/file/1040139806628/WIDPI_Amortization_Comments_April_2019.pdf" TargetMode="External"/><Relationship Id="rId28" Type="http://schemas.openxmlformats.org/officeDocument/2006/relationships/hyperlink" Target="https://ecfsapi.fcc.gov/file/10401237007147/SLD%20Semi%20Annual%20Audit%20Recovery%20Spreadsheet%20Report%20FINAL%20(4-1-19).pdf" TargetMode="External"/><Relationship Id="rId36" Type="http://schemas.openxmlformats.org/officeDocument/2006/relationships/image" Target="media/image5.png"/><Relationship Id="rId10" Type="http://schemas.openxmlformats.org/officeDocument/2006/relationships/hyperlink" Target="https://ecfsapi.fcc.gov/file/0327241545814/DA-19-218A1.pdf" TargetMode="External"/><Relationship Id="rId19" Type="http://schemas.openxmlformats.org/officeDocument/2006/relationships/hyperlink" Target="https://docs.fcc.gov/public/attachments/FCC-19-5A1.pdf" TargetMode="External"/><Relationship Id="rId31" Type="http://schemas.openxmlformats.org/officeDocument/2006/relationships/hyperlink" Target="https://www.surveymonkey.com/r/E-rate1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e-ratecentral.com/Portals/0/DocFiles/files/sld-news-briefs/883.pdf" TargetMode="External"/><Relationship Id="rId22" Type="http://schemas.openxmlformats.org/officeDocument/2006/relationships/hyperlink" Target="https://ecfsapi.fcc.gov/file/10401612430791/ERate%20Comments%2004012019%20FINAL.pdf" TargetMode="External"/><Relationship Id="rId27" Type="http://schemas.openxmlformats.org/officeDocument/2006/relationships/hyperlink" Target="https://ecfsapi.fcc.gov/file/10401237007147/SLD%20Semi-Anual%20Audit%20Recovery%20Report%20(FINAL)%204-1-19.pdf" TargetMode="External"/><Relationship Id="rId30" Type="http://schemas.openxmlformats.org/officeDocument/2006/relationships/image" Target="media/image3.png"/><Relationship Id="rId35" Type="http://schemas.openxmlformats.org/officeDocument/2006/relationships/hyperlink" Target="https://www.facebook.com/eratecentra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 Bradley</dc:creator>
  <cp:keywords/>
  <dc:description/>
  <cp:lastModifiedBy>Winston E. Himsworth</cp:lastModifiedBy>
  <cp:revision>5</cp:revision>
  <dcterms:created xsi:type="dcterms:W3CDTF">2019-04-06T15:16:00Z</dcterms:created>
  <dcterms:modified xsi:type="dcterms:W3CDTF">2019-04-07T23:11:00Z</dcterms:modified>
</cp:coreProperties>
</file>