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9E" w:rsidRDefault="0045119E" w:rsidP="0045119E">
      <w:pPr>
        <w:jc w:val="center"/>
        <w:rPr>
          <w:noProof/>
          <w:sz w:val="44"/>
          <w:szCs w:val="44"/>
        </w:rPr>
      </w:pPr>
      <w:r w:rsidRPr="001D68BE">
        <w:rPr>
          <w:noProof/>
          <w:sz w:val="44"/>
          <w:szCs w:val="44"/>
        </w:rPr>
        <w:t>Pacific and Northwest Consortium for Vision Education</w:t>
      </w:r>
    </w:p>
    <w:p w:rsidR="00FE7CCA" w:rsidRPr="00EA3E2D" w:rsidRDefault="00FE7CCA" w:rsidP="00EA3E2D">
      <w:pPr>
        <w:jc w:val="center"/>
        <w:rPr>
          <w:rFonts w:ascii="Harlow Solid Italic" w:hAnsi="Harlow Solid Italic"/>
          <w:noProof/>
          <w:sz w:val="36"/>
          <w:szCs w:val="36"/>
        </w:rPr>
      </w:pPr>
      <w:r w:rsidRPr="00EA3E2D">
        <w:rPr>
          <w:rFonts w:ascii="Harlow Solid Italic" w:hAnsi="Harlow Solid Italic"/>
          <w:noProof/>
          <w:sz w:val="36"/>
          <w:szCs w:val="36"/>
        </w:rPr>
        <w:t>Insuring Quality Programs and Services for Students with Visual Impairments</w:t>
      </w:r>
    </w:p>
    <w:p w:rsidR="00565ECD" w:rsidRDefault="001D68BE" w:rsidP="0045119E">
      <w:pPr>
        <w:jc w:val="center"/>
        <w:rPr>
          <w:noProof/>
        </w:rPr>
      </w:pPr>
      <w:r w:rsidRPr="001D68BE">
        <w:rPr>
          <w:noProof/>
        </w:rPr>
        <w:drawing>
          <wp:inline distT="0" distB="0" distL="0" distR="0">
            <wp:extent cx="1686438" cy="980654"/>
            <wp:effectExtent l="19050" t="0" r="9012" b="0"/>
            <wp:docPr id="9" name="Picture 1" descr="Hawa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waii.jpg"/>
                    <pic:cNvPicPr/>
                  </pic:nvPicPr>
                  <pic:blipFill>
                    <a:blip r:embed="rId5" cstate="print"/>
                    <a:stretch>
                      <a:fillRect/>
                    </a:stretch>
                  </pic:blipFill>
                  <pic:spPr>
                    <a:xfrm>
                      <a:off x="0" y="0"/>
                      <a:ext cx="1691437" cy="983561"/>
                    </a:xfrm>
                    <a:prstGeom prst="rect">
                      <a:avLst/>
                    </a:prstGeom>
                  </pic:spPr>
                </pic:pic>
              </a:graphicData>
            </a:graphic>
          </wp:inline>
        </w:drawing>
      </w:r>
      <w:r>
        <w:rPr>
          <w:noProof/>
        </w:rPr>
        <w:drawing>
          <wp:inline distT="0" distB="0" distL="0" distR="0">
            <wp:extent cx="1737082" cy="968900"/>
            <wp:effectExtent l="19050" t="0" r="0" b="0"/>
            <wp:docPr id="4" name="Picture 3" descr="Mt H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 Hood.jpg"/>
                    <pic:cNvPicPr/>
                  </pic:nvPicPr>
                  <pic:blipFill>
                    <a:blip r:embed="rId6" cstate="print"/>
                    <a:stretch>
                      <a:fillRect/>
                    </a:stretch>
                  </pic:blipFill>
                  <pic:spPr>
                    <a:xfrm>
                      <a:off x="0" y="0"/>
                      <a:ext cx="1736980" cy="968843"/>
                    </a:xfrm>
                    <a:prstGeom prst="rect">
                      <a:avLst/>
                    </a:prstGeom>
                  </pic:spPr>
                </pic:pic>
              </a:graphicData>
            </a:graphic>
          </wp:inline>
        </w:drawing>
      </w:r>
      <w:r>
        <w:rPr>
          <w:noProof/>
        </w:rPr>
        <w:drawing>
          <wp:inline distT="0" distB="0" distL="0" distR="0">
            <wp:extent cx="1815806" cy="981012"/>
            <wp:effectExtent l="19050" t="0" r="0" b="0"/>
            <wp:docPr id="5" name="Picture 0" descr="Sea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ttle.jpg"/>
                    <pic:cNvPicPr/>
                  </pic:nvPicPr>
                  <pic:blipFill>
                    <a:blip r:embed="rId7" cstate="print"/>
                    <a:stretch>
                      <a:fillRect/>
                    </a:stretch>
                  </pic:blipFill>
                  <pic:spPr>
                    <a:xfrm>
                      <a:off x="0" y="0"/>
                      <a:ext cx="1815699" cy="980954"/>
                    </a:xfrm>
                    <a:prstGeom prst="rect">
                      <a:avLst/>
                    </a:prstGeom>
                  </pic:spPr>
                </pic:pic>
              </a:graphicData>
            </a:graphic>
          </wp:inline>
        </w:drawing>
      </w:r>
      <w:r>
        <w:rPr>
          <w:noProof/>
        </w:rPr>
        <w:drawing>
          <wp:inline distT="0" distB="0" distL="0" distR="0">
            <wp:extent cx="1815805" cy="981012"/>
            <wp:effectExtent l="19050" t="0" r="0" b="0"/>
            <wp:docPr id="7" name="Picture 2" descr="Mon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ana.jpg"/>
                    <pic:cNvPicPr/>
                  </pic:nvPicPr>
                  <pic:blipFill>
                    <a:blip r:embed="rId8" cstate="print"/>
                    <a:stretch>
                      <a:fillRect/>
                    </a:stretch>
                  </pic:blipFill>
                  <pic:spPr>
                    <a:xfrm>
                      <a:off x="0" y="0"/>
                      <a:ext cx="1815700" cy="980955"/>
                    </a:xfrm>
                    <a:prstGeom prst="rect">
                      <a:avLst/>
                    </a:prstGeom>
                  </pic:spPr>
                </pic:pic>
              </a:graphicData>
            </a:graphic>
          </wp:inline>
        </w:drawing>
      </w:r>
    </w:p>
    <w:p w:rsidR="001D68BE" w:rsidRPr="001D68BE" w:rsidRDefault="00822DC5" w:rsidP="001D68BE">
      <w:pPr>
        <w:jc w:val="center"/>
        <w:rPr>
          <w:rFonts w:ascii="Braille" w:hAnsi="Braille"/>
          <w:noProof/>
          <w:sz w:val="36"/>
          <w:szCs w:val="36"/>
        </w:rPr>
      </w:pPr>
      <w:r>
        <w:rPr>
          <w:rFonts w:ascii="Braille" w:hAnsi="Braille"/>
          <w:noProof/>
          <w:sz w:val="36"/>
          <w:szCs w:val="36"/>
        </w:rPr>
        <w:t>Pacific and Northwest Consortium for Vision Education</w:t>
      </w:r>
    </w:p>
    <w:p w:rsidR="0045119E" w:rsidRDefault="001D68BE" w:rsidP="0045119E">
      <w:pPr>
        <w:jc w:val="right"/>
        <w:rPr>
          <w:noProof/>
        </w:rPr>
      </w:pPr>
      <w:r>
        <w:rPr>
          <w:noProof/>
        </w:rPr>
        <w:t>A resource of Portland State University, Program for Visual Impairments and Member States</w:t>
      </w:r>
    </w:p>
    <w:p w:rsidR="00223D14" w:rsidRPr="00FD6362" w:rsidRDefault="00223D14" w:rsidP="00FD6362">
      <w:pPr>
        <w:jc w:val="center"/>
        <w:rPr>
          <w:rFonts w:asciiTheme="minorHAnsi" w:hAnsiTheme="minorHAnsi"/>
          <w:b/>
          <w:sz w:val="28"/>
          <w:szCs w:val="28"/>
        </w:rPr>
      </w:pPr>
      <w:r w:rsidRPr="00FD6362">
        <w:rPr>
          <w:rFonts w:asciiTheme="minorHAnsi" w:hAnsiTheme="minorHAnsi"/>
          <w:b/>
          <w:sz w:val="28"/>
          <w:szCs w:val="28"/>
        </w:rPr>
        <w:t>The Program in Visual Impairments at Portland State University is pleased to announce the formation of an Orientation and Mobility Certification Program and is accepting applications for Summer 2011</w:t>
      </w:r>
    </w:p>
    <w:p w:rsidR="00223D14" w:rsidRPr="00FD6362" w:rsidRDefault="00223D14" w:rsidP="00223D14">
      <w:pPr>
        <w:spacing w:before="100" w:beforeAutospacing="1" w:after="100" w:afterAutospacing="1"/>
        <w:rPr>
          <w:rFonts w:asciiTheme="minorHAnsi" w:hAnsiTheme="minorHAnsi"/>
        </w:rPr>
      </w:pPr>
      <w:r w:rsidRPr="00FD6362">
        <w:rPr>
          <w:rFonts w:asciiTheme="minorHAnsi" w:hAnsiTheme="minorHAnsi"/>
        </w:rPr>
        <w:t>The program requires two, six-week summer sessions on campus, while the remainder of the program is delivered through web-based applications and culminates with an internship in or near the student's local community.</w:t>
      </w:r>
    </w:p>
    <w:p w:rsidR="00223D14" w:rsidRPr="00FD6362" w:rsidRDefault="00223D14" w:rsidP="00223D14">
      <w:pPr>
        <w:spacing w:before="100" w:beforeAutospacing="1" w:after="100" w:afterAutospacing="1"/>
        <w:rPr>
          <w:rFonts w:asciiTheme="minorHAnsi" w:hAnsiTheme="minorHAnsi"/>
        </w:rPr>
      </w:pPr>
      <w:r w:rsidRPr="00FD6362">
        <w:rPr>
          <w:rFonts w:asciiTheme="minorHAnsi" w:hAnsiTheme="minorHAnsi"/>
        </w:rPr>
        <w:t>This 31-credit program is designed as a focus for licensed Teachers of Students with Visual Impairments, Certified Rehabilitation Teachers or Certified Low Vision Therapists.  Applicants must have completed an accredited preparation program in one of the above areas to qualify for admission.  It is important to note that completion of an Orientation and Mobility program will not qualify the student for a teaching license.  If you wish to work with school age children and youth, most states require a teaching license or designation as an Education Specialist.  Be sure to check with your state to determine qualifications for working in the school system.</w:t>
      </w:r>
    </w:p>
    <w:p w:rsidR="00223D14" w:rsidRPr="00FD6362" w:rsidRDefault="00223D14" w:rsidP="00223D14">
      <w:pPr>
        <w:spacing w:before="100" w:beforeAutospacing="1" w:after="100" w:afterAutospacing="1"/>
        <w:rPr>
          <w:rFonts w:asciiTheme="minorHAnsi" w:hAnsiTheme="minorHAnsi"/>
        </w:rPr>
      </w:pPr>
      <w:r w:rsidRPr="00FD6362">
        <w:rPr>
          <w:rFonts w:asciiTheme="minorHAnsi" w:hAnsiTheme="minorHAnsi"/>
        </w:rPr>
        <w:t>The program of study follows the standards set by the Academy for Certification of Vision Rehabilitation and Education Professionals (ACVREP), and will prepare student to sit for the national examination for certification.</w:t>
      </w:r>
    </w:p>
    <w:p w:rsidR="00223D14" w:rsidRPr="00FD6362" w:rsidRDefault="00223D14" w:rsidP="00223D14">
      <w:pPr>
        <w:spacing w:before="100" w:beforeAutospacing="1" w:after="100" w:afterAutospacing="1"/>
        <w:rPr>
          <w:rFonts w:asciiTheme="minorHAnsi" w:hAnsiTheme="minorHAnsi"/>
        </w:rPr>
      </w:pPr>
    </w:p>
    <w:p w:rsidR="00223D14" w:rsidRPr="00FD6362" w:rsidRDefault="00223D14" w:rsidP="00223D14">
      <w:pPr>
        <w:spacing w:before="100" w:beforeAutospacing="1" w:after="100" w:afterAutospacing="1"/>
        <w:rPr>
          <w:rFonts w:asciiTheme="minorHAnsi" w:hAnsiTheme="minorHAnsi"/>
        </w:rPr>
      </w:pPr>
    </w:p>
    <w:p w:rsidR="00223D14" w:rsidRPr="00FD6362" w:rsidRDefault="00223D14" w:rsidP="00223D14">
      <w:pPr>
        <w:spacing w:before="100" w:beforeAutospacing="1" w:after="100" w:afterAutospacing="1"/>
        <w:rPr>
          <w:rFonts w:asciiTheme="minorHAnsi" w:hAnsiTheme="minorHAnsi"/>
        </w:rPr>
      </w:pPr>
    </w:p>
    <w:p w:rsidR="00223D14" w:rsidRPr="00FD6362" w:rsidRDefault="00223D14" w:rsidP="00223D14">
      <w:pPr>
        <w:spacing w:before="100" w:beforeAutospacing="1" w:after="100" w:afterAutospacing="1"/>
        <w:rPr>
          <w:rFonts w:asciiTheme="minorHAnsi" w:hAnsiTheme="minorHAnsi"/>
        </w:rPr>
      </w:pPr>
      <w:r w:rsidRPr="00FD6362">
        <w:rPr>
          <w:rFonts w:asciiTheme="minorHAnsi" w:hAnsiTheme="minorHAnsi"/>
        </w:rPr>
        <w:t>Grant and scholarship funding may be available for qualified applicants.</w:t>
      </w:r>
    </w:p>
    <w:p w:rsidR="00223D14" w:rsidRPr="00FD6362" w:rsidRDefault="00223D14" w:rsidP="00223D14">
      <w:pPr>
        <w:spacing w:before="100" w:beforeAutospacing="1" w:after="100" w:afterAutospacing="1"/>
        <w:rPr>
          <w:rFonts w:asciiTheme="minorHAnsi" w:hAnsiTheme="minorHAnsi"/>
        </w:rPr>
      </w:pPr>
      <w:r w:rsidRPr="00FD6362">
        <w:rPr>
          <w:rFonts w:asciiTheme="minorHAnsi" w:hAnsiTheme="minorHAnsi"/>
        </w:rPr>
        <w:t>Consortium members (Hawaii, Montana, Oregon, Washington) automatically qualify for resident tuition and  priority  admissions. Additional funding may be available dependent upon federal grant funding or other sources.</w:t>
      </w:r>
    </w:p>
    <w:p w:rsidR="00223D14" w:rsidRPr="00924E54" w:rsidRDefault="00223D14" w:rsidP="00223D14">
      <w:pPr>
        <w:spacing w:before="100" w:beforeAutospacing="1" w:after="100" w:afterAutospacing="1"/>
        <w:outlineLvl w:val="2"/>
        <w:rPr>
          <w:rFonts w:asciiTheme="minorHAnsi" w:hAnsiTheme="minorHAnsi"/>
          <w:b/>
          <w:bCs/>
          <w:sz w:val="22"/>
          <w:szCs w:val="22"/>
        </w:rPr>
      </w:pPr>
      <w:r w:rsidRPr="00924E54">
        <w:rPr>
          <w:rFonts w:asciiTheme="minorHAnsi" w:hAnsiTheme="minorHAnsi"/>
          <w:b/>
          <w:bCs/>
          <w:sz w:val="22"/>
          <w:szCs w:val="22"/>
        </w:rPr>
        <w:t>Year 1</w:t>
      </w:r>
    </w:p>
    <w:tbl>
      <w:tblPr>
        <w:tblW w:w="4622"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524"/>
        <w:gridCol w:w="3535"/>
        <w:gridCol w:w="3527"/>
        <w:gridCol w:w="2892"/>
      </w:tblGrid>
      <w:tr w:rsidR="00223D14" w:rsidRPr="00223D14" w:rsidTr="008F1DEE">
        <w:trPr>
          <w:tblCellSpacing w:w="15" w:type="dxa"/>
        </w:trPr>
        <w:tc>
          <w:tcPr>
            <w:tcW w:w="1285"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jc w:val="center"/>
              <w:rPr>
                <w:rFonts w:asciiTheme="minorHAnsi" w:hAnsiTheme="minorHAnsi"/>
                <w:sz w:val="20"/>
                <w:szCs w:val="20"/>
              </w:rPr>
            </w:pPr>
            <w:r w:rsidRPr="00223D14">
              <w:rPr>
                <w:rFonts w:asciiTheme="minorHAnsi" w:hAnsiTheme="minorHAnsi"/>
                <w:b/>
                <w:bCs/>
                <w:sz w:val="20"/>
                <w:szCs w:val="20"/>
              </w:rPr>
              <w:t xml:space="preserve">Summer </w:t>
            </w:r>
          </w:p>
        </w:tc>
        <w:tc>
          <w:tcPr>
            <w:tcW w:w="1294"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jc w:val="center"/>
              <w:rPr>
                <w:rFonts w:asciiTheme="minorHAnsi" w:hAnsiTheme="minorHAnsi"/>
                <w:sz w:val="20"/>
                <w:szCs w:val="20"/>
              </w:rPr>
            </w:pPr>
            <w:r w:rsidRPr="00223D14">
              <w:rPr>
                <w:rFonts w:asciiTheme="minorHAnsi" w:hAnsiTheme="minorHAnsi"/>
                <w:b/>
                <w:bCs/>
                <w:sz w:val="20"/>
                <w:szCs w:val="20"/>
              </w:rPr>
              <w:t>Fall</w:t>
            </w:r>
          </w:p>
        </w:tc>
        <w:tc>
          <w:tcPr>
            <w:tcW w:w="1292"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jc w:val="center"/>
              <w:rPr>
                <w:rFonts w:asciiTheme="minorHAnsi" w:hAnsiTheme="minorHAnsi"/>
                <w:sz w:val="20"/>
                <w:szCs w:val="20"/>
              </w:rPr>
            </w:pPr>
            <w:r w:rsidRPr="00223D14">
              <w:rPr>
                <w:rFonts w:asciiTheme="minorHAnsi" w:hAnsiTheme="minorHAnsi"/>
                <w:b/>
                <w:bCs/>
                <w:sz w:val="20"/>
                <w:szCs w:val="20"/>
              </w:rPr>
              <w:t>Winter</w:t>
            </w:r>
          </w:p>
        </w:tc>
        <w:tc>
          <w:tcPr>
            <w:tcW w:w="1051"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jc w:val="center"/>
              <w:rPr>
                <w:rFonts w:asciiTheme="minorHAnsi" w:hAnsiTheme="minorHAnsi"/>
                <w:sz w:val="20"/>
                <w:szCs w:val="20"/>
              </w:rPr>
            </w:pPr>
            <w:r w:rsidRPr="00223D14">
              <w:rPr>
                <w:rFonts w:asciiTheme="minorHAnsi" w:hAnsiTheme="minorHAnsi"/>
                <w:b/>
                <w:bCs/>
                <w:sz w:val="20"/>
                <w:szCs w:val="20"/>
              </w:rPr>
              <w:t>Spring</w:t>
            </w:r>
          </w:p>
        </w:tc>
      </w:tr>
      <w:tr w:rsidR="00223D14" w:rsidRPr="00223D14" w:rsidTr="008F1DEE">
        <w:trPr>
          <w:tblCellSpacing w:w="15" w:type="dxa"/>
        </w:trPr>
        <w:tc>
          <w:tcPr>
            <w:tcW w:w="1285"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r w:rsidRPr="00223D14">
              <w:rPr>
                <w:rFonts w:asciiTheme="minorHAnsi" w:hAnsiTheme="minorHAnsi"/>
                <w:sz w:val="20"/>
                <w:szCs w:val="20"/>
              </w:rPr>
              <w:t xml:space="preserve">Foundations of O&amp;M I (5) </w:t>
            </w:r>
          </w:p>
        </w:tc>
        <w:tc>
          <w:tcPr>
            <w:tcW w:w="1294"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r w:rsidRPr="00223D14">
              <w:rPr>
                <w:rFonts w:asciiTheme="minorHAnsi" w:hAnsiTheme="minorHAnsi"/>
                <w:sz w:val="20"/>
                <w:szCs w:val="20"/>
              </w:rPr>
              <w:t xml:space="preserve">Foundations of O&amp;M II (4) </w:t>
            </w:r>
          </w:p>
        </w:tc>
        <w:tc>
          <w:tcPr>
            <w:tcW w:w="1292"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r w:rsidRPr="00223D14">
              <w:rPr>
                <w:rFonts w:asciiTheme="minorHAnsi" w:hAnsiTheme="minorHAnsi"/>
                <w:sz w:val="20"/>
                <w:szCs w:val="20"/>
              </w:rPr>
              <w:t>Internship I (3)</w:t>
            </w:r>
          </w:p>
        </w:tc>
        <w:tc>
          <w:tcPr>
            <w:tcW w:w="1051"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r w:rsidRPr="00223D14">
              <w:rPr>
                <w:rFonts w:asciiTheme="minorHAnsi" w:hAnsiTheme="minorHAnsi"/>
                <w:sz w:val="20"/>
                <w:szCs w:val="20"/>
              </w:rPr>
              <w:t>Internship I (cont)</w:t>
            </w:r>
          </w:p>
        </w:tc>
      </w:tr>
      <w:tr w:rsidR="00223D14" w:rsidRPr="00223D14" w:rsidTr="008F1DEE">
        <w:trPr>
          <w:tblCellSpacing w:w="15" w:type="dxa"/>
        </w:trPr>
        <w:tc>
          <w:tcPr>
            <w:tcW w:w="1285"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r w:rsidRPr="00223D14">
              <w:rPr>
                <w:rFonts w:asciiTheme="minorHAnsi" w:hAnsiTheme="minorHAnsi"/>
                <w:sz w:val="20"/>
                <w:szCs w:val="20"/>
              </w:rPr>
              <w:t xml:space="preserve">Techniques of O&amp;M I (3) </w:t>
            </w:r>
          </w:p>
        </w:tc>
        <w:tc>
          <w:tcPr>
            <w:tcW w:w="1294"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p>
        </w:tc>
        <w:tc>
          <w:tcPr>
            <w:tcW w:w="1292"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p>
        </w:tc>
        <w:tc>
          <w:tcPr>
            <w:tcW w:w="1051"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p>
        </w:tc>
      </w:tr>
    </w:tbl>
    <w:p w:rsidR="00223D14" w:rsidRPr="00924E54" w:rsidRDefault="00223D14" w:rsidP="00223D14">
      <w:pPr>
        <w:spacing w:before="100" w:beforeAutospacing="1" w:after="100" w:afterAutospacing="1"/>
        <w:outlineLvl w:val="2"/>
        <w:rPr>
          <w:rFonts w:asciiTheme="minorHAnsi" w:hAnsiTheme="minorHAnsi"/>
          <w:b/>
          <w:bCs/>
          <w:sz w:val="22"/>
          <w:szCs w:val="22"/>
        </w:rPr>
      </w:pPr>
      <w:r w:rsidRPr="00924E54">
        <w:rPr>
          <w:rFonts w:asciiTheme="minorHAnsi" w:hAnsiTheme="minorHAnsi"/>
          <w:b/>
          <w:bCs/>
          <w:sz w:val="22"/>
          <w:szCs w:val="22"/>
        </w:rPr>
        <w:t>Year 2</w:t>
      </w:r>
    </w:p>
    <w:tbl>
      <w:tblPr>
        <w:tblW w:w="4622"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535"/>
        <w:gridCol w:w="3519"/>
        <w:gridCol w:w="3519"/>
        <w:gridCol w:w="2905"/>
      </w:tblGrid>
      <w:tr w:rsidR="00223D14" w:rsidRPr="00223D14" w:rsidTr="008F1DEE">
        <w:trPr>
          <w:tblCellSpacing w:w="15" w:type="dxa"/>
        </w:trPr>
        <w:tc>
          <w:tcPr>
            <w:tcW w:w="1289"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jc w:val="center"/>
              <w:rPr>
                <w:rFonts w:asciiTheme="minorHAnsi" w:hAnsiTheme="minorHAnsi"/>
                <w:sz w:val="20"/>
                <w:szCs w:val="20"/>
              </w:rPr>
            </w:pPr>
            <w:r w:rsidRPr="00223D14">
              <w:rPr>
                <w:rFonts w:asciiTheme="minorHAnsi" w:hAnsiTheme="minorHAnsi"/>
                <w:b/>
                <w:bCs/>
                <w:sz w:val="20"/>
                <w:szCs w:val="20"/>
              </w:rPr>
              <w:t>Summer</w:t>
            </w:r>
          </w:p>
        </w:tc>
        <w:tc>
          <w:tcPr>
            <w:tcW w:w="1289"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jc w:val="center"/>
              <w:rPr>
                <w:rFonts w:asciiTheme="minorHAnsi" w:hAnsiTheme="minorHAnsi"/>
                <w:sz w:val="20"/>
                <w:szCs w:val="20"/>
              </w:rPr>
            </w:pPr>
            <w:r w:rsidRPr="00223D14">
              <w:rPr>
                <w:rFonts w:asciiTheme="minorHAnsi" w:hAnsiTheme="minorHAnsi"/>
                <w:b/>
                <w:bCs/>
                <w:sz w:val="20"/>
                <w:szCs w:val="20"/>
              </w:rPr>
              <w:t>Fall</w:t>
            </w:r>
          </w:p>
        </w:tc>
        <w:tc>
          <w:tcPr>
            <w:tcW w:w="1289"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jc w:val="center"/>
              <w:rPr>
                <w:rFonts w:asciiTheme="minorHAnsi" w:hAnsiTheme="minorHAnsi"/>
                <w:sz w:val="20"/>
                <w:szCs w:val="20"/>
              </w:rPr>
            </w:pPr>
            <w:r w:rsidRPr="00223D14">
              <w:rPr>
                <w:rFonts w:asciiTheme="minorHAnsi" w:hAnsiTheme="minorHAnsi"/>
                <w:b/>
                <w:bCs/>
                <w:sz w:val="20"/>
                <w:szCs w:val="20"/>
              </w:rPr>
              <w:t>Winter</w:t>
            </w:r>
          </w:p>
        </w:tc>
        <w:tc>
          <w:tcPr>
            <w:tcW w:w="1056"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jc w:val="center"/>
              <w:rPr>
                <w:rFonts w:asciiTheme="minorHAnsi" w:hAnsiTheme="minorHAnsi"/>
                <w:sz w:val="20"/>
                <w:szCs w:val="20"/>
              </w:rPr>
            </w:pPr>
            <w:r w:rsidRPr="00223D14">
              <w:rPr>
                <w:rFonts w:asciiTheme="minorHAnsi" w:hAnsiTheme="minorHAnsi"/>
                <w:b/>
                <w:bCs/>
                <w:sz w:val="20"/>
                <w:szCs w:val="20"/>
              </w:rPr>
              <w:t>Spring</w:t>
            </w:r>
          </w:p>
        </w:tc>
      </w:tr>
      <w:tr w:rsidR="00223D14" w:rsidRPr="00223D14" w:rsidTr="008F1DEE">
        <w:trPr>
          <w:tblCellSpacing w:w="15" w:type="dxa"/>
        </w:trPr>
        <w:tc>
          <w:tcPr>
            <w:tcW w:w="1289"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r w:rsidRPr="00223D14">
              <w:rPr>
                <w:rFonts w:asciiTheme="minorHAnsi" w:hAnsiTheme="minorHAnsi"/>
                <w:sz w:val="20"/>
                <w:szCs w:val="20"/>
              </w:rPr>
              <w:t>Instructional Strategies (4)</w:t>
            </w:r>
          </w:p>
        </w:tc>
        <w:tc>
          <w:tcPr>
            <w:tcW w:w="1289"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r w:rsidRPr="00223D14">
              <w:rPr>
                <w:rFonts w:asciiTheme="minorHAnsi" w:hAnsiTheme="minorHAnsi"/>
                <w:sz w:val="20"/>
                <w:szCs w:val="20"/>
              </w:rPr>
              <w:t xml:space="preserve">Internship II (9) </w:t>
            </w:r>
          </w:p>
        </w:tc>
        <w:tc>
          <w:tcPr>
            <w:tcW w:w="1289"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p>
        </w:tc>
        <w:tc>
          <w:tcPr>
            <w:tcW w:w="1056"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p>
        </w:tc>
      </w:tr>
      <w:tr w:rsidR="00223D14" w:rsidRPr="00223D14" w:rsidTr="008F1DEE">
        <w:trPr>
          <w:tblCellSpacing w:w="15" w:type="dxa"/>
        </w:trPr>
        <w:tc>
          <w:tcPr>
            <w:tcW w:w="1289"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r w:rsidRPr="00223D14">
              <w:rPr>
                <w:rFonts w:asciiTheme="minorHAnsi" w:hAnsiTheme="minorHAnsi"/>
                <w:sz w:val="20"/>
                <w:szCs w:val="20"/>
              </w:rPr>
              <w:t>Techniques of O&amp;M II (3)</w:t>
            </w:r>
          </w:p>
        </w:tc>
        <w:tc>
          <w:tcPr>
            <w:tcW w:w="1289"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p>
        </w:tc>
        <w:tc>
          <w:tcPr>
            <w:tcW w:w="1289"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p>
        </w:tc>
        <w:tc>
          <w:tcPr>
            <w:tcW w:w="1056" w:type="pct"/>
            <w:tcBorders>
              <w:top w:val="outset" w:sz="6" w:space="0" w:color="auto"/>
              <w:left w:val="outset" w:sz="6" w:space="0" w:color="auto"/>
              <w:bottom w:val="outset" w:sz="6" w:space="0" w:color="auto"/>
              <w:right w:val="outset" w:sz="6" w:space="0" w:color="auto"/>
            </w:tcBorders>
            <w:vAlign w:val="center"/>
            <w:hideMark/>
          </w:tcPr>
          <w:p w:rsidR="00223D14" w:rsidRPr="00223D14" w:rsidRDefault="00223D14" w:rsidP="008F1DEE">
            <w:pPr>
              <w:rPr>
                <w:rFonts w:asciiTheme="minorHAnsi" w:hAnsiTheme="minorHAnsi"/>
                <w:sz w:val="20"/>
                <w:szCs w:val="20"/>
              </w:rPr>
            </w:pPr>
          </w:p>
        </w:tc>
      </w:tr>
    </w:tbl>
    <w:p w:rsidR="00223D14" w:rsidRDefault="00223D14" w:rsidP="00223D14">
      <w:pPr>
        <w:rPr>
          <w:rFonts w:asciiTheme="minorHAnsi" w:hAnsiTheme="minorHAnsi"/>
          <w:b/>
          <w:sz w:val="22"/>
          <w:szCs w:val="22"/>
        </w:rPr>
      </w:pPr>
    </w:p>
    <w:p w:rsidR="00BC3239" w:rsidRDefault="00BC3239" w:rsidP="00223D14">
      <w:pPr>
        <w:rPr>
          <w:rFonts w:asciiTheme="minorHAnsi" w:hAnsiTheme="minorHAnsi"/>
          <w:b/>
        </w:rPr>
      </w:pPr>
      <w:r>
        <w:rPr>
          <w:rFonts w:asciiTheme="minorHAnsi" w:hAnsiTheme="minorHAnsi"/>
          <w:b/>
        </w:rPr>
        <w:t>APPLICATION DEALINE:  January 3, 2011</w:t>
      </w:r>
    </w:p>
    <w:p w:rsidR="00223D14" w:rsidRPr="00223D14" w:rsidRDefault="00223D14" w:rsidP="00223D14">
      <w:pPr>
        <w:rPr>
          <w:rFonts w:asciiTheme="minorHAnsi" w:hAnsiTheme="minorHAnsi"/>
          <w:b/>
        </w:rPr>
      </w:pPr>
      <w:r w:rsidRPr="00223D14">
        <w:rPr>
          <w:rFonts w:asciiTheme="minorHAnsi" w:hAnsiTheme="minorHAnsi"/>
          <w:b/>
        </w:rPr>
        <w:t xml:space="preserve">For complete program information and application procedures, please visit our website at:  </w:t>
      </w:r>
      <w:hyperlink r:id="rId9" w:history="1">
        <w:r w:rsidRPr="00223D14">
          <w:rPr>
            <w:rStyle w:val="Hyperlink"/>
            <w:rFonts w:asciiTheme="minorHAnsi" w:hAnsiTheme="minorHAnsi"/>
            <w:b/>
          </w:rPr>
          <w:t>www.pdx.edu/sped/vil</w:t>
        </w:r>
      </w:hyperlink>
      <w:r w:rsidRPr="00223D14">
        <w:rPr>
          <w:rFonts w:asciiTheme="minorHAnsi" w:hAnsiTheme="minorHAnsi"/>
          <w:b/>
        </w:rPr>
        <w:t xml:space="preserve"> or contact:</w:t>
      </w:r>
    </w:p>
    <w:p w:rsidR="00223D14" w:rsidRPr="00223D14" w:rsidRDefault="00223D14" w:rsidP="00BC3239">
      <w:pPr>
        <w:pStyle w:val="NoSpacing"/>
      </w:pPr>
      <w:r w:rsidRPr="00223D14">
        <w:t>James O. Bickford, Ed.D.</w:t>
      </w:r>
    </w:p>
    <w:p w:rsidR="00223D14" w:rsidRPr="00223D14" w:rsidRDefault="00223D14" w:rsidP="00BC3239">
      <w:pPr>
        <w:pStyle w:val="NoSpacing"/>
      </w:pPr>
      <w:r w:rsidRPr="00223D14">
        <w:t>Coordinator:  Program in Visual Impairments</w:t>
      </w:r>
    </w:p>
    <w:p w:rsidR="00223D14" w:rsidRPr="00223D14" w:rsidRDefault="00223D14" w:rsidP="00BC3239">
      <w:pPr>
        <w:pStyle w:val="NoSpacing"/>
      </w:pPr>
      <w:r w:rsidRPr="00223D14">
        <w:t>503.725.5495</w:t>
      </w:r>
    </w:p>
    <w:p w:rsidR="00223D14" w:rsidRPr="00FD6362" w:rsidRDefault="003915F2" w:rsidP="00BC3239">
      <w:pPr>
        <w:pStyle w:val="NoSpacing"/>
      </w:pPr>
      <w:hyperlink r:id="rId10" w:history="1">
        <w:r w:rsidR="00223D14" w:rsidRPr="00223D14">
          <w:rPr>
            <w:rStyle w:val="Hyperlink"/>
            <w:rFonts w:asciiTheme="minorHAnsi" w:hAnsiTheme="minorHAnsi"/>
            <w:b/>
          </w:rPr>
          <w:t>bickford@pdx.edu</w:t>
        </w:r>
      </w:hyperlink>
      <w:r w:rsidR="00223D14" w:rsidRPr="00223D14">
        <w:t xml:space="preserve"> </w:t>
      </w:r>
    </w:p>
    <w:sectPr w:rsidR="00223D14" w:rsidRPr="00FD6362" w:rsidSect="00EA3E2D">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arlow Solid Italic">
    <w:panose1 w:val="04030604020F02020D02"/>
    <w:charset w:val="00"/>
    <w:family w:val="decorative"/>
    <w:pitch w:val="variable"/>
    <w:sig w:usb0="00000003" w:usb1="00000000" w:usb2="00000000" w:usb3="00000000" w:csb0="00000001" w:csb1="00000000"/>
  </w:font>
  <w:font w:name="Braille">
    <w:altName w:val="Courier New"/>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77352"/>
    <w:multiLevelType w:val="hybridMultilevel"/>
    <w:tmpl w:val="CD3E5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20"/>
  <w:displayHorizontalDrawingGridEvery w:val="2"/>
  <w:characterSpacingControl w:val="doNotCompress"/>
  <w:compat/>
  <w:rsids>
    <w:rsidRoot w:val="001D68BE"/>
    <w:rsid w:val="00135620"/>
    <w:rsid w:val="0015527C"/>
    <w:rsid w:val="001A2EDD"/>
    <w:rsid w:val="001D68BE"/>
    <w:rsid w:val="00223D14"/>
    <w:rsid w:val="003915F2"/>
    <w:rsid w:val="003E6E84"/>
    <w:rsid w:val="0045119E"/>
    <w:rsid w:val="004636BE"/>
    <w:rsid w:val="004B4F50"/>
    <w:rsid w:val="00500C8F"/>
    <w:rsid w:val="00565ECD"/>
    <w:rsid w:val="005702AC"/>
    <w:rsid w:val="005C03E8"/>
    <w:rsid w:val="00671A2D"/>
    <w:rsid w:val="006776B9"/>
    <w:rsid w:val="0072228F"/>
    <w:rsid w:val="007C29E4"/>
    <w:rsid w:val="007F58FE"/>
    <w:rsid w:val="00822DC5"/>
    <w:rsid w:val="00A10B34"/>
    <w:rsid w:val="00B47C0E"/>
    <w:rsid w:val="00BC3239"/>
    <w:rsid w:val="00D5778A"/>
    <w:rsid w:val="00DA6345"/>
    <w:rsid w:val="00DC19D7"/>
    <w:rsid w:val="00DE3F52"/>
    <w:rsid w:val="00E14DDD"/>
    <w:rsid w:val="00EA3E2D"/>
    <w:rsid w:val="00EC4E0D"/>
    <w:rsid w:val="00FD6362"/>
    <w:rsid w:val="00FE7C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E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BE"/>
    <w:rPr>
      <w:rFonts w:ascii="Tahoma" w:hAnsi="Tahoma" w:cs="Tahoma"/>
      <w:sz w:val="16"/>
      <w:szCs w:val="16"/>
    </w:rPr>
  </w:style>
  <w:style w:type="paragraph" w:styleId="NoSpacing">
    <w:name w:val="No Spacing"/>
    <w:uiPriority w:val="1"/>
    <w:qFormat/>
    <w:rsid w:val="0045119E"/>
    <w:pPr>
      <w:spacing w:after="0" w:line="240" w:lineRule="auto"/>
    </w:pPr>
  </w:style>
  <w:style w:type="table" w:styleId="TableGrid">
    <w:name w:val="Table Grid"/>
    <w:basedOn w:val="TableNormal"/>
    <w:uiPriority w:val="59"/>
    <w:rsid w:val="00451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23D14"/>
    <w:rPr>
      <w:color w:val="000080"/>
      <w:u w:val="single"/>
    </w:rPr>
  </w:style>
  <w:style w:type="paragraph" w:styleId="ListParagraph">
    <w:name w:val="List Paragraph"/>
    <w:basedOn w:val="Normal"/>
    <w:uiPriority w:val="34"/>
    <w:qFormat/>
    <w:rsid w:val="00223D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bickford@pdx.edu" TargetMode="External"/><Relationship Id="rId4" Type="http://schemas.openxmlformats.org/officeDocument/2006/relationships/webSettings" Target="webSettings.xml"/><Relationship Id="rId9" Type="http://schemas.openxmlformats.org/officeDocument/2006/relationships/hyperlink" Target="http://www.pdx.edu/sped/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Bickford</dc:creator>
  <cp:keywords/>
  <dc:description/>
  <cp:lastModifiedBy>Julie York</cp:lastModifiedBy>
  <cp:revision>2</cp:revision>
  <dcterms:created xsi:type="dcterms:W3CDTF">2010-11-19T15:46:00Z</dcterms:created>
  <dcterms:modified xsi:type="dcterms:W3CDTF">2010-11-19T15:46:00Z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72342031</vt:i4>
  </property>
  <property fmtid="{D5CDD505-2E9C-101B-9397-08002B2CF9AE}" pid="3" name="_NewReviewCycle">
    <vt:lpwstr/>
  </property>
  <property fmtid="{D5CDD505-2E9C-101B-9397-08002B2CF9AE}" pid="4" name="_EmailSubject">
    <vt:lpwstr>O&amp;M Flyer</vt:lpwstr>
  </property>
  <property fmtid="{D5CDD505-2E9C-101B-9397-08002B2CF9AE}" pid="5" name="_AuthorEmail">
    <vt:lpwstr>julie.york@ode.state.or.us</vt:lpwstr>
  </property>
  <property fmtid="{D5CDD505-2E9C-101B-9397-08002B2CF9AE}" pid="6" name="_AuthorEmailDisplayName">
    <vt:lpwstr>YORK Julie</vt:lpwstr>
  </property>
</Properties>
</file>