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9C" w:rsidRDefault="0029189C">
      <w:pPr>
        <w:spacing w:before="9"/>
        <w:rPr>
          <w:rFonts w:ascii="Times New Roman" w:eastAsia="Times New Roman" w:hAnsi="Times New Roman" w:cs="Times New Roman"/>
          <w:sz w:val="23"/>
          <w:szCs w:val="23"/>
        </w:rPr>
      </w:pPr>
      <w:bookmarkStart w:id="0" w:name="_GoBack"/>
      <w:bookmarkEnd w:id="0"/>
    </w:p>
    <w:p w:rsidR="0029189C" w:rsidRPr="00AB5E60" w:rsidRDefault="00B35009">
      <w:pPr>
        <w:spacing w:before="42"/>
        <w:ind w:left="1365"/>
        <w:rPr>
          <w:rFonts w:ascii="Times New Roman" w:eastAsia="Times New Roman" w:hAnsi="Times New Roman" w:cs="Times New Roman"/>
          <w:sz w:val="45"/>
          <w:szCs w:val="45"/>
          <w:lang w:val="es-ES"/>
        </w:rPr>
      </w:pPr>
      <w:r>
        <w:rPr>
          <w:noProof/>
        </w:rPr>
        <w:drawing>
          <wp:anchor distT="0" distB="0" distL="114300" distR="114300" simplePos="0" relativeHeight="251657728" behindDoc="1" locked="0" layoutInCell="1" allowOverlap="1">
            <wp:simplePos x="0" y="0"/>
            <wp:positionH relativeFrom="page">
              <wp:posOffset>621665</wp:posOffset>
            </wp:positionH>
            <wp:positionV relativeFrom="paragraph">
              <wp:posOffset>-126365</wp:posOffset>
            </wp:positionV>
            <wp:extent cx="868680" cy="8915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891540"/>
                    </a:xfrm>
                    <a:prstGeom prst="rect">
                      <a:avLst/>
                    </a:prstGeom>
                    <a:noFill/>
                  </pic:spPr>
                </pic:pic>
              </a:graphicData>
            </a:graphic>
            <wp14:sizeRelH relativeFrom="page">
              <wp14:pctWidth>0</wp14:pctWidth>
            </wp14:sizeRelH>
            <wp14:sizeRelV relativeFrom="page">
              <wp14:pctHeight>0</wp14:pctHeight>
            </wp14:sizeRelV>
          </wp:anchor>
        </w:drawing>
      </w:r>
      <w:r w:rsidR="00AB5E60">
        <w:rPr>
          <w:rFonts w:ascii="Times New Roman"/>
          <w:color w:val="26427E"/>
          <w:sz w:val="45"/>
          <w:lang w:val="es"/>
        </w:rPr>
        <w:t xml:space="preserve">. </w:t>
      </w:r>
      <w:r w:rsidR="00AB5E60" w:rsidRPr="00AB5E60">
        <w:rPr>
          <w:rFonts w:ascii="Times New Roman" w:hAnsi="Times New Roman" w:cs="Times New Roman"/>
          <w:b/>
          <w:bCs/>
          <w:color w:val="2A5B97"/>
          <w:sz w:val="45"/>
          <w:lang w:val="es"/>
        </w:rPr>
        <w:t xml:space="preserve">Departamento de Educación de </w:t>
      </w:r>
      <w:proofErr w:type="spellStart"/>
      <w:r w:rsidR="00AB5E60" w:rsidRPr="00AB5E60">
        <w:rPr>
          <w:rFonts w:ascii="Times New Roman" w:hAnsi="Times New Roman" w:cs="Times New Roman"/>
          <w:b/>
          <w:bCs/>
          <w:color w:val="2A5B97"/>
          <w:sz w:val="45"/>
          <w:lang w:val="es"/>
        </w:rPr>
        <w:t>Oregon</w:t>
      </w:r>
      <w:proofErr w:type="spellEnd"/>
    </w:p>
    <w:p w:rsidR="0029189C" w:rsidRPr="00AB5E60" w:rsidRDefault="00AB5E60">
      <w:pPr>
        <w:spacing w:before="93"/>
        <w:ind w:left="1616"/>
        <w:rPr>
          <w:rFonts w:ascii="Arial" w:eastAsia="Arial" w:hAnsi="Arial" w:cs="Arial"/>
          <w:sz w:val="18"/>
          <w:szCs w:val="18"/>
          <w:lang w:val="es-ES"/>
        </w:rPr>
      </w:pPr>
      <w:r>
        <w:rPr>
          <w:rFonts w:ascii="Arial"/>
          <w:color w:val="2A5B97"/>
          <w:sz w:val="18"/>
          <w:lang w:val="es"/>
        </w:rPr>
        <w:t>Kate Brown, Gobernadora</w:t>
      </w:r>
    </w:p>
    <w:p w:rsidR="0029189C" w:rsidRPr="00AB5E60" w:rsidRDefault="0029189C">
      <w:pPr>
        <w:spacing w:before="9"/>
        <w:rPr>
          <w:rFonts w:ascii="Arial" w:eastAsia="Arial" w:hAnsi="Arial" w:cs="Arial"/>
          <w:sz w:val="18"/>
          <w:szCs w:val="18"/>
          <w:lang w:val="es-ES"/>
        </w:rPr>
      </w:pPr>
    </w:p>
    <w:p w:rsidR="0029189C" w:rsidRPr="00AB5E60" w:rsidRDefault="00AB5E60">
      <w:pPr>
        <w:ind w:right="146"/>
        <w:jc w:val="right"/>
        <w:rPr>
          <w:rFonts w:ascii="Times New Roman" w:eastAsia="Times New Roman" w:hAnsi="Times New Roman" w:cs="Times New Roman"/>
          <w:sz w:val="19"/>
          <w:szCs w:val="19"/>
          <w:lang w:val="es-ES"/>
        </w:rPr>
      </w:pPr>
      <w:r>
        <w:rPr>
          <w:lang w:val="es"/>
        </w:rPr>
        <w:t>Oficina del Superintendente Adjunto</w:t>
      </w:r>
    </w:p>
    <w:p w:rsidR="0029189C" w:rsidRPr="00AB5E60" w:rsidRDefault="00AB5E60">
      <w:pPr>
        <w:spacing w:before="13"/>
        <w:ind w:right="110"/>
        <w:jc w:val="right"/>
        <w:rPr>
          <w:rFonts w:ascii="Times New Roman" w:eastAsia="Times New Roman" w:hAnsi="Times New Roman" w:cs="Times New Roman"/>
          <w:sz w:val="18"/>
          <w:szCs w:val="18"/>
          <w:lang w:val="es-ES"/>
        </w:rPr>
      </w:pPr>
      <w:r>
        <w:rPr>
          <w:lang w:val="es"/>
        </w:rPr>
        <w:t xml:space="preserve">255 </w:t>
      </w:r>
      <w:proofErr w:type="spellStart"/>
      <w:r>
        <w:rPr>
          <w:lang w:val="es"/>
        </w:rPr>
        <w:t>Capitol</w:t>
      </w:r>
      <w:proofErr w:type="spellEnd"/>
      <w:r>
        <w:rPr>
          <w:lang w:val="es"/>
        </w:rPr>
        <w:t xml:space="preserve"> </w:t>
      </w:r>
      <w:proofErr w:type="spellStart"/>
      <w:r>
        <w:rPr>
          <w:lang w:val="es"/>
        </w:rPr>
        <w:t>St</w:t>
      </w:r>
      <w:proofErr w:type="spellEnd"/>
      <w:r>
        <w:rPr>
          <w:lang w:val="es"/>
        </w:rPr>
        <w:t xml:space="preserve"> NE, Salem, OR 97310</w:t>
      </w:r>
    </w:p>
    <w:p w:rsidR="0029189C" w:rsidRPr="00AB5E60" w:rsidRDefault="00AB5E60">
      <w:pPr>
        <w:spacing w:before="16"/>
        <w:ind w:right="131"/>
        <w:jc w:val="right"/>
        <w:rPr>
          <w:rFonts w:ascii="Times New Roman" w:eastAsia="Times New Roman" w:hAnsi="Times New Roman" w:cs="Times New Roman"/>
          <w:sz w:val="18"/>
          <w:szCs w:val="18"/>
          <w:lang w:val="es-ES"/>
        </w:rPr>
      </w:pPr>
      <w:r>
        <w:rPr>
          <w:rFonts w:ascii="Times New Roman"/>
          <w:color w:val="496B9C"/>
          <w:sz w:val="18"/>
          <w:lang w:val="es"/>
        </w:rPr>
        <w:t>Voz:</w:t>
      </w:r>
      <w:r>
        <w:rPr>
          <w:rFonts w:ascii="Times New Roman"/>
          <w:color w:val="596082"/>
          <w:sz w:val="18"/>
          <w:lang w:val="es"/>
        </w:rPr>
        <w:t xml:space="preserve"> </w:t>
      </w:r>
      <w:r>
        <w:rPr>
          <w:rFonts w:ascii="Times New Roman"/>
          <w:color w:val="496B9C"/>
          <w:sz w:val="18"/>
          <w:lang w:val="es"/>
        </w:rPr>
        <w:t>503</w:t>
      </w:r>
      <w:r>
        <w:rPr>
          <w:rFonts w:ascii="Times New Roman"/>
          <w:color w:val="26427E"/>
          <w:sz w:val="18"/>
          <w:lang w:val="es"/>
        </w:rPr>
        <w:t>-</w:t>
      </w:r>
      <w:r>
        <w:rPr>
          <w:rFonts w:ascii="Times New Roman"/>
          <w:color w:val="496B9C"/>
          <w:sz w:val="18"/>
          <w:lang w:val="es"/>
        </w:rPr>
        <w:t>947</w:t>
      </w:r>
      <w:r>
        <w:rPr>
          <w:rFonts w:ascii="Times New Roman"/>
          <w:color w:val="2A5B97"/>
          <w:sz w:val="18"/>
          <w:lang w:val="es"/>
        </w:rPr>
        <w:t>-</w:t>
      </w:r>
      <w:r>
        <w:rPr>
          <w:rFonts w:ascii="Times New Roman"/>
          <w:color w:val="496B9C"/>
          <w:sz w:val="18"/>
          <w:lang w:val="es"/>
        </w:rPr>
        <w:t>5600</w:t>
      </w:r>
    </w:p>
    <w:p w:rsidR="0029189C" w:rsidRPr="00AB5E60" w:rsidRDefault="00AB5E60">
      <w:pPr>
        <w:spacing w:before="16"/>
        <w:ind w:right="126"/>
        <w:jc w:val="right"/>
        <w:rPr>
          <w:rFonts w:ascii="Times New Roman" w:eastAsia="Times New Roman" w:hAnsi="Times New Roman" w:cs="Times New Roman"/>
          <w:sz w:val="18"/>
          <w:szCs w:val="18"/>
          <w:lang w:val="es-ES"/>
        </w:rPr>
      </w:pPr>
      <w:r>
        <w:rPr>
          <w:rFonts w:ascii="Times New Roman"/>
          <w:color w:val="2A5B97"/>
          <w:sz w:val="18"/>
          <w:lang w:val="es"/>
        </w:rPr>
        <w:t>F</w:t>
      </w:r>
      <w:r>
        <w:rPr>
          <w:rFonts w:ascii="Times New Roman"/>
          <w:color w:val="496B9C"/>
          <w:sz w:val="18"/>
          <w:lang w:val="es"/>
        </w:rPr>
        <w:t>ax</w:t>
      </w:r>
      <w:r>
        <w:rPr>
          <w:rFonts w:ascii="Times New Roman"/>
          <w:color w:val="596082"/>
          <w:sz w:val="18"/>
          <w:lang w:val="es"/>
        </w:rPr>
        <w:t xml:space="preserve">: </w:t>
      </w:r>
      <w:r>
        <w:rPr>
          <w:rFonts w:ascii="Times New Roman"/>
          <w:color w:val="496B9C"/>
          <w:sz w:val="18"/>
          <w:lang w:val="es"/>
        </w:rPr>
        <w:t>503</w:t>
      </w:r>
      <w:r>
        <w:rPr>
          <w:rFonts w:ascii="Times New Roman"/>
          <w:color w:val="26427E"/>
          <w:sz w:val="18"/>
          <w:lang w:val="es"/>
        </w:rPr>
        <w:t>-</w:t>
      </w:r>
      <w:r>
        <w:rPr>
          <w:rFonts w:ascii="Times New Roman"/>
          <w:color w:val="496B9C"/>
          <w:sz w:val="18"/>
          <w:lang w:val="es"/>
        </w:rPr>
        <w:t>378</w:t>
      </w:r>
      <w:r>
        <w:rPr>
          <w:rFonts w:ascii="Times New Roman"/>
          <w:color w:val="2A5B97"/>
          <w:sz w:val="18"/>
          <w:lang w:val="es"/>
        </w:rPr>
        <w:t>-</w:t>
      </w:r>
      <w:r>
        <w:rPr>
          <w:rFonts w:ascii="Times New Roman"/>
          <w:color w:val="496B9C"/>
          <w:sz w:val="18"/>
          <w:lang w:val="es"/>
        </w:rPr>
        <w:t>5</w:t>
      </w:r>
      <w:r>
        <w:rPr>
          <w:rFonts w:ascii="Times New Roman"/>
          <w:color w:val="26427E"/>
          <w:sz w:val="18"/>
          <w:lang w:val="es"/>
        </w:rPr>
        <w:t>1</w:t>
      </w:r>
      <w:r>
        <w:rPr>
          <w:rFonts w:ascii="Times New Roman"/>
          <w:color w:val="496B9C"/>
          <w:sz w:val="18"/>
          <w:lang w:val="es"/>
        </w:rPr>
        <w:t>56</w:t>
      </w:r>
    </w:p>
    <w:p w:rsidR="0029189C" w:rsidRPr="00AB5E60" w:rsidRDefault="0029189C">
      <w:pPr>
        <w:rPr>
          <w:rFonts w:ascii="Times New Roman" w:eastAsia="Times New Roman" w:hAnsi="Times New Roman" w:cs="Times New Roman"/>
          <w:sz w:val="18"/>
          <w:szCs w:val="18"/>
          <w:lang w:val="es-ES"/>
        </w:rPr>
      </w:pPr>
    </w:p>
    <w:p w:rsidR="0029189C" w:rsidRPr="00AB5E60" w:rsidRDefault="00AB5E60">
      <w:pPr>
        <w:pStyle w:val="BodyText"/>
        <w:spacing w:before="109"/>
        <w:rPr>
          <w:lang w:val="es-ES"/>
        </w:rPr>
      </w:pPr>
      <w:r>
        <w:rPr>
          <w:color w:val="3D3D3F"/>
          <w:lang w:val="es"/>
        </w:rPr>
        <w:t xml:space="preserve">29 de septiembre </w:t>
      </w:r>
      <w:r>
        <w:rPr>
          <w:color w:val="606262"/>
          <w:lang w:val="es"/>
        </w:rPr>
        <w:t xml:space="preserve">de </w:t>
      </w:r>
      <w:r>
        <w:rPr>
          <w:color w:val="3D3D3F"/>
          <w:lang w:val="es"/>
        </w:rPr>
        <w:t>2015</w:t>
      </w:r>
    </w:p>
    <w:p w:rsidR="0029189C" w:rsidRPr="00AB5E60" w:rsidRDefault="0029189C">
      <w:pPr>
        <w:rPr>
          <w:rFonts w:ascii="Times New Roman" w:eastAsia="Times New Roman" w:hAnsi="Times New Roman" w:cs="Times New Roman"/>
          <w:lang w:val="es-ES"/>
        </w:rPr>
      </w:pPr>
    </w:p>
    <w:p w:rsidR="0029189C" w:rsidRPr="00AB5E60" w:rsidRDefault="00AB5E60">
      <w:pPr>
        <w:pStyle w:val="BodyText"/>
        <w:spacing w:before="134"/>
        <w:ind w:left="870"/>
        <w:rPr>
          <w:lang w:val="es-ES"/>
        </w:rPr>
      </w:pPr>
      <w:r>
        <w:rPr>
          <w:lang w:val="es"/>
        </w:rPr>
        <w:t>Para los Superintendentes y Directores de educación especial:</w:t>
      </w:r>
    </w:p>
    <w:p w:rsidR="0029189C" w:rsidRPr="00AB5E60" w:rsidRDefault="0029189C">
      <w:pPr>
        <w:rPr>
          <w:rFonts w:ascii="Times New Roman" w:eastAsia="Times New Roman" w:hAnsi="Times New Roman" w:cs="Times New Roman"/>
          <w:lang w:val="es-ES"/>
        </w:rPr>
      </w:pPr>
    </w:p>
    <w:p w:rsidR="0029189C" w:rsidRPr="00AB5E60" w:rsidRDefault="00AB5E60" w:rsidP="00AB5E60">
      <w:pPr>
        <w:pStyle w:val="BodyText"/>
        <w:spacing w:before="126" w:line="265" w:lineRule="auto"/>
        <w:ind w:left="870" w:right="1129" w:firstLine="7"/>
        <w:rPr>
          <w:lang w:val="es-ES"/>
        </w:rPr>
      </w:pPr>
      <w:r>
        <w:rPr>
          <w:color w:val="3D3D3F"/>
          <w:lang w:val="es"/>
        </w:rPr>
        <w:t xml:space="preserve">A estas alturas, es probable que hayan oído hablar del acuerdo de resolución propuesto en el caso de la demanda colectiva </w:t>
      </w:r>
      <w:proofErr w:type="spellStart"/>
      <w:r>
        <w:rPr>
          <w:color w:val="3D3D3F"/>
          <w:lang w:val="es"/>
        </w:rPr>
        <w:t>Lane</w:t>
      </w:r>
      <w:proofErr w:type="spellEnd"/>
      <w:r>
        <w:rPr>
          <w:color w:val="3D3D3F"/>
          <w:lang w:val="es"/>
        </w:rPr>
        <w:t xml:space="preserve"> et al. v. Brown.  </w:t>
      </w:r>
      <w:r>
        <w:rPr>
          <w:color w:val="28282A"/>
          <w:lang w:val="es"/>
        </w:rPr>
        <w:t xml:space="preserve">Para facilitar el proceso de información a los miembros de la demanda, se le ha pedido a ODE enviar el aviso adjunto a todos los distritos escolares y distritos de servicios educativos, con la condición de que el documento esté claramente visible en las áreas donde los padres y los estudiantes con discapacidades intelectuales y del desarrollo puedan leerlo. </w:t>
      </w:r>
      <w:r>
        <w:rPr>
          <w:color w:val="3D3D3F"/>
          <w:lang w:val="es"/>
        </w:rPr>
        <w:t xml:space="preserve">Las áreas sugeridas para la exhibición del documento incluyen los tablones de anuncios de las oficinas de las escuelas, los tablones de anuncios de la escuela, los sitios web de los distritos escolares y las escuelas, y los centros de orientación/asesoramiento. </w:t>
      </w:r>
      <w:r>
        <w:rPr>
          <w:lang w:val="es"/>
        </w:rPr>
        <w:t>También estamos solicitando a los distritos escolares y los distritos de servicios educativos que compartan el anuncio con todo el personal correspondiente, como un esfuerzo para informar a los individuos con discapacidades intelectuales y del desarrollo sobre el acuerdo, por medio de la participación en reuniones con</w:t>
      </w:r>
      <w:r>
        <w:rPr>
          <w:lang w:val="es-ES"/>
        </w:rPr>
        <w:t xml:space="preserve"> </w:t>
      </w:r>
      <w:r>
        <w:rPr>
          <w:color w:val="28282A"/>
          <w:lang w:val="es"/>
        </w:rPr>
        <w:t>los individuos con discapacidades intelectuales y del desarrollo o con sus familias, cuando sea razonable hacerlo.</w:t>
      </w:r>
    </w:p>
    <w:p w:rsidR="0029189C" w:rsidRPr="00AB5E60" w:rsidRDefault="0029189C">
      <w:pPr>
        <w:spacing w:before="6"/>
        <w:rPr>
          <w:rFonts w:ascii="Times New Roman" w:eastAsia="Times New Roman" w:hAnsi="Times New Roman" w:cs="Times New Roman"/>
          <w:sz w:val="30"/>
          <w:szCs w:val="30"/>
          <w:lang w:val="es-ES"/>
        </w:rPr>
      </w:pPr>
    </w:p>
    <w:p w:rsidR="0029189C" w:rsidRPr="00AB5E60" w:rsidRDefault="00AB5E60">
      <w:pPr>
        <w:pStyle w:val="BodyText"/>
        <w:ind w:left="870"/>
        <w:rPr>
          <w:lang w:val="es-ES"/>
        </w:rPr>
      </w:pPr>
      <w:r>
        <w:rPr>
          <w:lang w:val="es"/>
        </w:rPr>
        <w:t xml:space="preserve">El aviso también está disponible en el sitio web de OHS </w:t>
      </w:r>
      <w:proofErr w:type="spellStart"/>
      <w:r>
        <w:rPr>
          <w:lang w:val="es"/>
        </w:rPr>
        <w:t>Employment</w:t>
      </w:r>
      <w:proofErr w:type="spellEnd"/>
      <w:r>
        <w:rPr>
          <w:lang w:val="es"/>
        </w:rPr>
        <w:t xml:space="preserve"> </w:t>
      </w:r>
      <w:proofErr w:type="spellStart"/>
      <w:r>
        <w:rPr>
          <w:lang w:val="es"/>
        </w:rPr>
        <w:t>First</w:t>
      </w:r>
      <w:proofErr w:type="spellEnd"/>
      <w:r>
        <w:rPr>
          <w:lang w:val="es"/>
        </w:rPr>
        <w:t>,</w:t>
      </w:r>
    </w:p>
    <w:p w:rsidR="0029189C" w:rsidRPr="00AB5E60" w:rsidRDefault="00DA064C">
      <w:pPr>
        <w:pStyle w:val="BodyText"/>
        <w:spacing w:before="20" w:line="265" w:lineRule="auto"/>
        <w:ind w:right="1129"/>
        <w:rPr>
          <w:lang w:val="es-ES"/>
        </w:rPr>
      </w:pPr>
      <w:hyperlink r:id="rId6"/>
      <w:r w:rsidR="00AB5E60">
        <w:rPr>
          <w:color w:val="4B4D4D"/>
          <w:lang w:val="es"/>
        </w:rPr>
        <w:t xml:space="preserve">http://iworkwesucceed.org, o en el sitio web de la Oficina de Servicios para Personas con Discapacidades del Desarrollo, http://www.oregon.gov/dhs/DD/pages/index.aspx,, y en el sitio web de ODE en varios lugares. </w:t>
      </w:r>
      <w:r w:rsidR="00AB5E60">
        <w:rPr>
          <w:lang w:val="es"/>
        </w:rPr>
        <w:t>Estos sitios web también tendrán el aviso en español.</w:t>
      </w:r>
    </w:p>
    <w:p w:rsidR="0029189C" w:rsidRPr="00AB5E60" w:rsidRDefault="0029189C">
      <w:pPr>
        <w:spacing w:before="7"/>
        <w:rPr>
          <w:rFonts w:ascii="Times New Roman" w:eastAsia="Times New Roman" w:hAnsi="Times New Roman" w:cs="Times New Roman"/>
          <w:sz w:val="27"/>
          <w:szCs w:val="27"/>
          <w:lang w:val="es-ES"/>
        </w:rPr>
      </w:pPr>
    </w:p>
    <w:p w:rsidR="0029189C" w:rsidRPr="00AB5E60" w:rsidRDefault="00AB5E60">
      <w:pPr>
        <w:pStyle w:val="BodyText"/>
        <w:spacing w:line="263" w:lineRule="auto"/>
        <w:ind w:right="1039"/>
        <w:rPr>
          <w:lang w:val="es-ES"/>
        </w:rPr>
      </w:pPr>
      <w:r>
        <w:rPr>
          <w:color w:val="3D3D3F"/>
          <w:lang w:val="es"/>
        </w:rPr>
        <w:t xml:space="preserve">El aviso adjunto es sólo un resumen del acuerdo propuesto. Cualquier persona que desee una copia completa de la propuesta de acuerdo o que tenga alguna pregunta, debe comunicarse con Kathy Wilde a </w:t>
      </w:r>
      <w:proofErr w:type="spellStart"/>
      <w:r>
        <w:rPr>
          <w:color w:val="3D3D3F"/>
          <w:lang w:val="es"/>
        </w:rPr>
        <w:t>Disability</w:t>
      </w:r>
      <w:proofErr w:type="spellEnd"/>
      <w:r>
        <w:rPr>
          <w:color w:val="3D3D3F"/>
          <w:lang w:val="es"/>
        </w:rPr>
        <w:t xml:space="preserve"> </w:t>
      </w:r>
      <w:proofErr w:type="spellStart"/>
      <w:r>
        <w:rPr>
          <w:color w:val="3D3D3F"/>
          <w:lang w:val="es"/>
        </w:rPr>
        <w:t>Rights</w:t>
      </w:r>
      <w:proofErr w:type="spellEnd"/>
      <w:r>
        <w:rPr>
          <w:color w:val="3D3D3F"/>
          <w:lang w:val="es"/>
        </w:rPr>
        <w:t xml:space="preserve"> </w:t>
      </w:r>
      <w:proofErr w:type="spellStart"/>
      <w:r>
        <w:rPr>
          <w:color w:val="3D3D3F"/>
          <w:lang w:val="es"/>
        </w:rPr>
        <w:t>Oregon</w:t>
      </w:r>
      <w:proofErr w:type="spellEnd"/>
      <w:r>
        <w:rPr>
          <w:color w:val="3D3D3F"/>
          <w:lang w:val="es"/>
        </w:rPr>
        <w:t xml:space="preserve">, 610 SW Broadway, Suite 200, Portland, OR 97205, o por correo electrónico a </w:t>
      </w:r>
      <w:proofErr w:type="spellStart"/>
      <w:r>
        <w:rPr>
          <w:color w:val="3D3D3F"/>
          <w:lang w:val="es"/>
        </w:rPr>
        <w:t>kwilde</w:t>
      </w:r>
      <w:proofErr w:type="spellEnd"/>
      <w:r>
        <w:rPr>
          <w:color w:val="3D3D3F"/>
          <w:lang w:val="es"/>
        </w:rPr>
        <w:t>@.droregon.org.</w:t>
      </w:r>
    </w:p>
    <w:p w:rsidR="0029189C" w:rsidRPr="00AB5E60" w:rsidRDefault="0029189C">
      <w:pPr>
        <w:spacing w:before="5"/>
        <w:rPr>
          <w:rFonts w:ascii="Times New Roman" w:eastAsia="Times New Roman" w:hAnsi="Times New Roman" w:cs="Times New Roman"/>
          <w:sz w:val="28"/>
          <w:szCs w:val="28"/>
          <w:lang w:val="es-ES"/>
        </w:rPr>
      </w:pPr>
    </w:p>
    <w:p w:rsidR="0029189C" w:rsidRPr="00AB5E60" w:rsidRDefault="00AB5E60">
      <w:pPr>
        <w:pStyle w:val="BodyText"/>
        <w:spacing w:line="265" w:lineRule="auto"/>
        <w:ind w:right="1129" w:hanging="15"/>
        <w:rPr>
          <w:lang w:val="es-ES"/>
        </w:rPr>
      </w:pPr>
      <w:r>
        <w:rPr>
          <w:lang w:val="es"/>
        </w:rPr>
        <w:t>Gracias por cumplir con esta solicitud de publicar y compartir este aviso, para que los posibles interesados puedan estar plenamente informados.</w:t>
      </w:r>
    </w:p>
    <w:p w:rsidR="0029189C" w:rsidRPr="00AB5E60" w:rsidRDefault="0029189C">
      <w:pPr>
        <w:rPr>
          <w:rFonts w:ascii="Times New Roman" w:eastAsia="Times New Roman" w:hAnsi="Times New Roman" w:cs="Times New Roman"/>
          <w:lang w:val="es-ES"/>
        </w:rPr>
      </w:pPr>
    </w:p>
    <w:p w:rsidR="0029189C" w:rsidRPr="00AB5E60" w:rsidRDefault="0029189C">
      <w:pPr>
        <w:rPr>
          <w:rFonts w:ascii="Times New Roman" w:eastAsia="Times New Roman" w:hAnsi="Times New Roman" w:cs="Times New Roman"/>
          <w:lang w:val="es-ES"/>
        </w:rPr>
      </w:pPr>
    </w:p>
    <w:p w:rsidR="0029189C" w:rsidRPr="00AB5E60" w:rsidRDefault="00AB5E60">
      <w:pPr>
        <w:pStyle w:val="BodyText"/>
        <w:spacing w:before="135"/>
        <w:rPr>
          <w:lang w:val="es-ES"/>
        </w:rPr>
      </w:pPr>
      <w:r>
        <w:rPr>
          <w:color w:val="3D3D3F"/>
          <w:lang w:val="es"/>
        </w:rPr>
        <w:t>Atentamente</w:t>
      </w:r>
      <w:r>
        <w:rPr>
          <w:color w:val="757777"/>
          <w:lang w:val="es"/>
        </w:rPr>
        <w:t>,</w:t>
      </w:r>
    </w:p>
    <w:p w:rsidR="0029189C" w:rsidRPr="00AB5E60" w:rsidRDefault="0029189C">
      <w:pPr>
        <w:spacing w:before="5"/>
        <w:rPr>
          <w:rFonts w:ascii="Times New Roman" w:eastAsia="Times New Roman" w:hAnsi="Times New Roman" w:cs="Times New Roman"/>
          <w:sz w:val="19"/>
          <w:szCs w:val="19"/>
          <w:lang w:val="es-ES"/>
        </w:rPr>
      </w:pPr>
    </w:p>
    <w:p w:rsidR="0029189C" w:rsidRPr="00AB5E60" w:rsidRDefault="00AB5E60">
      <w:pPr>
        <w:ind w:left="956"/>
        <w:rPr>
          <w:rFonts w:ascii="Times New Roman" w:eastAsia="Times New Roman" w:hAnsi="Times New Roman" w:cs="Times New Roman"/>
          <w:sz w:val="38"/>
          <w:szCs w:val="38"/>
          <w:lang w:val="es-ES"/>
        </w:rPr>
      </w:pPr>
      <w:r>
        <w:rPr>
          <w:rFonts w:ascii="Times New Roman"/>
          <w:i/>
          <w:iCs/>
          <w:color w:val="8E8C8E"/>
          <w:sz w:val="38"/>
          <w:lang w:val="es"/>
        </w:rPr>
        <w:t>[</w:t>
      </w:r>
      <w:proofErr w:type="spellStart"/>
      <w:r>
        <w:rPr>
          <w:rFonts w:ascii="Times New Roman"/>
          <w:i/>
          <w:iCs/>
          <w:color w:val="8E8C8E"/>
          <w:sz w:val="38"/>
          <w:lang w:val="es"/>
        </w:rPr>
        <w:t>Signature</w:t>
      </w:r>
      <w:proofErr w:type="spellEnd"/>
      <w:r>
        <w:rPr>
          <w:rFonts w:ascii="Times New Roman"/>
          <w:i/>
          <w:iCs/>
          <w:color w:val="8E8C8E"/>
          <w:sz w:val="38"/>
          <w:lang w:val="es"/>
        </w:rPr>
        <w:t>]</w:t>
      </w:r>
    </w:p>
    <w:p w:rsidR="0029189C" w:rsidRPr="00AB5E60" w:rsidRDefault="00AB5E60">
      <w:pPr>
        <w:pStyle w:val="BodyText"/>
        <w:spacing w:before="50" w:line="259" w:lineRule="auto"/>
        <w:ind w:left="870" w:right="6470" w:firstLine="7"/>
        <w:rPr>
          <w:lang w:val="es-ES"/>
        </w:rPr>
      </w:pPr>
      <w:r>
        <w:rPr>
          <w:lang w:val="es"/>
        </w:rPr>
        <w:t xml:space="preserve">Sarah Drinkwater, </w:t>
      </w:r>
      <w:proofErr w:type="spellStart"/>
      <w:r>
        <w:rPr>
          <w:lang w:val="es"/>
        </w:rPr>
        <w:t>Ph.D</w:t>
      </w:r>
      <w:proofErr w:type="spellEnd"/>
      <w:r>
        <w:rPr>
          <w:lang w:val="es"/>
        </w:rPr>
        <w:t>. Superintendente Adjunto</w:t>
      </w:r>
    </w:p>
    <w:p w:rsidR="0029189C" w:rsidRPr="00AB5E60" w:rsidRDefault="00AB5E60">
      <w:pPr>
        <w:pStyle w:val="BodyText"/>
        <w:spacing w:line="259" w:lineRule="auto"/>
        <w:ind w:right="5498"/>
        <w:rPr>
          <w:lang w:val="es-ES"/>
        </w:rPr>
      </w:pPr>
      <w:r>
        <w:rPr>
          <w:lang w:val="es"/>
        </w:rPr>
        <w:t xml:space="preserve">Oficina de Aprendizaje/Servicios Estudiantiles Departamento de Educación de </w:t>
      </w:r>
      <w:proofErr w:type="spellStart"/>
      <w:r>
        <w:rPr>
          <w:lang w:val="es"/>
        </w:rPr>
        <w:t>Oregon</w:t>
      </w:r>
      <w:proofErr w:type="spellEnd"/>
    </w:p>
    <w:sectPr w:rsidR="0029189C" w:rsidRPr="00AB5E60">
      <w:type w:val="continuous"/>
      <w:pgSz w:w="12220" w:h="15930"/>
      <w:pgMar w:top="380" w:right="8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9C"/>
    <w:rsid w:val="0029189C"/>
    <w:rsid w:val="00AB5E60"/>
    <w:rsid w:val="00B35009"/>
    <w:rsid w:val="00DA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7"/>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7"/>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regon.gov/dhs/DD/page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KRUSKA Mitch</dc:creator>
  <cp:lastModifiedBy>Administrator</cp:lastModifiedBy>
  <cp:revision>2</cp:revision>
  <dcterms:created xsi:type="dcterms:W3CDTF">2015-10-23T16:46:00Z</dcterms:created>
  <dcterms:modified xsi:type="dcterms:W3CDTF">2015-10-23T16:46:00Z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2015-09-29T00:00:00Z</vt:filetime>
  </property>
</Properties>
</file>