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1AD" w:rsidRPr="00B36875" w:rsidRDefault="00B36875">
      <w:pPr>
        <w:pStyle w:val="Heading1"/>
        <w:spacing w:before="56" w:line="274" w:lineRule="exact"/>
        <w:ind w:left="1654" w:right="1633" w:firstLine="0"/>
        <w:jc w:val="center"/>
        <w:rPr>
          <w:b w:val="0"/>
          <w:bCs w:val="0"/>
          <w:sz w:val="20"/>
          <w:szCs w:val="20"/>
          <w:lang w:val="es-ES"/>
        </w:rPr>
      </w:pPr>
      <w:bookmarkStart w:id="0" w:name="_GoBack"/>
      <w:bookmarkEnd w:id="0"/>
      <w:proofErr w:type="spellStart"/>
      <w:r w:rsidRPr="00B36875">
        <w:rPr>
          <w:sz w:val="20"/>
          <w:szCs w:val="20"/>
          <w:lang w:val="es"/>
        </w:rPr>
        <w:t>Lane</w:t>
      </w:r>
      <w:proofErr w:type="spellEnd"/>
      <w:r w:rsidRPr="00B36875">
        <w:rPr>
          <w:sz w:val="20"/>
          <w:szCs w:val="20"/>
          <w:lang w:val="es"/>
        </w:rPr>
        <w:t xml:space="preserve"> et al. v. Brown et al.</w:t>
      </w:r>
    </w:p>
    <w:p w:rsidR="006B41AD" w:rsidRPr="00B36875" w:rsidRDefault="00B36875">
      <w:pPr>
        <w:pStyle w:val="BodyText"/>
        <w:spacing w:line="274" w:lineRule="exact"/>
        <w:ind w:left="1654" w:right="1633" w:firstLine="0"/>
        <w:jc w:val="center"/>
        <w:rPr>
          <w:sz w:val="20"/>
          <w:szCs w:val="20"/>
          <w:lang w:val="es-ES"/>
        </w:rPr>
      </w:pPr>
      <w:r w:rsidRPr="00B36875">
        <w:rPr>
          <w:sz w:val="20"/>
          <w:szCs w:val="20"/>
          <w:lang w:val="es"/>
        </w:rPr>
        <w:t>Acción civil núm. 3:12-cv-00138-ST</w:t>
      </w:r>
    </w:p>
    <w:p w:rsidR="006B41AD" w:rsidRPr="00B36875" w:rsidRDefault="006B41AD">
      <w:pPr>
        <w:spacing w:before="5"/>
        <w:rPr>
          <w:rFonts w:ascii="Times New Roman" w:eastAsia="Times New Roman" w:hAnsi="Times New Roman" w:cs="Times New Roman"/>
          <w:sz w:val="20"/>
          <w:szCs w:val="20"/>
          <w:lang w:val="es-ES"/>
        </w:rPr>
      </w:pPr>
    </w:p>
    <w:p w:rsidR="006B41AD" w:rsidRPr="00B36875" w:rsidRDefault="00B36875">
      <w:pPr>
        <w:pStyle w:val="Heading1"/>
        <w:ind w:left="1654" w:right="1638" w:firstLine="0"/>
        <w:jc w:val="center"/>
        <w:rPr>
          <w:b w:val="0"/>
          <w:bCs w:val="0"/>
          <w:sz w:val="20"/>
          <w:szCs w:val="20"/>
          <w:lang w:val="es-ES"/>
        </w:rPr>
      </w:pPr>
      <w:r w:rsidRPr="00B36875">
        <w:rPr>
          <w:sz w:val="20"/>
          <w:szCs w:val="20"/>
          <w:lang w:val="es"/>
        </w:rPr>
        <w:t xml:space="preserve">AVISO DE ACUERDO PROPUESTO PARA </w:t>
      </w:r>
      <w:r>
        <w:rPr>
          <w:sz w:val="20"/>
          <w:szCs w:val="20"/>
          <w:lang w:val="es"/>
        </w:rPr>
        <w:t xml:space="preserve">LA </w:t>
      </w:r>
      <w:r w:rsidRPr="00B36875">
        <w:rPr>
          <w:sz w:val="20"/>
          <w:szCs w:val="20"/>
          <w:lang w:val="es"/>
        </w:rPr>
        <w:t>ACCIÓN JUDICIAL COLECTIVA</w:t>
      </w:r>
    </w:p>
    <w:p w:rsidR="006B41AD" w:rsidRPr="00B36875" w:rsidRDefault="006B41AD">
      <w:pPr>
        <w:rPr>
          <w:rFonts w:ascii="Times New Roman" w:eastAsia="Times New Roman" w:hAnsi="Times New Roman" w:cs="Times New Roman"/>
          <w:b/>
          <w:bCs/>
          <w:sz w:val="20"/>
          <w:szCs w:val="20"/>
          <w:lang w:val="es-ES"/>
        </w:rPr>
      </w:pPr>
    </w:p>
    <w:p w:rsidR="006B41AD" w:rsidRPr="00B36875" w:rsidRDefault="00B36875">
      <w:pPr>
        <w:numPr>
          <w:ilvl w:val="0"/>
          <w:numId w:val="1"/>
        </w:numPr>
        <w:tabs>
          <w:tab w:val="left" w:pos="821"/>
        </w:tabs>
        <w:rPr>
          <w:rFonts w:ascii="Times New Roman" w:eastAsia="Times New Roman" w:hAnsi="Times New Roman" w:cs="Times New Roman"/>
          <w:sz w:val="20"/>
          <w:szCs w:val="20"/>
        </w:rPr>
      </w:pPr>
      <w:r w:rsidRPr="00B36875">
        <w:rPr>
          <w:rFonts w:ascii="Times New Roman"/>
          <w:b/>
          <w:bCs/>
          <w:sz w:val="20"/>
          <w:szCs w:val="20"/>
          <w:lang w:val="es"/>
        </w:rPr>
        <w:t>Objetivo</w:t>
      </w:r>
    </w:p>
    <w:p w:rsidR="006B41AD" w:rsidRPr="00B36875" w:rsidRDefault="006B41AD">
      <w:pPr>
        <w:spacing w:before="7"/>
        <w:rPr>
          <w:rFonts w:ascii="Times New Roman" w:eastAsia="Times New Roman" w:hAnsi="Times New Roman" w:cs="Times New Roman"/>
          <w:b/>
          <w:bCs/>
          <w:sz w:val="20"/>
          <w:szCs w:val="20"/>
        </w:rPr>
      </w:pPr>
    </w:p>
    <w:p w:rsidR="006B41AD" w:rsidRPr="00B36875" w:rsidRDefault="00B36875">
      <w:pPr>
        <w:pStyle w:val="BodyText"/>
        <w:ind w:right="220"/>
        <w:rPr>
          <w:sz w:val="20"/>
          <w:szCs w:val="20"/>
          <w:lang w:val="es-ES"/>
        </w:rPr>
      </w:pPr>
      <w:r w:rsidRPr="00B36875">
        <w:rPr>
          <w:sz w:val="20"/>
          <w:szCs w:val="20"/>
          <w:lang w:val="es"/>
        </w:rPr>
        <w:t xml:space="preserve">Los demandantes en el caso de la acción judicial colectiva, </w:t>
      </w:r>
      <w:proofErr w:type="spellStart"/>
      <w:r w:rsidRPr="00B36875">
        <w:rPr>
          <w:i/>
          <w:iCs/>
          <w:sz w:val="20"/>
          <w:szCs w:val="20"/>
          <w:lang w:val="es"/>
        </w:rPr>
        <w:t>Lane</w:t>
      </w:r>
      <w:proofErr w:type="spellEnd"/>
      <w:r w:rsidRPr="00B36875">
        <w:rPr>
          <w:i/>
          <w:iCs/>
          <w:sz w:val="20"/>
          <w:szCs w:val="20"/>
          <w:lang w:val="es"/>
        </w:rPr>
        <w:t xml:space="preserve"> et al. v. Brown et al.</w:t>
      </w:r>
      <w:r w:rsidRPr="00B36875">
        <w:rPr>
          <w:sz w:val="20"/>
          <w:szCs w:val="20"/>
          <w:lang w:val="es"/>
        </w:rPr>
        <w:t xml:space="preserve">, </w:t>
      </w:r>
      <w:proofErr w:type="spellStart"/>
      <w:r w:rsidRPr="00B36875">
        <w:rPr>
          <w:sz w:val="20"/>
          <w:szCs w:val="20"/>
          <w:lang w:val="es"/>
        </w:rPr>
        <w:t>Civ</w:t>
      </w:r>
      <w:proofErr w:type="spellEnd"/>
      <w:r w:rsidRPr="00B36875">
        <w:rPr>
          <w:sz w:val="20"/>
          <w:szCs w:val="20"/>
          <w:lang w:val="es"/>
        </w:rPr>
        <w:t>. Núm. 3:12-cv-00138- ST, han llegado a un Acuerdo Propuesto para la Acción Judicial Colectiva (el “Acuerdo Propuesto”)</w:t>
      </w:r>
      <w:r>
        <w:rPr>
          <w:sz w:val="20"/>
          <w:szCs w:val="20"/>
          <w:lang w:val="es"/>
        </w:rPr>
        <w:t>.</w:t>
      </w:r>
      <w:r w:rsidRPr="00B36875">
        <w:rPr>
          <w:sz w:val="20"/>
          <w:szCs w:val="20"/>
          <w:lang w:val="es"/>
        </w:rPr>
        <w:t xml:space="preserve"> Como miembro de los demandantes de la acción judicial colectiva, usted tiene d</w:t>
      </w:r>
      <w:r>
        <w:rPr>
          <w:sz w:val="20"/>
          <w:szCs w:val="20"/>
          <w:lang w:val="es"/>
        </w:rPr>
        <w:t>erecho a recibir un aviso, y a</w:t>
      </w:r>
      <w:r w:rsidRPr="00B36875">
        <w:rPr>
          <w:sz w:val="20"/>
          <w:szCs w:val="20"/>
          <w:lang w:val="es"/>
        </w:rPr>
        <w:t xml:space="preserve"> </w:t>
      </w:r>
      <w:r>
        <w:rPr>
          <w:sz w:val="20"/>
          <w:szCs w:val="20"/>
          <w:lang w:val="es"/>
        </w:rPr>
        <w:t>presentar una objeción o comentario</w:t>
      </w:r>
      <w:r w:rsidRPr="00B36875">
        <w:rPr>
          <w:sz w:val="20"/>
          <w:szCs w:val="20"/>
          <w:lang w:val="es"/>
        </w:rPr>
        <w:t xml:space="preserve"> sobre el Acuerdo Propuesto. El Tribunal ha aprobado preliminarmente el Acuerdo Propuesto, y programó una </w:t>
      </w:r>
      <w:r w:rsidRPr="00B36875">
        <w:rPr>
          <w:b/>
          <w:bCs/>
          <w:sz w:val="20"/>
          <w:szCs w:val="20"/>
          <w:lang w:val="es"/>
        </w:rPr>
        <w:t>audiencia para el 7 de diciembre 2015, a las 9:30 a.m.</w:t>
      </w:r>
      <w:r w:rsidRPr="00B36875">
        <w:rPr>
          <w:sz w:val="20"/>
          <w:szCs w:val="20"/>
          <w:lang w:val="es"/>
        </w:rPr>
        <w:t>, para determinar si es justo, razonable y si está en los mejores intereses de la acción judicial.</w:t>
      </w:r>
    </w:p>
    <w:p w:rsidR="006B41AD" w:rsidRPr="00B36875" w:rsidRDefault="006B41AD">
      <w:pPr>
        <w:spacing w:before="5"/>
        <w:rPr>
          <w:rFonts w:ascii="Times New Roman" w:eastAsia="Times New Roman" w:hAnsi="Times New Roman" w:cs="Times New Roman"/>
          <w:sz w:val="20"/>
          <w:szCs w:val="20"/>
          <w:lang w:val="es-ES"/>
        </w:rPr>
      </w:pPr>
    </w:p>
    <w:p w:rsidR="006B41AD" w:rsidRPr="00B36875" w:rsidRDefault="00B36875">
      <w:pPr>
        <w:pStyle w:val="Heading1"/>
        <w:numPr>
          <w:ilvl w:val="0"/>
          <w:numId w:val="1"/>
        </w:numPr>
        <w:tabs>
          <w:tab w:val="left" w:pos="821"/>
        </w:tabs>
        <w:rPr>
          <w:b w:val="0"/>
          <w:bCs w:val="0"/>
          <w:sz w:val="20"/>
          <w:szCs w:val="20"/>
        </w:rPr>
      </w:pPr>
      <w:r w:rsidRPr="00B36875">
        <w:rPr>
          <w:sz w:val="20"/>
          <w:szCs w:val="20"/>
          <w:lang w:val="es"/>
        </w:rPr>
        <w:t>Antecedentes</w:t>
      </w:r>
    </w:p>
    <w:p w:rsidR="006B41AD" w:rsidRPr="00B36875" w:rsidRDefault="006B41AD">
      <w:pPr>
        <w:spacing w:before="7"/>
        <w:rPr>
          <w:rFonts w:ascii="Times New Roman" w:eastAsia="Times New Roman" w:hAnsi="Times New Roman" w:cs="Times New Roman"/>
          <w:b/>
          <w:bCs/>
          <w:sz w:val="20"/>
          <w:szCs w:val="20"/>
        </w:rPr>
      </w:pPr>
    </w:p>
    <w:p w:rsidR="006B41AD" w:rsidRPr="00B36875" w:rsidRDefault="00B36875">
      <w:pPr>
        <w:pStyle w:val="BodyText"/>
        <w:ind w:right="220"/>
        <w:rPr>
          <w:sz w:val="20"/>
          <w:szCs w:val="20"/>
          <w:lang w:val="es-ES"/>
        </w:rPr>
      </w:pPr>
      <w:r w:rsidRPr="00B36875">
        <w:rPr>
          <w:sz w:val="20"/>
          <w:szCs w:val="20"/>
          <w:lang w:val="es"/>
        </w:rPr>
        <w:t xml:space="preserve">El 25 de enero de 2012, ocho personas con discapacidades intelectuales y de desarrollo (I/DD, por sus siglas en inglés) y una organización, </w:t>
      </w:r>
      <w:proofErr w:type="spellStart"/>
      <w:r w:rsidRPr="00B36875">
        <w:rPr>
          <w:sz w:val="20"/>
          <w:szCs w:val="20"/>
          <w:lang w:val="es"/>
        </w:rPr>
        <w:t>United</w:t>
      </w:r>
      <w:proofErr w:type="spellEnd"/>
      <w:r w:rsidRPr="00B36875">
        <w:rPr>
          <w:sz w:val="20"/>
          <w:szCs w:val="20"/>
          <w:lang w:val="es"/>
        </w:rPr>
        <w:t xml:space="preserve"> Cerebral </w:t>
      </w:r>
      <w:proofErr w:type="spellStart"/>
      <w:r w:rsidRPr="00B36875">
        <w:rPr>
          <w:sz w:val="20"/>
          <w:szCs w:val="20"/>
          <w:lang w:val="es"/>
        </w:rPr>
        <w:t>Palsy</w:t>
      </w:r>
      <w:proofErr w:type="spellEnd"/>
      <w:r w:rsidRPr="00B36875">
        <w:rPr>
          <w:sz w:val="20"/>
          <w:szCs w:val="20"/>
          <w:lang w:val="es"/>
        </w:rPr>
        <w:t xml:space="preserve"> of </w:t>
      </w:r>
      <w:proofErr w:type="spellStart"/>
      <w:r w:rsidRPr="00B36875">
        <w:rPr>
          <w:sz w:val="20"/>
          <w:szCs w:val="20"/>
          <w:lang w:val="es"/>
        </w:rPr>
        <w:t>Oregon</w:t>
      </w:r>
      <w:proofErr w:type="spellEnd"/>
      <w:r w:rsidRPr="00B36875">
        <w:rPr>
          <w:sz w:val="20"/>
          <w:szCs w:val="20"/>
          <w:lang w:val="es"/>
        </w:rPr>
        <w:t xml:space="preserve"> and </w:t>
      </w:r>
      <w:proofErr w:type="spellStart"/>
      <w:r w:rsidRPr="00B36875">
        <w:rPr>
          <w:sz w:val="20"/>
          <w:szCs w:val="20"/>
          <w:lang w:val="es"/>
        </w:rPr>
        <w:t>Southwest</w:t>
      </w:r>
      <w:proofErr w:type="spellEnd"/>
      <w:r w:rsidRPr="00B36875">
        <w:rPr>
          <w:sz w:val="20"/>
          <w:szCs w:val="20"/>
          <w:lang w:val="es"/>
        </w:rPr>
        <w:t xml:space="preserve"> Washington, (colectivamente, "Demandantes") presentaron una acción judicial colectiva en nombre de sí mismos y de otros individuos con circunstancias similares. La demanda judicial fue presentada ante la Corte Federal de Distrito para el Distrito de </w:t>
      </w:r>
      <w:proofErr w:type="spellStart"/>
      <w:r w:rsidRPr="00B36875">
        <w:rPr>
          <w:sz w:val="20"/>
          <w:szCs w:val="20"/>
          <w:lang w:val="es"/>
        </w:rPr>
        <w:t>Oregon</w:t>
      </w:r>
      <w:proofErr w:type="spellEnd"/>
      <w:r w:rsidRPr="00B36875">
        <w:rPr>
          <w:sz w:val="20"/>
          <w:szCs w:val="20"/>
          <w:lang w:val="es"/>
        </w:rPr>
        <w:t xml:space="preserve">. La demanda alega que la ley de </w:t>
      </w:r>
      <w:proofErr w:type="spellStart"/>
      <w:r w:rsidRPr="00B36875">
        <w:rPr>
          <w:sz w:val="20"/>
          <w:szCs w:val="20"/>
          <w:lang w:val="es"/>
        </w:rPr>
        <w:t>Oregon</w:t>
      </w:r>
      <w:proofErr w:type="spellEnd"/>
      <w:r w:rsidRPr="00B36875">
        <w:rPr>
          <w:sz w:val="20"/>
          <w:szCs w:val="20"/>
          <w:lang w:val="es"/>
        </w:rPr>
        <w:t xml:space="preserve"> segrega innecesariamente a los  individuos con I/DD en talleres protegidos, en violación de los derechos de estos individuos, en virtud de la Ley de Estadounidenses con Discapacidades y la Ley de Rehabilitación.</w:t>
      </w:r>
    </w:p>
    <w:p w:rsidR="006B41AD" w:rsidRPr="00B36875" w:rsidRDefault="006B41AD">
      <w:pPr>
        <w:rPr>
          <w:rFonts w:ascii="Times New Roman" w:eastAsia="Times New Roman" w:hAnsi="Times New Roman" w:cs="Times New Roman"/>
          <w:sz w:val="20"/>
          <w:szCs w:val="20"/>
          <w:lang w:val="es-ES"/>
        </w:rPr>
      </w:pPr>
    </w:p>
    <w:p w:rsidR="006B41AD" w:rsidRPr="00B36875" w:rsidRDefault="00B36875">
      <w:pPr>
        <w:pStyle w:val="BodyText"/>
        <w:ind w:right="220"/>
        <w:rPr>
          <w:rFonts w:cs="Times New Roman"/>
          <w:sz w:val="20"/>
          <w:szCs w:val="20"/>
          <w:lang w:val="es-ES"/>
        </w:rPr>
      </w:pPr>
      <w:r w:rsidRPr="00B36875">
        <w:rPr>
          <w:sz w:val="20"/>
          <w:szCs w:val="20"/>
          <w:lang w:val="es"/>
        </w:rPr>
        <w:t xml:space="preserve">El 6 de agosto de 2012, el Tribunal certificó una grupo de demandantes compuesto de: “todas las personas en </w:t>
      </w:r>
      <w:proofErr w:type="spellStart"/>
      <w:r w:rsidRPr="00B36875">
        <w:rPr>
          <w:sz w:val="20"/>
          <w:szCs w:val="20"/>
          <w:lang w:val="es"/>
        </w:rPr>
        <w:t>Oregon</w:t>
      </w:r>
      <w:proofErr w:type="spellEnd"/>
      <w:r w:rsidRPr="00B36875">
        <w:rPr>
          <w:sz w:val="20"/>
          <w:szCs w:val="20"/>
          <w:lang w:val="es"/>
        </w:rPr>
        <w:t xml:space="preserve"> con discapacidad intelectual o del desarrollo que están en, o que han sido referidos a talleres protegidos”, y "que reúnen los requisitos para los servicios de empleo admitidos."</w:t>
      </w:r>
    </w:p>
    <w:p w:rsidR="006B41AD" w:rsidRPr="00B36875" w:rsidRDefault="006B41AD">
      <w:pPr>
        <w:rPr>
          <w:rFonts w:ascii="Times New Roman" w:eastAsia="Times New Roman" w:hAnsi="Times New Roman" w:cs="Times New Roman"/>
          <w:sz w:val="20"/>
          <w:szCs w:val="20"/>
          <w:lang w:val="es-ES"/>
        </w:rPr>
      </w:pPr>
    </w:p>
    <w:p w:rsidR="006B41AD" w:rsidRPr="00B36875" w:rsidRDefault="00B36875">
      <w:pPr>
        <w:pStyle w:val="BodyText"/>
        <w:ind w:right="220"/>
        <w:rPr>
          <w:sz w:val="20"/>
          <w:szCs w:val="20"/>
          <w:lang w:val="es-ES"/>
        </w:rPr>
      </w:pPr>
      <w:r w:rsidRPr="00B36875">
        <w:rPr>
          <w:sz w:val="20"/>
          <w:szCs w:val="20"/>
          <w:lang w:val="es"/>
        </w:rPr>
        <w:t>El 27 de marzo de 2013, Estados Unidos comenzó a intervenir en el asunto en calidad de Demandante-Interventor, y el Tribunal accedió a esta solicitud el 20 de mayo de 2013.</w:t>
      </w:r>
    </w:p>
    <w:p w:rsidR="006B41AD" w:rsidRPr="00B36875" w:rsidRDefault="006B41AD">
      <w:pPr>
        <w:rPr>
          <w:rFonts w:ascii="Times New Roman" w:eastAsia="Times New Roman" w:hAnsi="Times New Roman" w:cs="Times New Roman"/>
          <w:sz w:val="20"/>
          <w:szCs w:val="20"/>
          <w:lang w:val="es-ES"/>
        </w:rPr>
      </w:pPr>
    </w:p>
    <w:p w:rsidR="006B41AD" w:rsidRPr="00B36875" w:rsidRDefault="00B36875">
      <w:pPr>
        <w:pStyle w:val="BodyText"/>
        <w:ind w:right="220"/>
        <w:rPr>
          <w:sz w:val="20"/>
          <w:szCs w:val="20"/>
          <w:lang w:val="es-ES"/>
        </w:rPr>
      </w:pPr>
      <w:r w:rsidRPr="00B36875">
        <w:rPr>
          <w:sz w:val="20"/>
          <w:szCs w:val="20"/>
          <w:lang w:val="es"/>
        </w:rPr>
        <w:t>Después de negociaciones supervisadas por el Juez Magistrado de los Estados Unidos, John V. Acosta, las Partes alcanzaron el Acuerdo Propuesto integral. El Acuerdo Propuesto resolverá el litigio y proporcionará alivio a los individuos con I/DD, incluyendo al grupo de demandantes.</w:t>
      </w:r>
    </w:p>
    <w:p w:rsidR="006B41AD" w:rsidRPr="00B36875" w:rsidRDefault="006B41AD">
      <w:pPr>
        <w:spacing w:before="5"/>
        <w:rPr>
          <w:rFonts w:ascii="Times New Roman" w:eastAsia="Times New Roman" w:hAnsi="Times New Roman" w:cs="Times New Roman"/>
          <w:sz w:val="20"/>
          <w:szCs w:val="20"/>
          <w:lang w:val="es-ES"/>
        </w:rPr>
      </w:pPr>
    </w:p>
    <w:p w:rsidR="006B41AD" w:rsidRPr="00B36875" w:rsidRDefault="00B36875">
      <w:pPr>
        <w:pStyle w:val="Heading1"/>
        <w:numPr>
          <w:ilvl w:val="0"/>
          <w:numId w:val="1"/>
        </w:numPr>
        <w:tabs>
          <w:tab w:val="left" w:pos="821"/>
        </w:tabs>
        <w:rPr>
          <w:b w:val="0"/>
          <w:bCs w:val="0"/>
          <w:sz w:val="20"/>
          <w:szCs w:val="20"/>
          <w:lang w:val="es-ES"/>
        </w:rPr>
      </w:pPr>
      <w:r w:rsidRPr="00B36875">
        <w:rPr>
          <w:sz w:val="20"/>
          <w:szCs w:val="20"/>
          <w:lang w:val="es"/>
        </w:rPr>
        <w:t>Disposiciones del Acuerdo Propuesto para la Acción Judicial Colectiva</w:t>
      </w:r>
    </w:p>
    <w:p w:rsidR="006B41AD" w:rsidRPr="00B36875" w:rsidRDefault="006B41AD">
      <w:pPr>
        <w:spacing w:before="9"/>
        <w:rPr>
          <w:rFonts w:ascii="Times New Roman" w:eastAsia="Times New Roman" w:hAnsi="Times New Roman" w:cs="Times New Roman"/>
          <w:b/>
          <w:bCs/>
          <w:sz w:val="20"/>
          <w:szCs w:val="20"/>
          <w:lang w:val="es-ES"/>
        </w:rPr>
      </w:pPr>
    </w:p>
    <w:p w:rsidR="006B41AD" w:rsidRPr="00B36875" w:rsidRDefault="00B36875">
      <w:pPr>
        <w:pStyle w:val="BodyText"/>
        <w:spacing w:line="275" w:lineRule="auto"/>
        <w:ind w:right="220"/>
        <w:rPr>
          <w:sz w:val="20"/>
          <w:szCs w:val="20"/>
          <w:lang w:val="es-ES"/>
        </w:rPr>
      </w:pPr>
      <w:r w:rsidRPr="00B36875">
        <w:rPr>
          <w:sz w:val="20"/>
          <w:szCs w:val="20"/>
          <w:lang w:val="es"/>
        </w:rPr>
        <w:t xml:space="preserve">En virtud del Acuerdo Propuesto, </w:t>
      </w:r>
      <w:proofErr w:type="spellStart"/>
      <w:r w:rsidRPr="00B36875">
        <w:rPr>
          <w:sz w:val="20"/>
          <w:szCs w:val="20"/>
          <w:lang w:val="es"/>
        </w:rPr>
        <w:t>Oregon</w:t>
      </w:r>
      <w:proofErr w:type="spellEnd"/>
      <w:r w:rsidRPr="00B36875">
        <w:rPr>
          <w:sz w:val="20"/>
          <w:szCs w:val="20"/>
          <w:lang w:val="es"/>
        </w:rPr>
        <w:t xml:space="preserve"> seguirá ampliando la disponibilidad de servicios de empleo que permiten a los individuos con I/DD la oportunidad de trabajar en entornos integrados para el empleo, y se pretende disminuir proporcionalmente el apoyo del Estado a los talleres protegidos para los individuos con I/DD en </w:t>
      </w:r>
      <w:proofErr w:type="spellStart"/>
      <w:r w:rsidRPr="00B36875">
        <w:rPr>
          <w:sz w:val="20"/>
          <w:szCs w:val="20"/>
          <w:lang w:val="es"/>
        </w:rPr>
        <w:t>Oregon</w:t>
      </w:r>
      <w:proofErr w:type="spellEnd"/>
      <w:r w:rsidRPr="00B36875">
        <w:rPr>
          <w:sz w:val="20"/>
          <w:szCs w:val="20"/>
          <w:lang w:val="es"/>
        </w:rPr>
        <w:t>.</w:t>
      </w:r>
    </w:p>
    <w:p w:rsidR="006B41AD" w:rsidRPr="00B36875" w:rsidRDefault="00B36875">
      <w:pPr>
        <w:pStyle w:val="BodyText"/>
        <w:numPr>
          <w:ilvl w:val="1"/>
          <w:numId w:val="1"/>
        </w:numPr>
        <w:tabs>
          <w:tab w:val="left" w:pos="821"/>
        </w:tabs>
        <w:spacing w:before="200"/>
        <w:ind w:right="408"/>
        <w:jc w:val="left"/>
        <w:rPr>
          <w:sz w:val="20"/>
          <w:szCs w:val="20"/>
          <w:lang w:val="es-ES"/>
        </w:rPr>
      </w:pPr>
      <w:r w:rsidRPr="00B36875">
        <w:rPr>
          <w:i/>
          <w:iCs/>
          <w:sz w:val="20"/>
          <w:szCs w:val="20"/>
          <w:lang w:val="es"/>
        </w:rPr>
        <w:t xml:space="preserve">Orden Ejecutiva del Estado: </w:t>
      </w:r>
      <w:r w:rsidRPr="00B36875">
        <w:rPr>
          <w:sz w:val="20"/>
          <w:szCs w:val="20"/>
          <w:lang w:val="es"/>
        </w:rPr>
        <w:t xml:space="preserve">El Acuerdo Propuesto requiere que el Estado implemente y mantenga sustancialmente las condiciones jurídicas y las mejoras sistémicas de la Orden Ejecutiva 15-01 de </w:t>
      </w:r>
      <w:proofErr w:type="spellStart"/>
      <w:r w:rsidRPr="00B36875">
        <w:rPr>
          <w:sz w:val="20"/>
          <w:szCs w:val="20"/>
          <w:lang w:val="es"/>
        </w:rPr>
        <w:t>Oregon</w:t>
      </w:r>
      <w:proofErr w:type="spellEnd"/>
      <w:r w:rsidRPr="00B36875">
        <w:rPr>
          <w:sz w:val="20"/>
          <w:szCs w:val="20"/>
          <w:lang w:val="es"/>
        </w:rPr>
        <w:t>. En concreto, durante los próximos siete años, el Estado debe proporcionar servicios de empleo a 7,000 individuos.</w:t>
      </w:r>
    </w:p>
    <w:p w:rsidR="006B41AD" w:rsidRPr="00B36875" w:rsidRDefault="006B41AD">
      <w:pPr>
        <w:rPr>
          <w:sz w:val="20"/>
          <w:szCs w:val="20"/>
          <w:lang w:val="es-ES"/>
        </w:rPr>
        <w:sectPr w:rsidR="006B41AD" w:rsidRPr="00B36875">
          <w:footerReference w:type="default" r:id="rId9"/>
          <w:type w:val="continuous"/>
          <w:pgSz w:w="12240" w:h="15840"/>
          <w:pgMar w:top="1380" w:right="1360" w:bottom="1240" w:left="1340" w:header="720" w:footer="1040" w:gutter="0"/>
          <w:pgNumType w:start="1"/>
          <w:cols w:space="720"/>
        </w:sectPr>
      </w:pPr>
    </w:p>
    <w:p w:rsidR="006B41AD" w:rsidRPr="00B36875" w:rsidRDefault="00B36875">
      <w:pPr>
        <w:pStyle w:val="BodyText"/>
        <w:numPr>
          <w:ilvl w:val="1"/>
          <w:numId w:val="1"/>
        </w:numPr>
        <w:tabs>
          <w:tab w:val="left" w:pos="461"/>
        </w:tabs>
        <w:spacing w:before="52"/>
        <w:ind w:left="460" w:right="109"/>
        <w:jc w:val="left"/>
        <w:rPr>
          <w:sz w:val="20"/>
          <w:szCs w:val="20"/>
          <w:lang w:val="es-ES"/>
        </w:rPr>
      </w:pPr>
      <w:r w:rsidRPr="00B36875">
        <w:rPr>
          <w:i/>
          <w:iCs/>
          <w:sz w:val="20"/>
          <w:szCs w:val="20"/>
          <w:lang w:val="es"/>
        </w:rPr>
        <w:lastRenderedPageBreak/>
        <w:t xml:space="preserve">Empleo Competitivo en Entornos Integrados </w:t>
      </w:r>
      <w:r w:rsidRPr="00B36875">
        <w:rPr>
          <w:sz w:val="20"/>
          <w:szCs w:val="20"/>
          <w:lang w:val="es"/>
        </w:rPr>
        <w:t xml:space="preserve">El Estado debe seguir prestando servicios de empleo asistido y servicios relacionados para que los 1,115 adultos en edad de trabajar, mayores de 21 años de edad y pertenecientes a la población objetivo de los talleres protegidos puedan obtener empleo en un entorno integrado, durante el periodo de ocho años, del 1 de julio de 2014 al 30 de junio de 2022. Esto es consistente con las colocaciones de mediciones métricas para el Empleo Competitivo en Entornos Integrados, en su Plan de Empleo para Entornos Integrados del 6 de julio de 2015. El Empleo Competitivo en Entornos Integrados es un trabajo donde se paga a una persona por lo menos el salario mínimo de </w:t>
      </w:r>
      <w:proofErr w:type="spellStart"/>
      <w:r w:rsidRPr="00B36875">
        <w:rPr>
          <w:sz w:val="20"/>
          <w:szCs w:val="20"/>
          <w:lang w:val="es"/>
        </w:rPr>
        <w:t>Oregon</w:t>
      </w:r>
      <w:proofErr w:type="spellEnd"/>
      <w:r w:rsidRPr="00B36875">
        <w:rPr>
          <w:sz w:val="20"/>
          <w:szCs w:val="20"/>
          <w:lang w:val="es"/>
        </w:rPr>
        <w:t>, y no menos del sueldo habitual que se pagaría a una persona sin discapacidad por las mismas funciones o por funciones similares.  El Empleo Competitivo en Entornos Integrados permite a las personas con I/DD interactuar con otras personas que no son personas con discapacidad y que están en puestos comparables, y recibir los mismos beneficios que reciben otros empleados.</w:t>
      </w:r>
    </w:p>
    <w:p w:rsidR="006B41AD" w:rsidRPr="00B36875" w:rsidRDefault="006B41AD">
      <w:pPr>
        <w:spacing w:before="10"/>
        <w:rPr>
          <w:rFonts w:ascii="Times New Roman" w:eastAsia="Times New Roman" w:hAnsi="Times New Roman" w:cs="Times New Roman"/>
          <w:sz w:val="20"/>
          <w:szCs w:val="20"/>
          <w:lang w:val="es-ES"/>
        </w:rPr>
      </w:pPr>
    </w:p>
    <w:p w:rsidR="006B41AD" w:rsidRPr="00B36875" w:rsidRDefault="00B36875">
      <w:pPr>
        <w:pStyle w:val="BodyText"/>
        <w:numPr>
          <w:ilvl w:val="1"/>
          <w:numId w:val="1"/>
        </w:numPr>
        <w:tabs>
          <w:tab w:val="left" w:pos="461"/>
        </w:tabs>
        <w:ind w:left="460" w:right="207"/>
        <w:jc w:val="left"/>
        <w:rPr>
          <w:sz w:val="20"/>
          <w:szCs w:val="20"/>
          <w:lang w:val="es-ES"/>
        </w:rPr>
      </w:pPr>
      <w:r w:rsidRPr="00B36875">
        <w:rPr>
          <w:i/>
          <w:iCs/>
          <w:sz w:val="20"/>
          <w:szCs w:val="20"/>
          <w:lang w:val="es"/>
        </w:rPr>
        <w:t xml:space="preserve">Jóvenes en edad de transición: </w:t>
      </w:r>
      <w:r w:rsidRPr="00B36875">
        <w:rPr>
          <w:sz w:val="20"/>
          <w:szCs w:val="20"/>
          <w:lang w:val="es"/>
        </w:rPr>
        <w:t>De las 7,000 personas que recibirán los servicios de empleo en virtud de la Orden Ejecutiva, 4900 serán jóvenes en edad de transición que tienen al menos 14 años de edad y no más de 24 años de edad. El Acuerdo Propuesto exige que al menos la mitad de los jóvenes en edad de transición que reciben los servicios de empleo, y que solicitan y se determinan elegibles para recibir Servicios de Rehabilitación Vocacional, reciban un Plan Individual de Empleo.</w:t>
      </w:r>
    </w:p>
    <w:p w:rsidR="006B41AD" w:rsidRPr="00B36875" w:rsidRDefault="006B41AD">
      <w:pPr>
        <w:spacing w:before="10"/>
        <w:rPr>
          <w:rFonts w:ascii="Times New Roman" w:eastAsia="Times New Roman" w:hAnsi="Times New Roman" w:cs="Times New Roman"/>
          <w:sz w:val="20"/>
          <w:szCs w:val="20"/>
          <w:lang w:val="es-ES"/>
        </w:rPr>
      </w:pPr>
    </w:p>
    <w:p w:rsidR="006B41AD" w:rsidRPr="00B36875" w:rsidRDefault="00B36875">
      <w:pPr>
        <w:numPr>
          <w:ilvl w:val="1"/>
          <w:numId w:val="1"/>
        </w:numPr>
        <w:tabs>
          <w:tab w:val="left" w:pos="461"/>
        </w:tabs>
        <w:ind w:left="460" w:right="207"/>
        <w:jc w:val="left"/>
        <w:rPr>
          <w:rFonts w:ascii="Times New Roman" w:eastAsia="Times New Roman" w:hAnsi="Times New Roman" w:cs="Times New Roman"/>
          <w:sz w:val="20"/>
          <w:szCs w:val="20"/>
          <w:lang w:val="es-ES"/>
        </w:rPr>
      </w:pPr>
      <w:r w:rsidRPr="00B36875">
        <w:rPr>
          <w:rFonts w:ascii="Times New Roman"/>
          <w:i/>
          <w:iCs/>
          <w:sz w:val="20"/>
          <w:szCs w:val="20"/>
          <w:lang w:val="es"/>
        </w:rPr>
        <w:t xml:space="preserve">Acceso al empleo asistido en un taller protegido: </w:t>
      </w:r>
      <w:r w:rsidRPr="00B36875">
        <w:rPr>
          <w:rFonts w:ascii="Times New Roman"/>
          <w:sz w:val="20"/>
          <w:szCs w:val="20"/>
          <w:lang w:val="es"/>
        </w:rPr>
        <w:t>Cualquier persona que trabaja en un taller protegido y que quiere un empleo en un entorno laboral integrado puede pedir y recibir servicios de empleo asistido, seg</w:t>
      </w:r>
      <w:r w:rsidRPr="00B36875">
        <w:rPr>
          <w:rFonts w:ascii="Times New Roman"/>
          <w:sz w:val="20"/>
          <w:szCs w:val="20"/>
          <w:lang w:val="es"/>
        </w:rPr>
        <w:t>ú</w:t>
      </w:r>
      <w:r w:rsidRPr="00B36875">
        <w:rPr>
          <w:rFonts w:ascii="Times New Roman"/>
          <w:sz w:val="20"/>
          <w:szCs w:val="20"/>
          <w:lang w:val="es"/>
        </w:rPr>
        <w:t>n lo dispuesto en el Acuerdo Propuesto.</w:t>
      </w:r>
    </w:p>
    <w:p w:rsidR="006B41AD" w:rsidRPr="00B36875" w:rsidRDefault="006B41AD">
      <w:pPr>
        <w:spacing w:before="10"/>
        <w:rPr>
          <w:rFonts w:ascii="Times New Roman" w:eastAsia="Times New Roman" w:hAnsi="Times New Roman" w:cs="Times New Roman"/>
          <w:sz w:val="20"/>
          <w:szCs w:val="20"/>
          <w:lang w:val="es-ES"/>
        </w:rPr>
      </w:pPr>
    </w:p>
    <w:p w:rsidR="006B41AD" w:rsidRPr="00B36875" w:rsidRDefault="00B36875">
      <w:pPr>
        <w:pStyle w:val="BodyText"/>
        <w:numPr>
          <w:ilvl w:val="1"/>
          <w:numId w:val="1"/>
        </w:numPr>
        <w:tabs>
          <w:tab w:val="left" w:pos="461"/>
        </w:tabs>
        <w:ind w:left="460" w:right="207"/>
        <w:jc w:val="left"/>
        <w:rPr>
          <w:sz w:val="20"/>
          <w:szCs w:val="20"/>
          <w:lang w:val="es-ES"/>
        </w:rPr>
      </w:pPr>
      <w:r w:rsidRPr="00B36875">
        <w:rPr>
          <w:i/>
          <w:iCs/>
          <w:sz w:val="20"/>
          <w:szCs w:val="20"/>
          <w:lang w:val="es"/>
        </w:rPr>
        <w:t xml:space="preserve">Objetivo de 20 horas de trabajo por semana: </w:t>
      </w:r>
      <w:r w:rsidRPr="00B36875">
        <w:rPr>
          <w:sz w:val="20"/>
          <w:szCs w:val="20"/>
          <w:lang w:val="es"/>
        </w:rPr>
        <w:t xml:space="preserve">El Acuerdo Propuesto requiere que el DHS de </w:t>
      </w:r>
      <w:proofErr w:type="spellStart"/>
      <w:r w:rsidRPr="00B36875">
        <w:rPr>
          <w:sz w:val="20"/>
          <w:szCs w:val="20"/>
          <w:lang w:val="es"/>
        </w:rPr>
        <w:t>Oregon</w:t>
      </w:r>
      <w:proofErr w:type="spellEnd"/>
      <w:r w:rsidRPr="00B36875">
        <w:rPr>
          <w:sz w:val="20"/>
          <w:szCs w:val="20"/>
          <w:lang w:val="es"/>
        </w:rPr>
        <w:t xml:space="preserve"> establezca y promueva un objetivo de que todas las personas con I/DD que quieran trabajar en la comunidad tendrán la oportunidad de buscar empleo competitivo, que les permita trabajar el número máximo de horas de acuerdo a sus habilidades y preferencias. El DHS expedirá una guía que indica que la norma recomendada para los Servicios de Empleo con Apoyo es la oportunidad de trabajar al menos 20 horas por semana, si es compatible con la elección individual y otros factores. El DHS tomará medidas adicionales para crear incentivos financieros para que los proveedores contraten a individuos que participan en el Programa de Empleo Competitivo en Entornos Integrados con el estándar recomendado de 20 horas semanales, según lo dispuesto en el Acuerdo Propuesto.</w:t>
      </w:r>
    </w:p>
    <w:p w:rsidR="006B41AD" w:rsidRPr="00B36875" w:rsidRDefault="006B41AD">
      <w:pPr>
        <w:spacing w:before="10"/>
        <w:rPr>
          <w:rFonts w:ascii="Times New Roman" w:eastAsia="Times New Roman" w:hAnsi="Times New Roman" w:cs="Times New Roman"/>
          <w:sz w:val="20"/>
          <w:szCs w:val="20"/>
          <w:lang w:val="es-ES"/>
        </w:rPr>
      </w:pPr>
    </w:p>
    <w:p w:rsidR="006B41AD" w:rsidRPr="00B36875" w:rsidRDefault="00B36875">
      <w:pPr>
        <w:pStyle w:val="BodyText"/>
        <w:numPr>
          <w:ilvl w:val="1"/>
          <w:numId w:val="1"/>
        </w:numPr>
        <w:tabs>
          <w:tab w:val="left" w:pos="461"/>
        </w:tabs>
        <w:ind w:left="460" w:right="109"/>
        <w:jc w:val="left"/>
        <w:rPr>
          <w:sz w:val="20"/>
          <w:szCs w:val="20"/>
          <w:lang w:val="es-ES"/>
        </w:rPr>
      </w:pPr>
      <w:r w:rsidRPr="00B36875">
        <w:rPr>
          <w:i/>
          <w:iCs/>
          <w:sz w:val="20"/>
          <w:szCs w:val="20"/>
          <w:lang w:val="es"/>
        </w:rPr>
        <w:t xml:space="preserve">Plan de Desarrollo Profesional: </w:t>
      </w:r>
      <w:r w:rsidRPr="00B36875">
        <w:rPr>
          <w:sz w:val="20"/>
          <w:szCs w:val="20"/>
          <w:lang w:val="es"/>
        </w:rPr>
        <w:t>Todas los individuos en los talleres protegidos y todos los jóvenes en edad de transición con I/DD deben recibir un Plan de Desarrollo Profesional, según lo dispuesto en el Acuerdo Propuesto. Utilizando los principios de planificación profesional individualizada, un Plan de Desarrollo Profesional identifica los objetivos y las metas laborales del individuo, los obstáculos para lograr obtener un empleo competitivo en un entorno integrado, y los servicios y apoyos necesarios para superar esos obstáculos.</w:t>
      </w:r>
    </w:p>
    <w:p w:rsidR="006B41AD" w:rsidRPr="00B36875" w:rsidRDefault="006B41AD">
      <w:pPr>
        <w:spacing w:before="11"/>
        <w:rPr>
          <w:rFonts w:ascii="Times New Roman" w:eastAsia="Times New Roman" w:hAnsi="Times New Roman" w:cs="Times New Roman"/>
          <w:sz w:val="20"/>
          <w:szCs w:val="20"/>
          <w:lang w:val="es-ES"/>
        </w:rPr>
      </w:pPr>
    </w:p>
    <w:p w:rsidR="006B41AD" w:rsidRPr="00B36875" w:rsidRDefault="00B36875">
      <w:pPr>
        <w:pStyle w:val="BodyText"/>
        <w:numPr>
          <w:ilvl w:val="1"/>
          <w:numId w:val="1"/>
        </w:numPr>
        <w:tabs>
          <w:tab w:val="left" w:pos="461"/>
        </w:tabs>
        <w:ind w:left="460" w:right="259"/>
        <w:jc w:val="left"/>
        <w:rPr>
          <w:sz w:val="20"/>
          <w:szCs w:val="20"/>
          <w:lang w:val="es-ES"/>
        </w:rPr>
      </w:pPr>
      <w:r w:rsidRPr="00B36875">
        <w:rPr>
          <w:i/>
          <w:iCs/>
          <w:sz w:val="20"/>
          <w:szCs w:val="20"/>
          <w:lang w:val="es"/>
        </w:rPr>
        <w:t xml:space="preserve">Talleres protegidos: </w:t>
      </w:r>
      <w:r w:rsidRPr="00B36875">
        <w:rPr>
          <w:sz w:val="20"/>
          <w:szCs w:val="20"/>
          <w:lang w:val="es"/>
        </w:rPr>
        <w:t>El Estado también debe lograr dos métricas en su Plan de Empleo Integrado del 6 de julio de 2015, que miden la disminución del apoyo del Estado a los talleres protegidos. Durante los próximos dos años, el Estado debe reducir el número de individuos con I/DD trabajando en talleres protegidos, de 1,926 a 1,530. Durante este periodo, el Estado también debe reducir el número de horas trabajadas por individuos en talleres protegidos, de 93,530 horas mensuales a 66,100 horas mensuales.</w:t>
      </w:r>
    </w:p>
    <w:p w:rsidR="006B41AD" w:rsidRPr="00B36875" w:rsidRDefault="006B41AD">
      <w:pPr>
        <w:rPr>
          <w:sz w:val="20"/>
          <w:szCs w:val="20"/>
          <w:lang w:val="es-ES"/>
        </w:rPr>
        <w:sectPr w:rsidR="006B41AD" w:rsidRPr="00B36875">
          <w:pgSz w:w="12240" w:h="15840"/>
          <w:pgMar w:top="1380" w:right="1380" w:bottom="1240" w:left="1700" w:header="0" w:footer="1040" w:gutter="0"/>
          <w:cols w:space="720"/>
        </w:sectPr>
      </w:pPr>
    </w:p>
    <w:p w:rsidR="006B41AD" w:rsidRPr="00B36875" w:rsidRDefault="00B36875">
      <w:pPr>
        <w:numPr>
          <w:ilvl w:val="1"/>
          <w:numId w:val="1"/>
        </w:numPr>
        <w:tabs>
          <w:tab w:val="left" w:pos="821"/>
        </w:tabs>
        <w:spacing w:before="52"/>
        <w:ind w:right="325"/>
        <w:jc w:val="left"/>
        <w:rPr>
          <w:rFonts w:ascii="Times New Roman" w:eastAsia="Times New Roman" w:hAnsi="Times New Roman" w:cs="Times New Roman"/>
          <w:sz w:val="20"/>
          <w:szCs w:val="20"/>
          <w:lang w:val="es-ES"/>
        </w:rPr>
      </w:pPr>
      <w:r w:rsidRPr="00B36875">
        <w:rPr>
          <w:rFonts w:ascii="Times New Roman"/>
          <w:i/>
          <w:iCs/>
          <w:sz w:val="20"/>
          <w:szCs w:val="20"/>
          <w:lang w:val="es"/>
        </w:rPr>
        <w:lastRenderedPageBreak/>
        <w:t xml:space="preserve">Otras disposiciones para el sistema de servicios de empleo: </w:t>
      </w:r>
      <w:r w:rsidRPr="00B36875">
        <w:rPr>
          <w:rFonts w:ascii="Times New Roman"/>
          <w:iCs/>
          <w:sz w:val="20"/>
          <w:szCs w:val="20"/>
          <w:lang w:val="es"/>
        </w:rPr>
        <w:t>El</w:t>
      </w:r>
      <w:r w:rsidRPr="00B36875">
        <w:rPr>
          <w:rFonts w:ascii="Times New Roman"/>
          <w:sz w:val="20"/>
          <w:szCs w:val="20"/>
          <w:lang w:val="es"/>
        </w:rPr>
        <w:t xml:space="preserve"> Acuerdo Propuesto incluye disposiciones relativas a la capacitaci</w:t>
      </w:r>
      <w:r w:rsidRPr="00B36875">
        <w:rPr>
          <w:rFonts w:ascii="Times New Roman"/>
          <w:sz w:val="20"/>
          <w:szCs w:val="20"/>
          <w:lang w:val="es"/>
        </w:rPr>
        <w:t>ó</w:t>
      </w:r>
      <w:r w:rsidRPr="00B36875">
        <w:rPr>
          <w:rFonts w:ascii="Times New Roman"/>
          <w:sz w:val="20"/>
          <w:szCs w:val="20"/>
          <w:lang w:val="es"/>
        </w:rPr>
        <w:t>n, la capacidad del sistema para proporcionar servicios de empleo, la financiaci</w:t>
      </w:r>
      <w:r w:rsidRPr="00B36875">
        <w:rPr>
          <w:rFonts w:ascii="Times New Roman"/>
          <w:sz w:val="20"/>
          <w:szCs w:val="20"/>
          <w:lang w:val="es"/>
        </w:rPr>
        <w:t>ó</w:t>
      </w:r>
      <w:r w:rsidRPr="00B36875">
        <w:rPr>
          <w:rFonts w:ascii="Times New Roman"/>
          <w:sz w:val="20"/>
          <w:szCs w:val="20"/>
          <w:lang w:val="es"/>
        </w:rPr>
        <w:t>n, la recopilaci</w:t>
      </w:r>
      <w:r w:rsidRPr="00B36875">
        <w:rPr>
          <w:rFonts w:ascii="Times New Roman"/>
          <w:sz w:val="20"/>
          <w:szCs w:val="20"/>
          <w:lang w:val="es"/>
        </w:rPr>
        <w:t>ó</w:t>
      </w:r>
      <w:r w:rsidRPr="00B36875">
        <w:rPr>
          <w:rFonts w:ascii="Times New Roman"/>
          <w:sz w:val="20"/>
          <w:szCs w:val="20"/>
          <w:lang w:val="es"/>
        </w:rPr>
        <w:t>n de datos y la presentaci</w:t>
      </w:r>
      <w:r w:rsidRPr="00B36875">
        <w:rPr>
          <w:rFonts w:ascii="Times New Roman"/>
          <w:sz w:val="20"/>
          <w:szCs w:val="20"/>
          <w:lang w:val="es"/>
        </w:rPr>
        <w:t>ó</w:t>
      </w:r>
      <w:r w:rsidRPr="00B36875">
        <w:rPr>
          <w:rFonts w:ascii="Times New Roman"/>
          <w:sz w:val="20"/>
          <w:szCs w:val="20"/>
          <w:lang w:val="es"/>
        </w:rPr>
        <w:t>n de informes.</w:t>
      </w:r>
    </w:p>
    <w:p w:rsidR="006B41AD" w:rsidRPr="00B36875" w:rsidRDefault="006B41AD">
      <w:pPr>
        <w:spacing w:before="10"/>
        <w:rPr>
          <w:rFonts w:ascii="Times New Roman" w:eastAsia="Times New Roman" w:hAnsi="Times New Roman" w:cs="Times New Roman"/>
          <w:sz w:val="20"/>
          <w:szCs w:val="20"/>
          <w:lang w:val="es-ES"/>
        </w:rPr>
      </w:pPr>
    </w:p>
    <w:p w:rsidR="006B41AD" w:rsidRPr="00B36875" w:rsidRDefault="00B36875">
      <w:pPr>
        <w:pStyle w:val="BodyText"/>
        <w:ind w:right="174"/>
        <w:rPr>
          <w:sz w:val="20"/>
          <w:szCs w:val="20"/>
          <w:lang w:val="es-ES"/>
        </w:rPr>
      </w:pPr>
      <w:r w:rsidRPr="00B36875">
        <w:rPr>
          <w:sz w:val="20"/>
          <w:szCs w:val="20"/>
          <w:lang w:val="es"/>
        </w:rPr>
        <w:t xml:space="preserve">El Acuerdo Propuesto establece además que un revisor independiente evaluará el cumplimiento por parte del Estado, y expedirá informes públicos sobre la implementación del Acuerdo. El Tribunal conservará la jurisdicción de este asunto hasta que se logre un cumplimiento sustancial. El Acuerdo Propuesto incluye un proceso de solución de conflictos y procedimientos de ejecución del tribunal federal. El Estado puede defenderse de un procedimiento de ejecución demostrando un acontecimiento que afecta o impide el cumplimiento sustancial, y que no fue iniciado, creado, causado o contribuido sustancialmente por el DHS (Departamento de Servicios Humanos) o el ODE (Departamento de Educación de </w:t>
      </w:r>
      <w:proofErr w:type="spellStart"/>
      <w:r w:rsidRPr="00B36875">
        <w:rPr>
          <w:sz w:val="20"/>
          <w:szCs w:val="20"/>
          <w:lang w:val="es"/>
        </w:rPr>
        <w:t>Oregon</w:t>
      </w:r>
      <w:proofErr w:type="spellEnd"/>
      <w:r w:rsidRPr="00B36875">
        <w:rPr>
          <w:sz w:val="20"/>
          <w:szCs w:val="20"/>
          <w:lang w:val="es"/>
        </w:rPr>
        <w:t>).</w:t>
      </w:r>
    </w:p>
    <w:p w:rsidR="006B41AD" w:rsidRPr="00B36875" w:rsidRDefault="006B41AD">
      <w:pPr>
        <w:rPr>
          <w:rFonts w:ascii="Times New Roman" w:eastAsia="Times New Roman" w:hAnsi="Times New Roman" w:cs="Times New Roman"/>
          <w:sz w:val="20"/>
          <w:szCs w:val="20"/>
          <w:lang w:val="es-ES"/>
        </w:rPr>
      </w:pPr>
    </w:p>
    <w:p w:rsidR="006B41AD" w:rsidRPr="00B36875" w:rsidRDefault="00B36875">
      <w:pPr>
        <w:pStyle w:val="BodyText"/>
        <w:ind w:right="203"/>
        <w:rPr>
          <w:sz w:val="20"/>
          <w:szCs w:val="20"/>
          <w:lang w:val="es-ES"/>
        </w:rPr>
      </w:pPr>
      <w:r w:rsidRPr="00B36875">
        <w:rPr>
          <w:sz w:val="20"/>
          <w:szCs w:val="20"/>
          <w:lang w:val="es"/>
        </w:rPr>
        <w:t xml:space="preserve">Las responsabilidades del Estado bajo este Acuerdo Propuesto están sujetas a la financiación por la Legislatura. Es necesario que el Estado haga esfuerzos diligentes para obtener los fondos necesarios para cumplir con el Acuerdo Propuesto. Si </w:t>
      </w:r>
      <w:proofErr w:type="spellStart"/>
      <w:r w:rsidRPr="00B36875">
        <w:rPr>
          <w:sz w:val="20"/>
          <w:szCs w:val="20"/>
          <w:lang w:val="es"/>
        </w:rPr>
        <w:t>Oregon</w:t>
      </w:r>
      <w:proofErr w:type="spellEnd"/>
      <w:r w:rsidRPr="00B36875">
        <w:rPr>
          <w:sz w:val="20"/>
          <w:szCs w:val="20"/>
          <w:lang w:val="es"/>
        </w:rPr>
        <w:t xml:space="preserve"> no logra obtener los fondos necesarios para cumplir con el Acuerdo Propuesto, el Acuerdo Propuesto podría anularse, y se podrían reanudar los litigios.</w:t>
      </w:r>
    </w:p>
    <w:p w:rsidR="006B41AD" w:rsidRPr="00B36875" w:rsidRDefault="006B41AD">
      <w:pPr>
        <w:spacing w:before="5"/>
        <w:rPr>
          <w:rFonts w:ascii="Times New Roman" w:eastAsia="Times New Roman" w:hAnsi="Times New Roman" w:cs="Times New Roman"/>
          <w:sz w:val="20"/>
          <w:szCs w:val="20"/>
          <w:lang w:val="es-ES"/>
        </w:rPr>
      </w:pPr>
    </w:p>
    <w:p w:rsidR="006B41AD" w:rsidRPr="00B36875" w:rsidRDefault="00B36875">
      <w:pPr>
        <w:pStyle w:val="Heading1"/>
        <w:numPr>
          <w:ilvl w:val="0"/>
          <w:numId w:val="1"/>
        </w:numPr>
        <w:tabs>
          <w:tab w:val="left" w:pos="821"/>
        </w:tabs>
        <w:rPr>
          <w:b w:val="0"/>
          <w:bCs w:val="0"/>
          <w:sz w:val="20"/>
          <w:szCs w:val="20"/>
        </w:rPr>
      </w:pPr>
      <w:r w:rsidRPr="00B36875">
        <w:rPr>
          <w:sz w:val="20"/>
          <w:szCs w:val="20"/>
          <w:lang w:val="es"/>
        </w:rPr>
        <w:t>Proceso de aprobación</w:t>
      </w:r>
    </w:p>
    <w:p w:rsidR="006B41AD" w:rsidRPr="00B36875" w:rsidRDefault="006B41AD">
      <w:pPr>
        <w:spacing w:before="7"/>
        <w:rPr>
          <w:rFonts w:ascii="Times New Roman" w:eastAsia="Times New Roman" w:hAnsi="Times New Roman" w:cs="Times New Roman"/>
          <w:b/>
          <w:bCs/>
          <w:sz w:val="20"/>
          <w:szCs w:val="20"/>
        </w:rPr>
      </w:pPr>
    </w:p>
    <w:p w:rsidR="006B41AD" w:rsidRPr="00B36875" w:rsidRDefault="00B36875">
      <w:pPr>
        <w:pStyle w:val="BodyText"/>
        <w:ind w:right="287"/>
        <w:rPr>
          <w:sz w:val="20"/>
          <w:szCs w:val="20"/>
          <w:lang w:val="es-ES"/>
        </w:rPr>
      </w:pPr>
      <w:r w:rsidRPr="00B36875">
        <w:rPr>
          <w:sz w:val="20"/>
          <w:szCs w:val="20"/>
          <w:lang w:val="es"/>
        </w:rPr>
        <w:t xml:space="preserve">Este aviso es sólo un resumen. Los términos del Acuerdo Propuesto controlan cualquier descripción en este aviso.  Usted puede obtener una copia del Acuerdo Propuesto completo comunicándose con Kathy Wilde en </w:t>
      </w:r>
      <w:proofErr w:type="spellStart"/>
      <w:r w:rsidRPr="00B36875">
        <w:rPr>
          <w:sz w:val="20"/>
          <w:szCs w:val="20"/>
          <w:lang w:val="es"/>
        </w:rPr>
        <w:t>Disability</w:t>
      </w:r>
      <w:proofErr w:type="spellEnd"/>
      <w:r w:rsidRPr="00B36875">
        <w:rPr>
          <w:sz w:val="20"/>
          <w:szCs w:val="20"/>
          <w:lang w:val="es"/>
        </w:rPr>
        <w:t xml:space="preserve"> </w:t>
      </w:r>
      <w:proofErr w:type="spellStart"/>
      <w:r w:rsidRPr="00B36875">
        <w:rPr>
          <w:sz w:val="20"/>
          <w:szCs w:val="20"/>
          <w:lang w:val="es"/>
        </w:rPr>
        <w:t>Rights</w:t>
      </w:r>
      <w:proofErr w:type="spellEnd"/>
      <w:r w:rsidRPr="00B36875">
        <w:rPr>
          <w:sz w:val="20"/>
          <w:szCs w:val="20"/>
          <w:lang w:val="es"/>
        </w:rPr>
        <w:t xml:space="preserve"> </w:t>
      </w:r>
      <w:proofErr w:type="spellStart"/>
      <w:r w:rsidRPr="00B36875">
        <w:rPr>
          <w:sz w:val="20"/>
          <w:szCs w:val="20"/>
          <w:lang w:val="es"/>
        </w:rPr>
        <w:t>Oregon</w:t>
      </w:r>
      <w:proofErr w:type="spellEnd"/>
      <w:r w:rsidRPr="00B36875">
        <w:rPr>
          <w:sz w:val="20"/>
          <w:szCs w:val="20"/>
          <w:lang w:val="es"/>
        </w:rPr>
        <w:t xml:space="preserve">, enviando un correo electrónico a </w:t>
      </w:r>
      <w:hyperlink r:id="rId10">
        <w:r w:rsidRPr="00B36875">
          <w:rPr>
            <w:color w:val="0000FF"/>
            <w:sz w:val="20"/>
            <w:szCs w:val="20"/>
            <w:u w:val="single"/>
            <w:lang w:val="es"/>
          </w:rPr>
          <w:t xml:space="preserve">kwilde@droregon.org </w:t>
        </w:r>
      </w:hyperlink>
      <w:r w:rsidRPr="00B36875">
        <w:rPr>
          <w:sz w:val="20"/>
          <w:szCs w:val="20"/>
          <w:lang w:val="es"/>
        </w:rPr>
        <w:t xml:space="preserve">o llamando al (503) 243-2081 o (800) 452- 1694. Kathy Wilde también responderá a cualquier pregunta que tenga sobre el Acuerdo Propuesto. El Acuerdo Propuesto también está disponible en la página web de DHS </w:t>
      </w:r>
      <w:proofErr w:type="spellStart"/>
      <w:r w:rsidRPr="00B36875">
        <w:rPr>
          <w:sz w:val="20"/>
          <w:szCs w:val="20"/>
          <w:lang w:val="es"/>
        </w:rPr>
        <w:t>Employment</w:t>
      </w:r>
      <w:proofErr w:type="spellEnd"/>
      <w:r w:rsidRPr="00B36875">
        <w:rPr>
          <w:sz w:val="20"/>
          <w:szCs w:val="20"/>
          <w:lang w:val="es"/>
        </w:rPr>
        <w:t xml:space="preserve"> </w:t>
      </w:r>
      <w:proofErr w:type="spellStart"/>
      <w:r w:rsidRPr="00B36875">
        <w:rPr>
          <w:sz w:val="20"/>
          <w:szCs w:val="20"/>
          <w:lang w:val="es"/>
        </w:rPr>
        <w:t>First</w:t>
      </w:r>
      <w:proofErr w:type="spellEnd"/>
      <w:r w:rsidRPr="00B36875">
        <w:rPr>
          <w:sz w:val="20"/>
          <w:szCs w:val="20"/>
          <w:lang w:val="es"/>
        </w:rPr>
        <w:t xml:space="preserve">, </w:t>
      </w:r>
      <w:hyperlink r:id="rId11">
        <w:r w:rsidRPr="00B36875">
          <w:rPr>
            <w:color w:val="0000FF"/>
            <w:sz w:val="20"/>
            <w:szCs w:val="20"/>
            <w:lang w:val="es"/>
          </w:rPr>
          <w:t xml:space="preserve"> </w:t>
        </w:r>
        <w:r w:rsidRPr="00B36875">
          <w:rPr>
            <w:color w:val="0000FF"/>
            <w:sz w:val="20"/>
            <w:szCs w:val="20"/>
            <w:u w:val="single"/>
            <w:lang w:val="es"/>
          </w:rPr>
          <w:t xml:space="preserve">http://workwesucced.org </w:t>
        </w:r>
      </w:hyperlink>
      <w:r w:rsidRPr="00B36875">
        <w:rPr>
          <w:sz w:val="20"/>
          <w:szCs w:val="20"/>
          <w:lang w:val="es"/>
        </w:rPr>
        <w:t xml:space="preserve">y en la página web de la Oficina de Servicios para Discapacidad del Desarrollo, </w:t>
      </w:r>
      <w:hyperlink r:id="rId12">
        <w:r w:rsidRPr="00B36875">
          <w:rPr>
            <w:color w:val="0000FF"/>
            <w:sz w:val="20"/>
            <w:szCs w:val="20"/>
            <w:lang w:val="es"/>
          </w:rPr>
          <w:t xml:space="preserve"> </w:t>
        </w:r>
        <w:r w:rsidRPr="00B36875">
          <w:rPr>
            <w:color w:val="0000FF"/>
            <w:sz w:val="20"/>
            <w:szCs w:val="20"/>
            <w:u w:val="single"/>
            <w:lang w:val="es"/>
          </w:rPr>
          <w:t>http://www.oregon.gov/dhs/DD/pages/index.aspx</w:t>
        </w:r>
      </w:hyperlink>
      <w:r w:rsidRPr="00B36875">
        <w:rPr>
          <w:sz w:val="20"/>
          <w:szCs w:val="20"/>
          <w:lang w:val="es"/>
        </w:rPr>
        <w:t>.</w:t>
      </w:r>
    </w:p>
    <w:p w:rsidR="006B41AD" w:rsidRPr="00B36875" w:rsidRDefault="006B41AD">
      <w:pPr>
        <w:rPr>
          <w:rFonts w:ascii="Times New Roman" w:eastAsia="Times New Roman" w:hAnsi="Times New Roman" w:cs="Times New Roman"/>
          <w:sz w:val="20"/>
          <w:szCs w:val="20"/>
          <w:lang w:val="es-ES"/>
        </w:rPr>
      </w:pPr>
    </w:p>
    <w:p w:rsidR="006B41AD" w:rsidRPr="00B36875" w:rsidRDefault="00B36875">
      <w:pPr>
        <w:pStyle w:val="BodyText"/>
        <w:spacing w:before="69"/>
        <w:ind w:right="203"/>
        <w:rPr>
          <w:sz w:val="20"/>
          <w:szCs w:val="20"/>
          <w:lang w:val="es-ES"/>
        </w:rPr>
      </w:pPr>
      <w:r w:rsidRPr="00B36875">
        <w:rPr>
          <w:sz w:val="20"/>
          <w:szCs w:val="20"/>
          <w:lang w:val="es"/>
        </w:rPr>
        <w:t xml:space="preserve">El Tribunal ha programado una audiencia plena para determinar si el Acuerdo Propuesto es justo y razonable, y si está en los mejores intereses del grupo de demandantes. Cualquier miembro del grupo de demandantes que quiera presentar una objeción o comentario sobre este Acuerdo Propuesto, debe presentar una objeción o comentario por escrito, en o antes del </w:t>
      </w:r>
      <w:r w:rsidRPr="00B36875">
        <w:rPr>
          <w:b/>
          <w:bCs/>
          <w:sz w:val="20"/>
          <w:szCs w:val="20"/>
          <w:lang w:val="es"/>
        </w:rPr>
        <w:t>29 de octubre</w:t>
      </w:r>
      <w:r w:rsidRPr="00B36875">
        <w:rPr>
          <w:sz w:val="20"/>
          <w:szCs w:val="20"/>
          <w:lang w:val="es"/>
        </w:rPr>
        <w:t>,</w:t>
      </w:r>
      <w:r w:rsidRPr="00B36875">
        <w:rPr>
          <w:b/>
          <w:bCs/>
          <w:sz w:val="20"/>
          <w:szCs w:val="20"/>
          <w:lang w:val="es"/>
        </w:rPr>
        <w:t xml:space="preserve"> </w:t>
      </w:r>
      <w:r w:rsidRPr="00B36875">
        <w:rPr>
          <w:sz w:val="20"/>
          <w:szCs w:val="20"/>
          <w:lang w:val="es"/>
        </w:rPr>
        <w:t xml:space="preserve">con Kathy Wilde a </w:t>
      </w:r>
      <w:proofErr w:type="spellStart"/>
      <w:r w:rsidRPr="00B36875">
        <w:rPr>
          <w:sz w:val="20"/>
          <w:szCs w:val="20"/>
          <w:lang w:val="es"/>
        </w:rPr>
        <w:t>Disability</w:t>
      </w:r>
      <w:proofErr w:type="spellEnd"/>
      <w:r w:rsidRPr="00B36875">
        <w:rPr>
          <w:sz w:val="20"/>
          <w:szCs w:val="20"/>
          <w:lang w:val="es"/>
        </w:rPr>
        <w:t xml:space="preserve"> </w:t>
      </w:r>
      <w:proofErr w:type="spellStart"/>
      <w:r w:rsidRPr="00B36875">
        <w:rPr>
          <w:sz w:val="20"/>
          <w:szCs w:val="20"/>
          <w:lang w:val="es"/>
        </w:rPr>
        <w:t>Rights</w:t>
      </w:r>
      <w:proofErr w:type="spellEnd"/>
      <w:r w:rsidRPr="00B36875">
        <w:rPr>
          <w:sz w:val="20"/>
          <w:szCs w:val="20"/>
          <w:lang w:val="es"/>
        </w:rPr>
        <w:t xml:space="preserve"> </w:t>
      </w:r>
      <w:proofErr w:type="spellStart"/>
      <w:r w:rsidRPr="00B36875">
        <w:rPr>
          <w:sz w:val="20"/>
          <w:szCs w:val="20"/>
          <w:lang w:val="es"/>
        </w:rPr>
        <w:t>Oregon</w:t>
      </w:r>
      <w:proofErr w:type="spellEnd"/>
      <w:r w:rsidRPr="00B36875">
        <w:rPr>
          <w:sz w:val="20"/>
          <w:szCs w:val="20"/>
          <w:lang w:val="es"/>
        </w:rPr>
        <w:t xml:space="preserve">, 610 SW Broadway, Suite 200, Portland, OR 97205, o </w:t>
      </w:r>
      <w:hyperlink r:id="rId13">
        <w:r w:rsidRPr="00B36875">
          <w:rPr>
            <w:color w:val="0000FF"/>
            <w:sz w:val="20"/>
            <w:szCs w:val="20"/>
            <w:u w:val="single"/>
            <w:lang w:val="es"/>
          </w:rPr>
          <w:t>kwilde@droregon.org</w:t>
        </w:r>
        <w:r w:rsidRPr="00B36875">
          <w:rPr>
            <w:sz w:val="20"/>
            <w:szCs w:val="20"/>
            <w:lang w:val="es"/>
          </w:rPr>
          <w:t>.</w:t>
        </w:r>
      </w:hyperlink>
    </w:p>
    <w:p w:rsidR="006B41AD" w:rsidRPr="00B36875" w:rsidRDefault="006B41AD">
      <w:pPr>
        <w:spacing w:before="11"/>
        <w:rPr>
          <w:rFonts w:ascii="Times New Roman" w:eastAsia="Times New Roman" w:hAnsi="Times New Roman" w:cs="Times New Roman"/>
          <w:sz w:val="20"/>
          <w:szCs w:val="20"/>
          <w:lang w:val="es-ES"/>
        </w:rPr>
      </w:pPr>
    </w:p>
    <w:p w:rsidR="006B41AD" w:rsidRPr="00B36875" w:rsidRDefault="00B36875">
      <w:pPr>
        <w:spacing w:before="69"/>
        <w:ind w:left="100" w:right="325" w:firstLine="719"/>
        <w:rPr>
          <w:rFonts w:ascii="Times New Roman" w:eastAsia="Times New Roman" w:hAnsi="Times New Roman" w:cs="Times New Roman"/>
          <w:sz w:val="20"/>
          <w:szCs w:val="20"/>
          <w:lang w:val="es-ES"/>
        </w:rPr>
      </w:pPr>
      <w:r w:rsidRPr="00B36875">
        <w:rPr>
          <w:rFonts w:ascii="Times New Roman"/>
          <w:b/>
          <w:bCs/>
          <w:sz w:val="20"/>
          <w:szCs w:val="20"/>
          <w:lang w:val="es"/>
        </w:rPr>
        <w:t>El Tribunal ha programado una audiencia de imparcialidad el 7 de diciembre de 2015, a las 9:30 de la ma</w:t>
      </w:r>
      <w:r w:rsidRPr="00B36875">
        <w:rPr>
          <w:rFonts w:ascii="Times New Roman"/>
          <w:b/>
          <w:bCs/>
          <w:sz w:val="20"/>
          <w:szCs w:val="20"/>
          <w:lang w:val="es"/>
        </w:rPr>
        <w:t>ñ</w:t>
      </w:r>
      <w:r w:rsidRPr="00B36875">
        <w:rPr>
          <w:rFonts w:ascii="Times New Roman"/>
          <w:b/>
          <w:bCs/>
          <w:sz w:val="20"/>
          <w:szCs w:val="20"/>
          <w:lang w:val="es"/>
        </w:rPr>
        <w:t>ana</w:t>
      </w:r>
      <w:r w:rsidRPr="00B36875">
        <w:rPr>
          <w:rFonts w:ascii="Times New Roman"/>
          <w:sz w:val="20"/>
          <w:szCs w:val="20"/>
          <w:lang w:val="es"/>
        </w:rPr>
        <w:t>, ante el Juez Magistrado Janice M. Stewart. Esta audiencia se llevar</w:t>
      </w:r>
      <w:r w:rsidRPr="00B36875">
        <w:rPr>
          <w:rFonts w:ascii="Times New Roman"/>
          <w:sz w:val="20"/>
          <w:szCs w:val="20"/>
          <w:lang w:val="es"/>
        </w:rPr>
        <w:t>á</w:t>
      </w:r>
      <w:r w:rsidRPr="00B36875">
        <w:rPr>
          <w:rFonts w:ascii="Times New Roman"/>
          <w:sz w:val="20"/>
          <w:szCs w:val="20"/>
          <w:lang w:val="es"/>
        </w:rPr>
        <w:t xml:space="preserve"> a cabo en el Tribunal de Distrito de Estados Unidos para el Distrito de </w:t>
      </w:r>
      <w:proofErr w:type="spellStart"/>
      <w:r w:rsidRPr="00B36875">
        <w:rPr>
          <w:rFonts w:ascii="Times New Roman"/>
          <w:sz w:val="20"/>
          <w:szCs w:val="20"/>
          <w:lang w:val="es"/>
        </w:rPr>
        <w:t>Oregon</w:t>
      </w:r>
      <w:proofErr w:type="spellEnd"/>
      <w:r w:rsidRPr="00B36875">
        <w:rPr>
          <w:rFonts w:ascii="Times New Roman"/>
          <w:sz w:val="20"/>
          <w:szCs w:val="20"/>
          <w:lang w:val="es"/>
        </w:rPr>
        <w:t xml:space="preserve">, ubicado en 1107 </w:t>
      </w:r>
      <w:proofErr w:type="spellStart"/>
      <w:r w:rsidRPr="00B36875">
        <w:rPr>
          <w:rFonts w:ascii="Times New Roman"/>
          <w:sz w:val="20"/>
          <w:szCs w:val="20"/>
          <w:lang w:val="es"/>
        </w:rPr>
        <w:t>United</w:t>
      </w:r>
      <w:proofErr w:type="spellEnd"/>
      <w:r w:rsidRPr="00B36875">
        <w:rPr>
          <w:rFonts w:ascii="Times New Roman"/>
          <w:sz w:val="20"/>
          <w:szCs w:val="20"/>
          <w:lang w:val="es"/>
        </w:rPr>
        <w:t xml:space="preserve"> </w:t>
      </w:r>
      <w:proofErr w:type="spellStart"/>
      <w:r w:rsidRPr="00B36875">
        <w:rPr>
          <w:rFonts w:ascii="Times New Roman"/>
          <w:sz w:val="20"/>
          <w:szCs w:val="20"/>
          <w:lang w:val="es"/>
        </w:rPr>
        <w:t>States</w:t>
      </w:r>
      <w:proofErr w:type="spellEnd"/>
      <w:r w:rsidRPr="00B36875">
        <w:rPr>
          <w:rFonts w:ascii="Times New Roman"/>
          <w:sz w:val="20"/>
          <w:szCs w:val="20"/>
          <w:lang w:val="es"/>
        </w:rPr>
        <w:t xml:space="preserve"> </w:t>
      </w:r>
      <w:proofErr w:type="spellStart"/>
      <w:r w:rsidRPr="00B36875">
        <w:rPr>
          <w:rFonts w:ascii="Times New Roman"/>
          <w:sz w:val="20"/>
          <w:szCs w:val="20"/>
          <w:lang w:val="es"/>
        </w:rPr>
        <w:t>Courthouse</w:t>
      </w:r>
      <w:proofErr w:type="spellEnd"/>
      <w:r w:rsidRPr="00B36875">
        <w:rPr>
          <w:rFonts w:ascii="Times New Roman"/>
          <w:sz w:val="20"/>
          <w:szCs w:val="20"/>
          <w:lang w:val="es"/>
        </w:rPr>
        <w:t xml:space="preserve">, 1000 </w:t>
      </w:r>
      <w:proofErr w:type="spellStart"/>
      <w:r w:rsidRPr="00B36875">
        <w:rPr>
          <w:rFonts w:ascii="Times New Roman"/>
          <w:sz w:val="20"/>
          <w:szCs w:val="20"/>
          <w:lang w:val="es"/>
        </w:rPr>
        <w:t>Southwest</w:t>
      </w:r>
      <w:proofErr w:type="spellEnd"/>
      <w:r w:rsidRPr="00B36875">
        <w:rPr>
          <w:rFonts w:ascii="Times New Roman"/>
          <w:sz w:val="20"/>
          <w:szCs w:val="20"/>
          <w:lang w:val="es"/>
        </w:rPr>
        <w:t xml:space="preserve"> </w:t>
      </w:r>
      <w:proofErr w:type="spellStart"/>
      <w:r w:rsidRPr="00B36875">
        <w:rPr>
          <w:rFonts w:ascii="Times New Roman"/>
          <w:sz w:val="20"/>
          <w:szCs w:val="20"/>
          <w:lang w:val="es"/>
        </w:rPr>
        <w:t>Third</w:t>
      </w:r>
      <w:proofErr w:type="spellEnd"/>
      <w:r w:rsidRPr="00B36875">
        <w:rPr>
          <w:rFonts w:ascii="Times New Roman"/>
          <w:sz w:val="20"/>
          <w:szCs w:val="20"/>
          <w:lang w:val="es"/>
        </w:rPr>
        <w:t xml:space="preserve"> </w:t>
      </w:r>
      <w:proofErr w:type="spellStart"/>
      <w:r w:rsidRPr="00B36875">
        <w:rPr>
          <w:rFonts w:ascii="Times New Roman"/>
          <w:sz w:val="20"/>
          <w:szCs w:val="20"/>
          <w:lang w:val="es"/>
        </w:rPr>
        <w:t>Avenue</w:t>
      </w:r>
      <w:proofErr w:type="spellEnd"/>
      <w:r w:rsidRPr="00B36875">
        <w:rPr>
          <w:rFonts w:ascii="Times New Roman"/>
          <w:sz w:val="20"/>
          <w:szCs w:val="20"/>
          <w:lang w:val="es"/>
        </w:rPr>
        <w:t xml:space="preserve">, Portland, </w:t>
      </w:r>
      <w:proofErr w:type="spellStart"/>
      <w:r w:rsidRPr="00B36875">
        <w:rPr>
          <w:rFonts w:ascii="Times New Roman"/>
          <w:sz w:val="20"/>
          <w:szCs w:val="20"/>
          <w:lang w:val="es"/>
        </w:rPr>
        <w:t>Oregon</w:t>
      </w:r>
      <w:proofErr w:type="spellEnd"/>
      <w:r w:rsidRPr="00B36875">
        <w:rPr>
          <w:rFonts w:ascii="Times New Roman"/>
          <w:sz w:val="20"/>
          <w:szCs w:val="20"/>
          <w:lang w:val="es"/>
        </w:rPr>
        <w:t xml:space="preserve"> 97204-2941.</w:t>
      </w:r>
    </w:p>
    <w:sectPr w:rsidR="006B41AD" w:rsidRPr="00B36875">
      <w:pgSz w:w="12240" w:h="15840"/>
      <w:pgMar w:top="1380" w:right="1340" w:bottom="1240" w:left="1340" w:header="0" w:footer="10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B47" w:rsidRDefault="00995B47">
      <w:r>
        <w:separator/>
      </w:r>
    </w:p>
  </w:endnote>
  <w:endnote w:type="continuationSeparator" w:id="0">
    <w:p w:rsidR="00995B47" w:rsidRDefault="0099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AD" w:rsidRDefault="00F806C6">
    <w:pPr>
      <w:spacing w:line="14" w:lineRule="auto"/>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3823335</wp:posOffset>
              </wp:positionH>
              <wp:positionV relativeFrom="page">
                <wp:posOffset>9258300</wp:posOffset>
              </wp:positionV>
              <wp:extent cx="127000" cy="177800"/>
              <wp:effectExtent l="3810" t="0" r="254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1AD" w:rsidRDefault="00B36875">
                          <w:pPr>
                            <w:pStyle w:val="BodyText"/>
                            <w:spacing w:line="265" w:lineRule="exact"/>
                            <w:ind w:left="40" w:firstLine="0"/>
                          </w:pPr>
                          <w:r>
                            <w:rPr>
                              <w:lang w:val="es"/>
                            </w:rPr>
                            <w:fldChar w:fldCharType="begin"/>
                          </w:r>
                          <w:r>
                            <w:rPr>
                              <w:lang w:val="es"/>
                            </w:rPr>
                            <w:instrText xml:space="preserve"> PAGE </w:instrText>
                          </w:r>
                          <w:r>
                            <w:rPr>
                              <w:lang w:val="es"/>
                            </w:rPr>
                            <w:fldChar w:fldCharType="separate"/>
                          </w:r>
                          <w:r w:rsidR="00486A77">
                            <w:rPr>
                              <w:noProof/>
                              <w:lang w:val="es"/>
                            </w:rPr>
                            <w:t>1</w:t>
                          </w:r>
                          <w:r>
                            <w:rPr>
                              <w:lang w:val="e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05pt;margin-top:729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" filled="f" stroked="f">
              <v:textbox inset="0,0,0,0">
                <w:txbxContent>
                  <w:p w:rsidR="006B41AD" w:rsidRDefault="00B36875">
                    <w:pPr>
                      <w:pStyle w:val="BodyText"/>
                      <w:spacing w:line="265" w:lineRule="exact"/>
                      <w:ind w:left="40" w:firstLine="0"/>
                    </w:pPr>
                    <w:r>
                      <w:rPr>
                        <w:lang w:val="es"/>
                      </w:rPr>
                      <w:fldChar w:fldCharType="begin"/>
                    </w:r>
                    <w:r>
                      <w:rPr>
                        <w:lang w:val="es"/>
                      </w:rPr>
                      <w:instrText xml:space="preserve"> PAGE </w:instrText>
                    </w:r>
                    <w:r>
                      <w:rPr>
                        <w:lang w:val="es"/>
                      </w:rPr>
                      <w:fldChar w:fldCharType="separate"/>
                    </w:r>
                    <w:r w:rsidR="00486A77">
                      <w:rPr>
                        <w:noProof/>
                        <w:lang w:val="es"/>
                      </w:rPr>
                      <w:t>1</w:t>
                    </w:r>
                    <w:r>
                      <w:rPr>
                        <w:lang w:val="e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B47" w:rsidRDefault="00995B47">
      <w:r>
        <w:separator/>
      </w:r>
    </w:p>
  </w:footnote>
  <w:footnote w:type="continuationSeparator" w:id="0">
    <w:p w:rsidR="00995B47" w:rsidRDefault="00995B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C4F9B"/>
    <w:multiLevelType w:val="hybridMultilevel"/>
    <w:tmpl w:val="686A0AB4"/>
    <w:lvl w:ilvl="0" w:tplc="1DB4041C">
      <w:start w:val="1"/>
      <w:numFmt w:val="upperRoman"/>
      <w:lvlText w:val="%1."/>
      <w:lvlJc w:val="left"/>
      <w:pPr>
        <w:ind w:left="820" w:hanging="720"/>
        <w:jc w:val="left"/>
      </w:pPr>
      <w:rPr>
        <w:rFonts w:ascii="Times New Roman" w:eastAsia="Times New Roman" w:hAnsi="Times New Roman" w:hint="default"/>
        <w:b/>
        <w:bCs/>
        <w:sz w:val="24"/>
        <w:szCs w:val="24"/>
      </w:rPr>
    </w:lvl>
    <w:lvl w:ilvl="1" w:tplc="EBCCB582">
      <w:start w:val="1"/>
      <w:numFmt w:val="upperLetter"/>
      <w:lvlText w:val="%2."/>
      <w:lvlJc w:val="left"/>
      <w:pPr>
        <w:ind w:left="820" w:hanging="360"/>
        <w:jc w:val="right"/>
      </w:pPr>
      <w:rPr>
        <w:rFonts w:ascii="Times New Roman" w:eastAsia="Times New Roman" w:hAnsi="Times New Roman" w:hint="default"/>
        <w:spacing w:val="-1"/>
        <w:sz w:val="24"/>
        <w:szCs w:val="24"/>
      </w:rPr>
    </w:lvl>
    <w:lvl w:ilvl="2" w:tplc="BDD2A23E">
      <w:start w:val="1"/>
      <w:numFmt w:val="bullet"/>
      <w:lvlText w:val="•"/>
      <w:lvlJc w:val="left"/>
      <w:pPr>
        <w:ind w:left="2564" w:hanging="360"/>
      </w:pPr>
      <w:rPr>
        <w:rFonts w:hint="default"/>
      </w:rPr>
    </w:lvl>
    <w:lvl w:ilvl="3" w:tplc="B1CA166C">
      <w:start w:val="1"/>
      <w:numFmt w:val="bullet"/>
      <w:lvlText w:val="•"/>
      <w:lvlJc w:val="left"/>
      <w:pPr>
        <w:ind w:left="3436" w:hanging="360"/>
      </w:pPr>
      <w:rPr>
        <w:rFonts w:hint="default"/>
      </w:rPr>
    </w:lvl>
    <w:lvl w:ilvl="4" w:tplc="71228D2C">
      <w:start w:val="1"/>
      <w:numFmt w:val="bullet"/>
      <w:lvlText w:val="•"/>
      <w:lvlJc w:val="left"/>
      <w:pPr>
        <w:ind w:left="4308" w:hanging="360"/>
      </w:pPr>
      <w:rPr>
        <w:rFonts w:hint="default"/>
      </w:rPr>
    </w:lvl>
    <w:lvl w:ilvl="5" w:tplc="717620D2">
      <w:start w:val="1"/>
      <w:numFmt w:val="bullet"/>
      <w:lvlText w:val="•"/>
      <w:lvlJc w:val="left"/>
      <w:pPr>
        <w:ind w:left="5180" w:hanging="360"/>
      </w:pPr>
      <w:rPr>
        <w:rFonts w:hint="default"/>
      </w:rPr>
    </w:lvl>
    <w:lvl w:ilvl="6" w:tplc="5A68C4BC">
      <w:start w:val="1"/>
      <w:numFmt w:val="bullet"/>
      <w:lvlText w:val="•"/>
      <w:lvlJc w:val="left"/>
      <w:pPr>
        <w:ind w:left="6052" w:hanging="360"/>
      </w:pPr>
      <w:rPr>
        <w:rFonts w:hint="default"/>
      </w:rPr>
    </w:lvl>
    <w:lvl w:ilvl="7" w:tplc="DE5E4420">
      <w:start w:val="1"/>
      <w:numFmt w:val="bullet"/>
      <w:lvlText w:val="•"/>
      <w:lvlJc w:val="left"/>
      <w:pPr>
        <w:ind w:left="6924" w:hanging="360"/>
      </w:pPr>
      <w:rPr>
        <w:rFonts w:hint="default"/>
      </w:rPr>
    </w:lvl>
    <w:lvl w:ilvl="8" w:tplc="0E1ED040">
      <w:start w:val="1"/>
      <w:numFmt w:val="bullet"/>
      <w:lvlText w:val="•"/>
      <w:lvlJc w:val="left"/>
      <w:pPr>
        <w:ind w:left="779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1AD"/>
    <w:rsid w:val="00486A77"/>
    <w:rsid w:val="006B41AD"/>
    <w:rsid w:val="00995B47"/>
    <w:rsid w:val="00B36875"/>
    <w:rsid w:val="00E16ED1"/>
    <w:rsid w:val="00F80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820" w:hanging="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71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820" w:hanging="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71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wilde@droregon.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regon.gov/dhs/DD/pages/index.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orkwesucced.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wilde@droregon.org"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DBF17-6F36-4463-BA12-8EA0559C0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1459</Words>
  <Characters>8318</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Administrator</cp:lastModifiedBy>
  <cp:revision>2</cp:revision>
  <dcterms:created xsi:type="dcterms:W3CDTF">2015-10-23T16:45:00Z</dcterms:created>
  <dcterms:modified xsi:type="dcterms:W3CDTF">2015-10-23T16:45:00Z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2015-09-21T00:00:00Z</vt:filetime>
  </property>
  <property fmtid="{D5CDD505-2E9C-101B-9397-08002B2CF9AE}" pid="3" name="LastSaved">
    <vt:filetime>2015-09-23T00:00:00Z</vt:filetime>
  </property>
</Properties>
</file>