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9769" w14:textId="4B868DB7" w:rsidR="002179C2" w:rsidRDefault="002179C2">
      <w:pPr>
        <w:pStyle w:val="BodyText"/>
        <w:rPr>
          <w:rFonts w:ascii="Times New Roman"/>
          <w:sz w:val="20"/>
        </w:rPr>
      </w:pPr>
    </w:p>
    <w:p w14:paraId="71B4976A" w14:textId="23E36896" w:rsidR="002179C2" w:rsidRDefault="002179C2">
      <w:pPr>
        <w:pStyle w:val="BodyText"/>
        <w:rPr>
          <w:rFonts w:ascii="Times New Roman"/>
          <w:sz w:val="20"/>
        </w:rPr>
      </w:pPr>
    </w:p>
    <w:p w14:paraId="71B4976B" w14:textId="58AB4D8E" w:rsidR="002179C2" w:rsidRDefault="002179C2">
      <w:pPr>
        <w:pStyle w:val="BodyText"/>
        <w:rPr>
          <w:rFonts w:ascii="Times New Roman"/>
          <w:sz w:val="20"/>
        </w:rPr>
      </w:pPr>
    </w:p>
    <w:p w14:paraId="71B4976C" w14:textId="77777777" w:rsidR="002179C2" w:rsidRDefault="002179C2">
      <w:pPr>
        <w:pStyle w:val="BodyText"/>
        <w:rPr>
          <w:rFonts w:ascii="Times New Roman"/>
          <w:sz w:val="20"/>
        </w:rPr>
      </w:pPr>
    </w:p>
    <w:p w14:paraId="71B4976D" w14:textId="77777777" w:rsidR="002179C2" w:rsidRDefault="002179C2">
      <w:pPr>
        <w:pStyle w:val="BodyText"/>
        <w:rPr>
          <w:rFonts w:ascii="Times New Roman"/>
          <w:sz w:val="20"/>
        </w:rPr>
      </w:pPr>
    </w:p>
    <w:p w14:paraId="71B4976E" w14:textId="77777777" w:rsidR="002179C2" w:rsidRDefault="002179C2">
      <w:pPr>
        <w:pStyle w:val="BodyText"/>
        <w:rPr>
          <w:rFonts w:ascii="Times New Roman"/>
          <w:sz w:val="20"/>
        </w:rPr>
      </w:pPr>
    </w:p>
    <w:p w14:paraId="715F4051" w14:textId="70B8885A" w:rsidR="008D1E0F" w:rsidRDefault="008D1E0F" w:rsidP="0040496A">
      <w:pPr>
        <w:ind w:right="2790"/>
        <w:rPr>
          <w:sz w:val="24"/>
          <w:szCs w:val="24"/>
        </w:rPr>
      </w:pPr>
    </w:p>
    <w:p w14:paraId="1EED01E0" w14:textId="7CFED106" w:rsidR="00905031" w:rsidRPr="00905031" w:rsidRDefault="00905031" w:rsidP="00905031">
      <w:pPr>
        <w:spacing w:after="160"/>
        <w:ind w:left="720" w:right="630"/>
        <w:rPr>
          <w:sz w:val="24"/>
          <w:szCs w:val="24"/>
        </w:rPr>
      </w:pPr>
      <w:r w:rsidRPr="00905031">
        <w:rPr>
          <w:sz w:val="24"/>
          <w:szCs w:val="24"/>
        </w:rPr>
        <w:t xml:space="preserve">As </w:t>
      </w:r>
      <w:r w:rsidR="004E19D3">
        <w:rPr>
          <w:sz w:val="24"/>
          <w:szCs w:val="24"/>
        </w:rPr>
        <w:t>Self-Sufficiency Programs (SSP)</w:t>
      </w:r>
      <w:r w:rsidRPr="00905031">
        <w:rPr>
          <w:sz w:val="24"/>
          <w:szCs w:val="24"/>
        </w:rPr>
        <w:t xml:space="preserve"> push</w:t>
      </w:r>
      <w:r w:rsidR="004E19D3">
        <w:rPr>
          <w:sz w:val="24"/>
          <w:szCs w:val="24"/>
        </w:rPr>
        <w:t>es</w:t>
      </w:r>
      <w:r w:rsidRPr="00905031">
        <w:rPr>
          <w:sz w:val="24"/>
          <w:szCs w:val="24"/>
        </w:rPr>
        <w:t xml:space="preserve"> forward in our anti-poverty efforts, </w:t>
      </w:r>
      <w:r w:rsidR="007263B4">
        <w:rPr>
          <w:sz w:val="24"/>
          <w:szCs w:val="24"/>
        </w:rPr>
        <w:t>the 2023 Legislative Session</w:t>
      </w:r>
      <w:r w:rsidRPr="00905031">
        <w:rPr>
          <w:sz w:val="24"/>
          <w:szCs w:val="24"/>
        </w:rPr>
        <w:t xml:space="preserve"> affirmed the need for connections to housing and education in our work. </w:t>
      </w:r>
      <w:r w:rsidR="004E19D3">
        <w:rPr>
          <w:sz w:val="24"/>
          <w:szCs w:val="24"/>
        </w:rPr>
        <w:t>SSP is</w:t>
      </w:r>
      <w:r w:rsidRPr="00905031">
        <w:rPr>
          <w:sz w:val="24"/>
          <w:szCs w:val="24"/>
        </w:rPr>
        <w:t xml:space="preserve"> continuing to lean into supports for youth experiencing homelessness </w:t>
      </w:r>
      <w:r w:rsidR="00EF37B8">
        <w:rPr>
          <w:sz w:val="24"/>
          <w:szCs w:val="24"/>
        </w:rPr>
        <w:t>and were pleased</w:t>
      </w:r>
      <w:r w:rsidRPr="00905031">
        <w:rPr>
          <w:sz w:val="24"/>
          <w:szCs w:val="24"/>
        </w:rPr>
        <w:t xml:space="preserve"> to see the legislature support the continuation of these efforts.</w:t>
      </w:r>
      <w:r w:rsidR="00EF37B8">
        <w:rPr>
          <w:sz w:val="24"/>
          <w:szCs w:val="24"/>
        </w:rPr>
        <w:t xml:space="preserve"> Below are a</w:t>
      </w:r>
      <w:r w:rsidR="00EF37B8" w:rsidRPr="00EF37B8">
        <w:rPr>
          <w:sz w:val="24"/>
          <w:szCs w:val="24"/>
        </w:rPr>
        <w:t xml:space="preserve"> few more details about the bills that passed which are most relevant to </w:t>
      </w:r>
      <w:r w:rsidR="00EF37B8">
        <w:rPr>
          <w:sz w:val="24"/>
          <w:szCs w:val="24"/>
        </w:rPr>
        <w:t>SSP and our partners.</w:t>
      </w:r>
    </w:p>
    <w:p w14:paraId="5CC6D8C2" w14:textId="1BF0D458" w:rsidR="00905031" w:rsidRPr="00C4184F" w:rsidRDefault="00905031" w:rsidP="00C4184F">
      <w:pPr>
        <w:pStyle w:val="Heading1"/>
      </w:pPr>
      <w:r w:rsidRPr="00C4184F">
        <w:t>Support for youth experiencing homelessness</w:t>
      </w:r>
    </w:p>
    <w:p w14:paraId="5376770C" w14:textId="11C414B6" w:rsidR="00905031" w:rsidRPr="00905031" w:rsidRDefault="00C4184F" w:rsidP="00C4184F">
      <w:pPr>
        <w:spacing w:after="160"/>
        <w:ind w:left="720" w:right="630"/>
        <w:rPr>
          <w:sz w:val="24"/>
          <w:szCs w:val="24"/>
        </w:rPr>
      </w:pPr>
      <w:r>
        <w:rPr>
          <w:b/>
          <w:bCs/>
          <w:sz w:val="24"/>
          <w:szCs w:val="24"/>
        </w:rPr>
        <w:t>Ho</w:t>
      </w:r>
      <w:r w:rsidR="00905031" w:rsidRPr="00905031">
        <w:rPr>
          <w:b/>
          <w:bCs/>
          <w:sz w:val="24"/>
          <w:szCs w:val="24"/>
        </w:rPr>
        <w:t>use Bill 5019</w:t>
      </w:r>
      <w:r w:rsidR="00905031" w:rsidRPr="00905031">
        <w:rPr>
          <w:sz w:val="24"/>
          <w:szCs w:val="24"/>
        </w:rPr>
        <w:t> appropriates $12.5M to ODHS to award grants to increase youth access to shelter facilities, outreach, culturally specific services and mental health or substance abuse services when they are experiencing homelessness.</w:t>
      </w:r>
    </w:p>
    <w:p w14:paraId="02C1E8C5" w14:textId="77777777" w:rsidR="00905031" w:rsidRPr="00905031" w:rsidRDefault="00905031" w:rsidP="00C4184F">
      <w:pPr>
        <w:numPr>
          <w:ilvl w:val="1"/>
          <w:numId w:val="14"/>
        </w:numPr>
        <w:spacing w:after="160"/>
        <w:ind w:right="630"/>
        <w:rPr>
          <w:sz w:val="24"/>
          <w:szCs w:val="24"/>
        </w:rPr>
      </w:pPr>
      <w:r w:rsidRPr="00905031">
        <w:rPr>
          <w:sz w:val="24"/>
          <w:szCs w:val="24"/>
        </w:rPr>
        <w:t>In addition, HB 5019 appropriates $6.25M for two-year grants for organizations operating host home projects so they can establish, continue or expand those projects.</w:t>
      </w:r>
    </w:p>
    <w:p w14:paraId="640B8623" w14:textId="77777777" w:rsidR="00905031" w:rsidRPr="00905031" w:rsidRDefault="00905031" w:rsidP="00C4184F">
      <w:pPr>
        <w:numPr>
          <w:ilvl w:val="1"/>
          <w:numId w:val="14"/>
        </w:numPr>
        <w:spacing w:after="160"/>
        <w:ind w:right="630"/>
        <w:rPr>
          <w:sz w:val="24"/>
          <w:szCs w:val="24"/>
        </w:rPr>
      </w:pPr>
      <w:r w:rsidRPr="00905031">
        <w:rPr>
          <w:sz w:val="24"/>
          <w:szCs w:val="24"/>
        </w:rPr>
        <w:t>Nearly $1.2M was allocated for the administration of programs and services for youth experiencing homelessness.</w:t>
      </w:r>
    </w:p>
    <w:p w14:paraId="2925CBE1" w14:textId="77777777" w:rsidR="00905031" w:rsidRPr="00905031" w:rsidRDefault="00905031" w:rsidP="00C4184F">
      <w:pPr>
        <w:numPr>
          <w:ilvl w:val="1"/>
          <w:numId w:val="14"/>
        </w:numPr>
        <w:spacing w:after="160"/>
        <w:ind w:right="630"/>
        <w:rPr>
          <w:sz w:val="24"/>
          <w:szCs w:val="24"/>
        </w:rPr>
      </w:pPr>
      <w:r w:rsidRPr="00905031">
        <w:rPr>
          <w:sz w:val="24"/>
          <w:szCs w:val="24"/>
        </w:rPr>
        <w:t>The bill also supports strengthening our partnerships with host home programs and other transitional housing options.</w:t>
      </w:r>
    </w:p>
    <w:p w14:paraId="2A0B3515" w14:textId="77777777" w:rsidR="00905031" w:rsidRPr="00905031" w:rsidRDefault="00905031" w:rsidP="00C4184F">
      <w:pPr>
        <w:spacing w:after="160"/>
        <w:ind w:left="720" w:right="630"/>
        <w:rPr>
          <w:sz w:val="24"/>
          <w:szCs w:val="24"/>
        </w:rPr>
      </w:pPr>
      <w:r w:rsidRPr="00905031">
        <w:rPr>
          <w:b/>
          <w:bCs/>
          <w:sz w:val="24"/>
          <w:szCs w:val="24"/>
        </w:rPr>
        <w:t>House Bill 3395</w:t>
      </w:r>
      <w:r w:rsidRPr="00905031">
        <w:rPr>
          <w:sz w:val="24"/>
          <w:szCs w:val="24"/>
        </w:rPr>
        <w:t> requires ODHS to provide financial support to nonprofit organizations that offer affordable housing support to college students with low income across Oregon.</w:t>
      </w:r>
    </w:p>
    <w:p w14:paraId="0B001EE7" w14:textId="77777777" w:rsidR="00905031" w:rsidRPr="00905031" w:rsidRDefault="00905031" w:rsidP="00905031">
      <w:pPr>
        <w:numPr>
          <w:ilvl w:val="1"/>
          <w:numId w:val="6"/>
        </w:numPr>
        <w:spacing w:after="160"/>
        <w:ind w:right="630"/>
        <w:rPr>
          <w:sz w:val="24"/>
          <w:szCs w:val="24"/>
        </w:rPr>
      </w:pPr>
      <w:r w:rsidRPr="00905031">
        <w:rPr>
          <w:sz w:val="24"/>
          <w:szCs w:val="24"/>
        </w:rPr>
        <w:t>Self-Sufficiency will likely coordinate with our partners at the Higher Education Coordinating Committee and Oregon Housing and Community Services to work through what this looks like.</w:t>
      </w:r>
    </w:p>
    <w:p w14:paraId="1EAE4735" w14:textId="77777777" w:rsidR="00905031" w:rsidRPr="00905031" w:rsidRDefault="00905031" w:rsidP="001F46D2">
      <w:pPr>
        <w:pStyle w:val="Heading1"/>
      </w:pPr>
      <w:r w:rsidRPr="00905031">
        <w:t>Support for families: Child Tax Credit</w:t>
      </w:r>
    </w:p>
    <w:p w14:paraId="1EEE7414" w14:textId="2ECEB484" w:rsidR="00905031" w:rsidRPr="00905031" w:rsidRDefault="001F46D2" w:rsidP="001F46D2">
      <w:pPr>
        <w:spacing w:after="160"/>
        <w:ind w:left="720" w:right="630"/>
        <w:rPr>
          <w:sz w:val="24"/>
          <w:szCs w:val="24"/>
        </w:rPr>
      </w:pPr>
      <w:r>
        <w:rPr>
          <w:b/>
          <w:bCs/>
          <w:sz w:val="24"/>
          <w:szCs w:val="24"/>
        </w:rPr>
        <w:t>H</w:t>
      </w:r>
      <w:r w:rsidR="00905031" w:rsidRPr="00905031">
        <w:rPr>
          <w:b/>
          <w:bCs/>
          <w:sz w:val="24"/>
          <w:szCs w:val="24"/>
        </w:rPr>
        <w:t>ouse Bill 3235</w:t>
      </w:r>
      <w:r w:rsidR="00905031" w:rsidRPr="00905031">
        <w:rPr>
          <w:sz w:val="24"/>
          <w:szCs w:val="24"/>
        </w:rPr>
        <w:t> creates refundable income tax for families with qualifying children under age six up to $1,200 per child.</w:t>
      </w:r>
    </w:p>
    <w:p w14:paraId="3CE7E31B" w14:textId="77777777" w:rsidR="00905031" w:rsidRPr="00905031" w:rsidRDefault="00905031" w:rsidP="001F46D2">
      <w:pPr>
        <w:numPr>
          <w:ilvl w:val="1"/>
          <w:numId w:val="15"/>
        </w:numPr>
        <w:spacing w:after="160"/>
        <w:ind w:right="630"/>
        <w:rPr>
          <w:sz w:val="24"/>
          <w:szCs w:val="24"/>
        </w:rPr>
      </w:pPr>
      <w:r w:rsidRPr="00905031">
        <w:rPr>
          <w:sz w:val="24"/>
          <w:szCs w:val="24"/>
        </w:rPr>
        <w:t>The income limit for the credit is $50,000 for people filing jointly and $30,000 for those not filing jointly.</w:t>
      </w:r>
    </w:p>
    <w:p w14:paraId="2700535C" w14:textId="77777777" w:rsidR="00905031" w:rsidRPr="00905031" w:rsidRDefault="00905031" w:rsidP="001F46D2">
      <w:pPr>
        <w:numPr>
          <w:ilvl w:val="1"/>
          <w:numId w:val="15"/>
        </w:numPr>
        <w:spacing w:after="160"/>
        <w:ind w:right="630"/>
        <w:rPr>
          <w:sz w:val="24"/>
          <w:szCs w:val="24"/>
        </w:rPr>
      </w:pPr>
      <w:r w:rsidRPr="00905031">
        <w:rPr>
          <w:sz w:val="24"/>
          <w:szCs w:val="24"/>
        </w:rPr>
        <w:t>ODHS is required to apply for a waiver to exclude the credit from income considerations for program eligibility (SNAP, TANF, etc.).</w:t>
      </w:r>
    </w:p>
    <w:p w14:paraId="734F20B0" w14:textId="77777777" w:rsidR="001F46D2" w:rsidRDefault="001F46D2">
      <w:pPr>
        <w:rPr>
          <w:b/>
          <w:bCs/>
          <w:color w:val="002F5E"/>
          <w:sz w:val="48"/>
          <w:szCs w:val="48"/>
        </w:rPr>
      </w:pPr>
      <w:r>
        <w:br w:type="page"/>
      </w:r>
    </w:p>
    <w:p w14:paraId="528AAE03" w14:textId="1C6895FF" w:rsidR="00905031" w:rsidRPr="00905031" w:rsidRDefault="00905031" w:rsidP="001F46D2">
      <w:pPr>
        <w:pStyle w:val="Heading1"/>
      </w:pPr>
      <w:r w:rsidRPr="00905031">
        <w:lastRenderedPageBreak/>
        <w:t>Welcoming new arrivals to Oregon: Refugee and humanitarian mission funding</w:t>
      </w:r>
    </w:p>
    <w:p w14:paraId="2D428EC5" w14:textId="77777777" w:rsidR="00905031" w:rsidRPr="00905031" w:rsidRDefault="00905031" w:rsidP="001F46D2">
      <w:pPr>
        <w:spacing w:after="160"/>
        <w:ind w:left="810"/>
        <w:rPr>
          <w:sz w:val="24"/>
          <w:szCs w:val="24"/>
        </w:rPr>
      </w:pPr>
      <w:r w:rsidRPr="00905031">
        <w:rPr>
          <w:b/>
          <w:bCs/>
          <w:sz w:val="24"/>
          <w:szCs w:val="24"/>
        </w:rPr>
        <w:t>House Bill 5506</w:t>
      </w:r>
      <w:r w:rsidRPr="00905031">
        <w:rPr>
          <w:sz w:val="24"/>
          <w:szCs w:val="24"/>
        </w:rPr>
        <w:t>, the end of session omnibus bill, allocated $20.9M for food, shelter, legal services and other wraparound supports for people pursuing a case with the U.S. Citizenship Immigration Services. The bill also includes $2.5M carried over from previously underspent funds to assist Afghan refugees.</w:t>
      </w:r>
    </w:p>
    <w:p w14:paraId="6D6BE1B2" w14:textId="77777777" w:rsidR="00905031" w:rsidRPr="00905031" w:rsidRDefault="00905031" w:rsidP="001F46D2">
      <w:pPr>
        <w:numPr>
          <w:ilvl w:val="1"/>
          <w:numId w:val="16"/>
        </w:numPr>
        <w:spacing w:after="160"/>
        <w:ind w:right="630"/>
        <w:rPr>
          <w:sz w:val="24"/>
          <w:szCs w:val="24"/>
        </w:rPr>
      </w:pPr>
      <w:r w:rsidRPr="00905031">
        <w:rPr>
          <w:sz w:val="24"/>
          <w:szCs w:val="24"/>
        </w:rPr>
        <w:t>ODHS will need an interagency agreement with Multnomah County to coordinate humanitarian response services and a data collection model to show an accurate number of the asylum seekers and other migrants arriving in Oregon.</w:t>
      </w:r>
    </w:p>
    <w:p w14:paraId="5EBE6A77" w14:textId="77777777" w:rsidR="00905031" w:rsidRPr="00905031" w:rsidRDefault="00905031" w:rsidP="001F46D2">
      <w:pPr>
        <w:pStyle w:val="Heading1"/>
      </w:pPr>
      <w:r w:rsidRPr="00905031">
        <w:t>Healthy food for Oregon families: Double Up Food Bucks</w:t>
      </w:r>
    </w:p>
    <w:p w14:paraId="4A073A5C" w14:textId="77777777" w:rsidR="00905031" w:rsidRPr="00905031" w:rsidRDefault="00905031" w:rsidP="001F46D2">
      <w:pPr>
        <w:spacing w:after="160"/>
        <w:ind w:left="720" w:right="630"/>
        <w:rPr>
          <w:sz w:val="24"/>
          <w:szCs w:val="24"/>
        </w:rPr>
      </w:pPr>
      <w:r w:rsidRPr="00905031">
        <w:rPr>
          <w:b/>
          <w:bCs/>
          <w:sz w:val="24"/>
          <w:szCs w:val="24"/>
        </w:rPr>
        <w:t>House Bill 2728</w:t>
      </w:r>
      <w:r w:rsidRPr="00905031">
        <w:rPr>
          <w:sz w:val="24"/>
          <w:szCs w:val="24"/>
        </w:rPr>
        <w:t> expands work with the Farmer’s Market Fund to continue the Double Up Food Bucks (DUFB) program. DUFB helps SNAP recipients buy more locally grown fruits and veggies from participating farmers markets, farm share sites and retail food outlets.</w:t>
      </w:r>
    </w:p>
    <w:p w14:paraId="1256C12D" w14:textId="77777777" w:rsidR="00905031" w:rsidRPr="001F46D2" w:rsidRDefault="00905031" w:rsidP="001F46D2">
      <w:pPr>
        <w:pStyle w:val="ListParagraph"/>
        <w:numPr>
          <w:ilvl w:val="1"/>
          <w:numId w:val="16"/>
        </w:numPr>
        <w:spacing w:after="160"/>
        <w:ind w:right="630"/>
        <w:rPr>
          <w:sz w:val="24"/>
          <w:szCs w:val="24"/>
        </w:rPr>
      </w:pPr>
      <w:r w:rsidRPr="001F46D2">
        <w:rPr>
          <w:sz w:val="24"/>
          <w:szCs w:val="24"/>
        </w:rPr>
        <w:t>HB 2728 appropriates $8M from General Fund to distribute to nonprofits for administration of this program.</w:t>
      </w:r>
    </w:p>
    <w:p w14:paraId="0FD5F8C7" w14:textId="03D1CE95" w:rsidR="001F46D2" w:rsidRDefault="00BE075E" w:rsidP="001F46D2">
      <w:pPr>
        <w:pStyle w:val="Heading1"/>
      </w:pPr>
      <w:r>
        <w:t>Other important work</w:t>
      </w:r>
    </w:p>
    <w:p w14:paraId="253DA873" w14:textId="112692AF" w:rsidR="00905031" w:rsidRPr="00905031" w:rsidRDefault="00905031" w:rsidP="00BE075E">
      <w:pPr>
        <w:spacing w:after="160"/>
        <w:ind w:left="720" w:right="630"/>
        <w:rPr>
          <w:sz w:val="24"/>
          <w:szCs w:val="24"/>
        </w:rPr>
      </w:pPr>
      <w:r w:rsidRPr="00905031">
        <w:rPr>
          <w:sz w:val="24"/>
          <w:szCs w:val="24"/>
        </w:rPr>
        <w:t>Additionally, when the legislature passed Self-Sufficiency’s budget this session, they ensured the continuation of two critical efforts:</w:t>
      </w:r>
    </w:p>
    <w:p w14:paraId="49741A18" w14:textId="4BAAD17A" w:rsidR="00905031" w:rsidRPr="00BE075E" w:rsidRDefault="00905031" w:rsidP="00BE075E">
      <w:pPr>
        <w:pStyle w:val="ListParagraph"/>
        <w:numPr>
          <w:ilvl w:val="1"/>
          <w:numId w:val="16"/>
        </w:numPr>
        <w:spacing w:after="160"/>
        <w:ind w:right="630"/>
        <w:rPr>
          <w:sz w:val="24"/>
          <w:szCs w:val="24"/>
        </w:rPr>
      </w:pPr>
      <w:r w:rsidRPr="00BE075E">
        <w:rPr>
          <w:b/>
          <w:bCs/>
          <w:sz w:val="24"/>
          <w:szCs w:val="24"/>
        </w:rPr>
        <w:t>Survivor Investment Partnership</w:t>
      </w:r>
      <w:r w:rsidRPr="00BE075E">
        <w:rPr>
          <w:sz w:val="24"/>
          <w:szCs w:val="24"/>
        </w:rPr>
        <w:t> – joining together the Nine Tribes of Oregon, culturally specific domestic violence and sexual assault organizations, and co-located advocacy agencies to increase access to services and financial support for survivors of domestic violence and sexual assault for Tribal, Black, Indigenous, People of Color, and communities that have been disproportionately affected.</w:t>
      </w:r>
    </w:p>
    <w:p w14:paraId="0619EE27" w14:textId="2861CE2F" w:rsidR="00905031" w:rsidRPr="00BE075E" w:rsidRDefault="00905031" w:rsidP="00BE075E">
      <w:pPr>
        <w:pStyle w:val="ListParagraph"/>
        <w:numPr>
          <w:ilvl w:val="1"/>
          <w:numId w:val="16"/>
        </w:numPr>
        <w:spacing w:after="160"/>
        <w:ind w:right="630"/>
        <w:rPr>
          <w:sz w:val="24"/>
          <w:szCs w:val="24"/>
        </w:rPr>
      </w:pPr>
      <w:r w:rsidRPr="00BE075E">
        <w:rPr>
          <w:b/>
          <w:bCs/>
          <w:sz w:val="24"/>
          <w:szCs w:val="24"/>
        </w:rPr>
        <w:t>Tax Filing Infrastructure program</w:t>
      </w:r>
      <w:r w:rsidRPr="00BE075E">
        <w:rPr>
          <w:sz w:val="24"/>
          <w:szCs w:val="24"/>
        </w:rPr>
        <w:t> – working to get money from refunds and tax credits back into the pockets of individuals and families in Oregon. This is made possible by funding culturally specific and culturally responsive organizations and Tribal governments who can provide direct tax filing education and assistance.</w:t>
      </w:r>
    </w:p>
    <w:sectPr w:rsidR="00905031" w:rsidRPr="00BE075E" w:rsidSect="00142F81">
      <w:headerReference w:type="default" r:id="rId11"/>
      <w:footerReference w:type="default" r:id="rId12"/>
      <w:headerReference w:type="first" r:id="rId13"/>
      <w:footerReference w:type="first" r:id="rId14"/>
      <w:type w:val="continuous"/>
      <w:pgSz w:w="12240" w:h="15840"/>
      <w:pgMar w:top="0" w:right="720" w:bottom="280" w:left="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DA1E1" w14:textId="77777777" w:rsidR="000A1DE9" w:rsidRDefault="000A1DE9" w:rsidP="007C3B49">
      <w:r>
        <w:separator/>
      </w:r>
    </w:p>
  </w:endnote>
  <w:endnote w:type="continuationSeparator" w:id="0">
    <w:p w14:paraId="59122A12" w14:textId="77777777" w:rsidR="000A1DE9" w:rsidRDefault="000A1DE9" w:rsidP="007C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DD5C" w14:textId="77777777" w:rsidR="00905031" w:rsidRDefault="00905031" w:rsidP="00905031">
    <w:pPr>
      <w:pStyle w:val="BodyText"/>
      <w:spacing w:before="4"/>
      <w:rPr>
        <w:sz w:val="23"/>
      </w:rPr>
    </w:pPr>
    <w:r>
      <w:rPr>
        <w:noProof/>
      </w:rPr>
      <mc:AlternateContent>
        <mc:Choice Requires="wps">
          <w:drawing>
            <wp:anchor distT="0" distB="0" distL="0" distR="0" simplePos="0" relativeHeight="251660288" behindDoc="1" locked="0" layoutInCell="1" allowOverlap="1" wp14:anchorId="76612D44" wp14:editId="09126F3C">
              <wp:simplePos x="0" y="0"/>
              <wp:positionH relativeFrom="page">
                <wp:posOffset>457200</wp:posOffset>
              </wp:positionH>
              <wp:positionV relativeFrom="paragraph">
                <wp:posOffset>208280</wp:posOffset>
              </wp:positionV>
              <wp:extent cx="68580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2F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22E79" id="Freeform 2" o:spid="_x0000_s1026" style="position:absolute;margin-left:36pt;margin-top:16.4pt;width:54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" path="m,l10800,e" filled="f" strokecolor="#002f5e" strokeweight="2pt">
              <v:path arrowok="t" o:connecttype="custom" o:connectlocs="0,0;6858000,0" o:connectangles="0,0"/>
              <w10:wrap type="topAndBottom" anchorx="page"/>
            </v:shape>
          </w:pict>
        </mc:Fallback>
      </mc:AlternateContent>
    </w:r>
  </w:p>
  <w:p w14:paraId="2D6CD9E8" w14:textId="1B0BFA89" w:rsidR="00905031" w:rsidRDefault="00142F81" w:rsidP="00905031">
    <w:pPr>
      <w:spacing w:before="137"/>
      <w:ind w:left="720"/>
      <w:rPr>
        <w:b/>
        <w:sz w:val="21"/>
      </w:rPr>
    </w:pPr>
    <w:r>
      <w:rPr>
        <w:b/>
        <w:color w:val="231F20"/>
        <w:sz w:val="21"/>
      </w:rPr>
      <w:t>End of session review</w:t>
    </w:r>
  </w:p>
  <w:p w14:paraId="43F057B2" w14:textId="77777777" w:rsidR="00905031" w:rsidRDefault="00905031" w:rsidP="00905031">
    <w:pPr>
      <w:spacing w:before="10"/>
      <w:ind w:left="720"/>
      <w:rPr>
        <w:sz w:val="21"/>
      </w:rPr>
    </w:pPr>
    <w:r>
      <w:rPr>
        <w:noProof/>
      </w:rPr>
      <w:drawing>
        <wp:anchor distT="0" distB="0" distL="0" distR="0" simplePos="0" relativeHeight="251659264" behindDoc="0" locked="0" layoutInCell="1" allowOverlap="1" wp14:anchorId="23420912" wp14:editId="3762BAD3">
          <wp:simplePos x="0" y="0"/>
          <wp:positionH relativeFrom="page">
            <wp:posOffset>5101591</wp:posOffset>
          </wp:positionH>
          <wp:positionV relativeFrom="paragraph">
            <wp:posOffset>-125671</wp:posOffset>
          </wp:positionV>
          <wp:extent cx="2213611" cy="631026"/>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13611" cy="631026"/>
                  </a:xfrm>
                  <a:prstGeom prst="rect">
                    <a:avLst/>
                  </a:prstGeom>
                </pic:spPr>
              </pic:pic>
            </a:graphicData>
          </a:graphic>
        </wp:anchor>
      </w:drawing>
    </w:r>
    <w:r>
      <w:rPr>
        <w:color w:val="231F20"/>
        <w:sz w:val="21"/>
      </w:rPr>
      <w:t>Self-Sufficiency Programs</w:t>
    </w:r>
  </w:p>
  <w:p w14:paraId="60B40087" w14:textId="77777777" w:rsidR="00905031" w:rsidRDefault="00905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8EED" w14:textId="77777777" w:rsidR="00142F81" w:rsidRDefault="00142F81" w:rsidP="00142F81">
    <w:pPr>
      <w:pStyle w:val="BodyText"/>
      <w:spacing w:before="4"/>
      <w:rPr>
        <w:sz w:val="23"/>
      </w:rPr>
    </w:pPr>
    <w:r>
      <w:rPr>
        <w:noProof/>
      </w:rPr>
      <mc:AlternateContent>
        <mc:Choice Requires="wps">
          <w:drawing>
            <wp:anchor distT="0" distB="0" distL="0" distR="0" simplePos="0" relativeHeight="251665408" behindDoc="1" locked="0" layoutInCell="1" allowOverlap="1" wp14:anchorId="550FF0B0" wp14:editId="5F917311">
              <wp:simplePos x="0" y="0"/>
              <wp:positionH relativeFrom="page">
                <wp:posOffset>457200</wp:posOffset>
              </wp:positionH>
              <wp:positionV relativeFrom="paragraph">
                <wp:posOffset>208280</wp:posOffset>
              </wp:positionV>
              <wp:extent cx="6858000" cy="1270"/>
              <wp:effectExtent l="0" t="0" r="0" b="0"/>
              <wp:wrapTopAndBottom/>
              <wp:docPr id="1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2F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484F3" id="Freeform 2" o:spid="_x0000_s1026" style="position:absolute;margin-left:36pt;margin-top:16.4pt;width:54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" path="m,l10800,e" filled="f" strokecolor="#002f5e" strokeweight="2pt">
              <v:path arrowok="t" o:connecttype="custom" o:connectlocs="0,0;6858000,0" o:connectangles="0,0"/>
              <w10:wrap type="topAndBottom" anchorx="page"/>
            </v:shape>
          </w:pict>
        </mc:Fallback>
      </mc:AlternateContent>
    </w:r>
  </w:p>
  <w:p w14:paraId="0AFDEE8C" w14:textId="77777777" w:rsidR="00142F81" w:rsidRDefault="00142F81" w:rsidP="00142F81">
    <w:pPr>
      <w:spacing w:before="137"/>
      <w:ind w:left="720"/>
      <w:rPr>
        <w:b/>
        <w:sz w:val="21"/>
      </w:rPr>
    </w:pPr>
    <w:r>
      <w:rPr>
        <w:b/>
        <w:color w:val="231F20"/>
        <w:sz w:val="21"/>
      </w:rPr>
      <w:t>End of session review</w:t>
    </w:r>
  </w:p>
  <w:p w14:paraId="4AB5192C" w14:textId="77777777" w:rsidR="00142F81" w:rsidRDefault="00142F81" w:rsidP="00142F81">
    <w:pPr>
      <w:spacing w:before="10"/>
      <w:ind w:left="720"/>
      <w:rPr>
        <w:sz w:val="21"/>
      </w:rPr>
    </w:pPr>
    <w:r>
      <w:rPr>
        <w:noProof/>
      </w:rPr>
      <w:drawing>
        <wp:anchor distT="0" distB="0" distL="0" distR="0" simplePos="0" relativeHeight="251664384" behindDoc="0" locked="0" layoutInCell="1" allowOverlap="1" wp14:anchorId="69F838ED" wp14:editId="72ACCF8F">
          <wp:simplePos x="0" y="0"/>
          <wp:positionH relativeFrom="page">
            <wp:posOffset>5101591</wp:posOffset>
          </wp:positionH>
          <wp:positionV relativeFrom="paragraph">
            <wp:posOffset>-125671</wp:posOffset>
          </wp:positionV>
          <wp:extent cx="2213611" cy="631026"/>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13611" cy="631026"/>
                  </a:xfrm>
                  <a:prstGeom prst="rect">
                    <a:avLst/>
                  </a:prstGeom>
                </pic:spPr>
              </pic:pic>
            </a:graphicData>
          </a:graphic>
        </wp:anchor>
      </w:drawing>
    </w:r>
    <w:r>
      <w:rPr>
        <w:color w:val="231F20"/>
        <w:sz w:val="21"/>
      </w:rPr>
      <w:t>Self-Sufficiency Programs</w:t>
    </w:r>
  </w:p>
  <w:p w14:paraId="20937C30" w14:textId="77777777" w:rsidR="00142F81" w:rsidRDefault="00142F81" w:rsidP="00142F81">
    <w:pPr>
      <w:pStyle w:val="Footer"/>
    </w:pPr>
  </w:p>
  <w:p w14:paraId="15F60D10" w14:textId="77777777" w:rsidR="00142F81" w:rsidRDefault="00142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5E8B7" w14:textId="77777777" w:rsidR="000A1DE9" w:rsidRDefault="000A1DE9" w:rsidP="007C3B49">
      <w:r>
        <w:separator/>
      </w:r>
    </w:p>
  </w:footnote>
  <w:footnote w:type="continuationSeparator" w:id="0">
    <w:p w14:paraId="7FC8A825" w14:textId="77777777" w:rsidR="000A1DE9" w:rsidRDefault="000A1DE9" w:rsidP="007C3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777A" w14:textId="5B04D142" w:rsidR="00142F81" w:rsidRDefault="00142F81">
    <w:pPr>
      <w:pStyle w:val="Header"/>
    </w:pPr>
  </w:p>
  <w:p w14:paraId="0223648B" w14:textId="400D390C" w:rsidR="00142F81" w:rsidRDefault="00142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CB92" w14:textId="59AD9172" w:rsidR="00142F81" w:rsidRDefault="00142F81">
    <w:pPr>
      <w:pStyle w:val="Header"/>
    </w:pPr>
    <w:r>
      <w:rPr>
        <w:noProof/>
      </w:rPr>
      <mc:AlternateContent>
        <mc:Choice Requires="wpg">
          <w:drawing>
            <wp:anchor distT="0" distB="0" distL="114300" distR="114300" simplePos="0" relativeHeight="251662336" behindDoc="0" locked="0" layoutInCell="1" allowOverlap="1" wp14:anchorId="72B1B739" wp14:editId="769465BA">
              <wp:simplePos x="0" y="0"/>
              <wp:positionH relativeFrom="margin">
                <wp:posOffset>0</wp:posOffset>
              </wp:positionH>
              <wp:positionV relativeFrom="margin">
                <wp:posOffset>-617855</wp:posOffset>
              </wp:positionV>
              <wp:extent cx="7772400" cy="14908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490870"/>
                        <a:chOff x="0" y="0"/>
                        <a:chExt cx="12240" cy="2640"/>
                      </a:xfrm>
                    </wpg:grpSpPr>
                    <wps:wsp>
                      <wps:cNvPr id="5" name="Rectangle 6"/>
                      <wps:cNvSpPr>
                        <a:spLocks noChangeArrowheads="1"/>
                      </wps:cNvSpPr>
                      <wps:spPr bwMode="auto">
                        <a:xfrm>
                          <a:off x="0" y="0"/>
                          <a:ext cx="12240" cy="2640"/>
                        </a:xfrm>
                        <a:prstGeom prst="rect">
                          <a:avLst/>
                        </a:prstGeom>
                        <a:solidFill>
                          <a:srgbClr val="002F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Text Box 5"/>
                      <wps:cNvSpPr txBox="1">
                        <a:spLocks noChangeArrowheads="1"/>
                      </wps:cNvSpPr>
                      <wps:spPr bwMode="auto">
                        <a:xfrm>
                          <a:off x="0" y="0"/>
                          <a:ext cx="12240" cy="2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C3AF1" w14:textId="74F11FF5" w:rsidR="00142F81" w:rsidRPr="00043B73" w:rsidRDefault="00142F81" w:rsidP="00142F81">
                            <w:pPr>
                              <w:spacing w:before="720"/>
                              <w:ind w:left="720"/>
                              <w:rPr>
                                <w:sz w:val="72"/>
                                <w:szCs w:val="20"/>
                              </w:rPr>
                            </w:pPr>
                            <w:r>
                              <w:rPr>
                                <w:color w:val="FFFFFF"/>
                                <w:sz w:val="72"/>
                                <w:szCs w:val="20"/>
                              </w:rPr>
                              <w:t>End of session review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B1B739" id="Group 4" o:spid="_x0000_s1026" style="position:absolute;margin-left:0;margin-top:-48.65pt;width:612pt;height:117.4pt;z-index:251662336;mso-position-horizontal-relative:margin;mso-position-vertical-relative:margin" coordsize="12240,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">
              <v:rect id="Rectangle 6" o:spid="_x0000_s1027" style="position:absolute;width:12240;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" fillcolor="#002f5e" stroked="f"/>
              <v:shapetype id="_x0000_t202" coordsize="21600,21600" o:spt="202" path="m,l,21600r21600,l21600,xe">
                <v:stroke joinstyle="miter"/>
                <v:path gradientshapeok="t" o:connecttype="rect"/>
              </v:shapetype>
              <v:shape id="Text Box 5" o:spid="_x0000_s1028" type="#_x0000_t202" style="position:absolute;width:12240;height:2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61C3AF1" w14:textId="74F11FF5" w:rsidR="00142F81" w:rsidRPr="00043B73" w:rsidRDefault="00142F81" w:rsidP="00142F81">
                      <w:pPr>
                        <w:spacing w:before="720"/>
                        <w:ind w:left="720"/>
                        <w:rPr>
                          <w:sz w:val="72"/>
                          <w:szCs w:val="20"/>
                        </w:rPr>
                      </w:pPr>
                      <w:r>
                        <w:rPr>
                          <w:color w:val="FFFFFF"/>
                          <w:sz w:val="72"/>
                          <w:szCs w:val="20"/>
                        </w:rPr>
                        <w:t>End of session review</w:t>
                      </w:r>
                    </w:p>
                  </w:txbxContent>
                </v:textbox>
              </v:shape>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137E"/>
    <w:multiLevelType w:val="hybridMultilevel"/>
    <w:tmpl w:val="9E56F502"/>
    <w:lvl w:ilvl="0" w:tplc="F77E5B3C">
      <w:numFmt w:val="bullet"/>
      <w:lvlText w:val="•"/>
      <w:lvlJc w:val="left"/>
      <w:pPr>
        <w:ind w:left="1440" w:hanging="72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0617C7"/>
    <w:multiLevelType w:val="multilevel"/>
    <w:tmpl w:val="AEBE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33110F"/>
    <w:multiLevelType w:val="multilevel"/>
    <w:tmpl w:val="42285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E063F6"/>
    <w:multiLevelType w:val="multilevel"/>
    <w:tmpl w:val="4C8C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112AA6"/>
    <w:multiLevelType w:val="multilevel"/>
    <w:tmpl w:val="C604F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8D2957"/>
    <w:multiLevelType w:val="multilevel"/>
    <w:tmpl w:val="64FA3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69769A"/>
    <w:multiLevelType w:val="hybridMultilevel"/>
    <w:tmpl w:val="A2B44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21B27D2"/>
    <w:multiLevelType w:val="multilevel"/>
    <w:tmpl w:val="B2505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F67D8D"/>
    <w:multiLevelType w:val="multilevel"/>
    <w:tmpl w:val="C73A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BE485E"/>
    <w:multiLevelType w:val="multilevel"/>
    <w:tmpl w:val="15023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D00ACB"/>
    <w:multiLevelType w:val="multilevel"/>
    <w:tmpl w:val="918E7E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5CD06CF8"/>
    <w:multiLevelType w:val="multilevel"/>
    <w:tmpl w:val="66B0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C862E1"/>
    <w:multiLevelType w:val="multilevel"/>
    <w:tmpl w:val="39689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EE027A"/>
    <w:multiLevelType w:val="multilevel"/>
    <w:tmpl w:val="6118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553552"/>
    <w:multiLevelType w:val="multilevel"/>
    <w:tmpl w:val="70EC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98569B"/>
    <w:multiLevelType w:val="multilevel"/>
    <w:tmpl w:val="6F58E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10"/>
  </w:num>
  <w:num w:numId="4">
    <w:abstractNumId w:val="8"/>
  </w:num>
  <w:num w:numId="5">
    <w:abstractNumId w:val="3"/>
  </w:num>
  <w:num w:numId="6">
    <w:abstractNumId w:val="9"/>
  </w:num>
  <w:num w:numId="7">
    <w:abstractNumId w:val="14"/>
  </w:num>
  <w:num w:numId="8">
    <w:abstractNumId w:val="7"/>
  </w:num>
  <w:num w:numId="9">
    <w:abstractNumId w:val="1"/>
  </w:num>
  <w:num w:numId="10">
    <w:abstractNumId w:val="2"/>
  </w:num>
  <w:num w:numId="11">
    <w:abstractNumId w:val="11"/>
  </w:num>
  <w:num w:numId="12">
    <w:abstractNumId w:val="5"/>
  </w:num>
  <w:num w:numId="13">
    <w:abstractNumId w:val="13"/>
  </w:num>
  <w:num w:numId="14">
    <w:abstractNumId w:val="15"/>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wsDA3NLE0NzKzNDNQ0lEKTi0uzszPAykwrgUAxl/LLCwAAAA="/>
  </w:docVars>
  <w:rsids>
    <w:rsidRoot w:val="002179C2"/>
    <w:rsid w:val="00043B73"/>
    <w:rsid w:val="00080C92"/>
    <w:rsid w:val="00086185"/>
    <w:rsid w:val="000A1DE9"/>
    <w:rsid w:val="00142F81"/>
    <w:rsid w:val="0018289B"/>
    <w:rsid w:val="001F46D2"/>
    <w:rsid w:val="002179C2"/>
    <w:rsid w:val="002A4775"/>
    <w:rsid w:val="002C286A"/>
    <w:rsid w:val="00401181"/>
    <w:rsid w:val="0040496A"/>
    <w:rsid w:val="00492BE0"/>
    <w:rsid w:val="004E19D3"/>
    <w:rsid w:val="00576552"/>
    <w:rsid w:val="005E686E"/>
    <w:rsid w:val="00640C48"/>
    <w:rsid w:val="0068539F"/>
    <w:rsid w:val="006B0944"/>
    <w:rsid w:val="006B6FA2"/>
    <w:rsid w:val="007263B4"/>
    <w:rsid w:val="00782E0E"/>
    <w:rsid w:val="007A3AD7"/>
    <w:rsid w:val="007A55EC"/>
    <w:rsid w:val="007C3B49"/>
    <w:rsid w:val="008D1E0F"/>
    <w:rsid w:val="00905031"/>
    <w:rsid w:val="00924535"/>
    <w:rsid w:val="00931F39"/>
    <w:rsid w:val="009E0FF3"/>
    <w:rsid w:val="00B07C9C"/>
    <w:rsid w:val="00B12B61"/>
    <w:rsid w:val="00B832F7"/>
    <w:rsid w:val="00BC2B24"/>
    <w:rsid w:val="00BE075E"/>
    <w:rsid w:val="00C4184F"/>
    <w:rsid w:val="00C70CBD"/>
    <w:rsid w:val="00C7731D"/>
    <w:rsid w:val="00D35408"/>
    <w:rsid w:val="00DF2E17"/>
    <w:rsid w:val="00E176E3"/>
    <w:rsid w:val="00EC3FE0"/>
    <w:rsid w:val="00EF014D"/>
    <w:rsid w:val="00EF37B8"/>
    <w:rsid w:val="00F2321F"/>
    <w:rsid w:val="00F954E6"/>
    <w:rsid w:val="00FC5054"/>
    <w:rsid w:val="00FF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49769"/>
  <w15:docId w15:val="{34B222D8-0A48-41E3-886D-C66328AF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C4184F"/>
    <w:pPr>
      <w:spacing w:before="85"/>
      <w:ind w:left="720"/>
      <w:outlineLvl w:val="0"/>
    </w:pPr>
    <w:rPr>
      <w:b/>
      <w:bCs/>
      <w:color w:val="002F5E"/>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C3FE0"/>
    <w:rPr>
      <w:sz w:val="16"/>
      <w:szCs w:val="16"/>
    </w:rPr>
  </w:style>
  <w:style w:type="paragraph" w:styleId="CommentText">
    <w:name w:val="annotation text"/>
    <w:basedOn w:val="Normal"/>
    <w:link w:val="CommentTextChar"/>
    <w:uiPriority w:val="99"/>
    <w:semiHidden/>
    <w:unhideWhenUsed/>
    <w:rsid w:val="00EC3FE0"/>
    <w:rPr>
      <w:sz w:val="20"/>
      <w:szCs w:val="20"/>
    </w:rPr>
  </w:style>
  <w:style w:type="character" w:customStyle="1" w:styleId="CommentTextChar">
    <w:name w:val="Comment Text Char"/>
    <w:basedOn w:val="DefaultParagraphFont"/>
    <w:link w:val="CommentText"/>
    <w:uiPriority w:val="99"/>
    <w:semiHidden/>
    <w:rsid w:val="00EC3FE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C3FE0"/>
    <w:rPr>
      <w:b/>
      <w:bCs/>
    </w:rPr>
  </w:style>
  <w:style w:type="character" w:customStyle="1" w:styleId="CommentSubjectChar">
    <w:name w:val="Comment Subject Char"/>
    <w:basedOn w:val="CommentTextChar"/>
    <w:link w:val="CommentSubject"/>
    <w:uiPriority w:val="99"/>
    <w:semiHidden/>
    <w:rsid w:val="00EC3FE0"/>
    <w:rPr>
      <w:rFonts w:ascii="Arial" w:eastAsia="Arial" w:hAnsi="Arial" w:cs="Arial"/>
      <w:b/>
      <w:bCs/>
      <w:sz w:val="20"/>
      <w:szCs w:val="20"/>
    </w:rPr>
  </w:style>
  <w:style w:type="paragraph" w:styleId="BalloonText">
    <w:name w:val="Balloon Text"/>
    <w:basedOn w:val="Normal"/>
    <w:link w:val="BalloonTextChar"/>
    <w:uiPriority w:val="99"/>
    <w:semiHidden/>
    <w:unhideWhenUsed/>
    <w:rsid w:val="00EC3F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FE0"/>
    <w:rPr>
      <w:rFonts w:ascii="Segoe UI" w:eastAsia="Arial" w:hAnsi="Segoe UI" w:cs="Segoe UI"/>
      <w:sz w:val="18"/>
      <w:szCs w:val="18"/>
    </w:rPr>
  </w:style>
  <w:style w:type="paragraph" w:styleId="FootnoteText">
    <w:name w:val="footnote text"/>
    <w:basedOn w:val="Normal"/>
    <w:link w:val="FootnoteTextChar"/>
    <w:uiPriority w:val="99"/>
    <w:unhideWhenUsed/>
    <w:rsid w:val="007C3B49"/>
    <w:rPr>
      <w:sz w:val="20"/>
      <w:szCs w:val="20"/>
    </w:rPr>
  </w:style>
  <w:style w:type="character" w:customStyle="1" w:styleId="FootnoteTextChar">
    <w:name w:val="Footnote Text Char"/>
    <w:basedOn w:val="DefaultParagraphFont"/>
    <w:link w:val="FootnoteText"/>
    <w:uiPriority w:val="99"/>
    <w:rsid w:val="007C3B49"/>
    <w:rPr>
      <w:rFonts w:ascii="Arial" w:eastAsia="Arial" w:hAnsi="Arial" w:cs="Arial"/>
      <w:sz w:val="20"/>
      <w:szCs w:val="20"/>
    </w:rPr>
  </w:style>
  <w:style w:type="character" w:styleId="FootnoteReference">
    <w:name w:val="footnote reference"/>
    <w:basedOn w:val="DefaultParagraphFont"/>
    <w:uiPriority w:val="99"/>
    <w:semiHidden/>
    <w:unhideWhenUsed/>
    <w:rsid w:val="007C3B49"/>
    <w:rPr>
      <w:vertAlign w:val="superscript"/>
    </w:rPr>
  </w:style>
  <w:style w:type="paragraph" w:styleId="Header">
    <w:name w:val="header"/>
    <w:basedOn w:val="Normal"/>
    <w:link w:val="HeaderChar"/>
    <w:uiPriority w:val="99"/>
    <w:unhideWhenUsed/>
    <w:rsid w:val="00905031"/>
    <w:pPr>
      <w:tabs>
        <w:tab w:val="center" w:pos="4680"/>
        <w:tab w:val="right" w:pos="9360"/>
      </w:tabs>
    </w:pPr>
  </w:style>
  <w:style w:type="character" w:customStyle="1" w:styleId="HeaderChar">
    <w:name w:val="Header Char"/>
    <w:basedOn w:val="DefaultParagraphFont"/>
    <w:link w:val="Header"/>
    <w:uiPriority w:val="99"/>
    <w:rsid w:val="00905031"/>
    <w:rPr>
      <w:rFonts w:ascii="Arial" w:eastAsia="Arial" w:hAnsi="Arial" w:cs="Arial"/>
    </w:rPr>
  </w:style>
  <w:style w:type="paragraph" w:styleId="Footer">
    <w:name w:val="footer"/>
    <w:basedOn w:val="Normal"/>
    <w:link w:val="FooterChar"/>
    <w:uiPriority w:val="99"/>
    <w:unhideWhenUsed/>
    <w:rsid w:val="00905031"/>
    <w:pPr>
      <w:tabs>
        <w:tab w:val="center" w:pos="4680"/>
        <w:tab w:val="right" w:pos="9360"/>
      </w:tabs>
    </w:pPr>
  </w:style>
  <w:style w:type="character" w:customStyle="1" w:styleId="FooterChar">
    <w:name w:val="Footer Char"/>
    <w:basedOn w:val="DefaultParagraphFont"/>
    <w:link w:val="Footer"/>
    <w:uiPriority w:val="99"/>
    <w:rsid w:val="0090503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02062">
      <w:bodyDiv w:val="1"/>
      <w:marLeft w:val="0"/>
      <w:marRight w:val="0"/>
      <w:marTop w:val="0"/>
      <w:marBottom w:val="0"/>
      <w:divBdr>
        <w:top w:val="none" w:sz="0" w:space="0" w:color="auto"/>
        <w:left w:val="none" w:sz="0" w:space="0" w:color="auto"/>
        <w:bottom w:val="none" w:sz="0" w:space="0" w:color="auto"/>
        <w:right w:val="none" w:sz="0" w:space="0" w:color="auto"/>
      </w:divBdr>
      <w:divsChild>
        <w:div w:id="2055497526">
          <w:marLeft w:val="0"/>
          <w:marRight w:val="0"/>
          <w:marTop w:val="0"/>
          <w:marBottom w:val="0"/>
          <w:divBdr>
            <w:top w:val="none" w:sz="0" w:space="0" w:color="auto"/>
            <w:left w:val="none" w:sz="0" w:space="0" w:color="auto"/>
            <w:bottom w:val="none" w:sz="0" w:space="0" w:color="auto"/>
            <w:right w:val="none" w:sz="0" w:space="0" w:color="auto"/>
          </w:divBdr>
        </w:div>
        <w:div w:id="532108842">
          <w:marLeft w:val="0"/>
          <w:marRight w:val="0"/>
          <w:marTop w:val="0"/>
          <w:marBottom w:val="0"/>
          <w:divBdr>
            <w:top w:val="none" w:sz="0" w:space="0" w:color="auto"/>
            <w:left w:val="none" w:sz="0" w:space="0" w:color="auto"/>
            <w:bottom w:val="none" w:sz="0" w:space="0" w:color="auto"/>
            <w:right w:val="none" w:sz="0" w:space="0" w:color="auto"/>
          </w:divBdr>
        </w:div>
        <w:div w:id="717239155">
          <w:marLeft w:val="0"/>
          <w:marRight w:val="0"/>
          <w:marTop w:val="0"/>
          <w:marBottom w:val="0"/>
          <w:divBdr>
            <w:top w:val="none" w:sz="0" w:space="0" w:color="auto"/>
            <w:left w:val="none" w:sz="0" w:space="0" w:color="auto"/>
            <w:bottom w:val="none" w:sz="0" w:space="0" w:color="auto"/>
            <w:right w:val="none" w:sz="0" w:space="0" w:color="auto"/>
          </w:divBdr>
        </w:div>
        <w:div w:id="1406681430">
          <w:marLeft w:val="0"/>
          <w:marRight w:val="0"/>
          <w:marTop w:val="0"/>
          <w:marBottom w:val="0"/>
          <w:divBdr>
            <w:top w:val="none" w:sz="0" w:space="0" w:color="auto"/>
            <w:left w:val="none" w:sz="0" w:space="0" w:color="auto"/>
            <w:bottom w:val="none" w:sz="0" w:space="0" w:color="auto"/>
            <w:right w:val="none" w:sz="0" w:space="0" w:color="auto"/>
          </w:divBdr>
        </w:div>
        <w:div w:id="170609979">
          <w:marLeft w:val="0"/>
          <w:marRight w:val="0"/>
          <w:marTop w:val="0"/>
          <w:marBottom w:val="0"/>
          <w:divBdr>
            <w:top w:val="none" w:sz="0" w:space="0" w:color="auto"/>
            <w:left w:val="none" w:sz="0" w:space="0" w:color="auto"/>
            <w:bottom w:val="none" w:sz="0" w:space="0" w:color="auto"/>
            <w:right w:val="none" w:sz="0" w:space="0" w:color="auto"/>
          </w:divBdr>
        </w:div>
        <w:div w:id="1275869988">
          <w:marLeft w:val="0"/>
          <w:marRight w:val="0"/>
          <w:marTop w:val="0"/>
          <w:marBottom w:val="0"/>
          <w:divBdr>
            <w:top w:val="none" w:sz="0" w:space="0" w:color="auto"/>
            <w:left w:val="none" w:sz="0" w:space="0" w:color="auto"/>
            <w:bottom w:val="none" w:sz="0" w:space="0" w:color="auto"/>
            <w:right w:val="none" w:sz="0" w:space="0" w:color="auto"/>
          </w:divBdr>
        </w:div>
        <w:div w:id="1634284551">
          <w:marLeft w:val="0"/>
          <w:marRight w:val="0"/>
          <w:marTop w:val="0"/>
          <w:marBottom w:val="0"/>
          <w:divBdr>
            <w:top w:val="none" w:sz="0" w:space="0" w:color="auto"/>
            <w:left w:val="none" w:sz="0" w:space="0" w:color="auto"/>
            <w:bottom w:val="none" w:sz="0" w:space="0" w:color="auto"/>
            <w:right w:val="none" w:sz="0" w:space="0" w:color="auto"/>
          </w:divBdr>
        </w:div>
        <w:div w:id="2101828880">
          <w:marLeft w:val="0"/>
          <w:marRight w:val="0"/>
          <w:marTop w:val="0"/>
          <w:marBottom w:val="0"/>
          <w:divBdr>
            <w:top w:val="none" w:sz="0" w:space="0" w:color="auto"/>
            <w:left w:val="none" w:sz="0" w:space="0" w:color="auto"/>
            <w:bottom w:val="none" w:sz="0" w:space="0" w:color="auto"/>
            <w:right w:val="none" w:sz="0" w:space="0" w:color="auto"/>
          </w:divBdr>
        </w:div>
        <w:div w:id="1215190458">
          <w:marLeft w:val="0"/>
          <w:marRight w:val="0"/>
          <w:marTop w:val="0"/>
          <w:marBottom w:val="0"/>
          <w:divBdr>
            <w:top w:val="none" w:sz="0" w:space="0" w:color="auto"/>
            <w:left w:val="none" w:sz="0" w:space="0" w:color="auto"/>
            <w:bottom w:val="none" w:sz="0" w:space="0" w:color="auto"/>
            <w:right w:val="none" w:sz="0" w:space="0" w:color="auto"/>
          </w:divBdr>
        </w:div>
        <w:div w:id="1355039343">
          <w:marLeft w:val="0"/>
          <w:marRight w:val="0"/>
          <w:marTop w:val="0"/>
          <w:marBottom w:val="0"/>
          <w:divBdr>
            <w:top w:val="none" w:sz="0" w:space="0" w:color="auto"/>
            <w:left w:val="none" w:sz="0" w:space="0" w:color="auto"/>
            <w:bottom w:val="none" w:sz="0" w:space="0" w:color="auto"/>
            <w:right w:val="none" w:sz="0" w:space="0" w:color="auto"/>
          </w:divBdr>
        </w:div>
        <w:div w:id="1115979134">
          <w:marLeft w:val="0"/>
          <w:marRight w:val="0"/>
          <w:marTop w:val="0"/>
          <w:marBottom w:val="0"/>
          <w:divBdr>
            <w:top w:val="none" w:sz="0" w:space="0" w:color="auto"/>
            <w:left w:val="none" w:sz="0" w:space="0" w:color="auto"/>
            <w:bottom w:val="none" w:sz="0" w:space="0" w:color="auto"/>
            <w:right w:val="none" w:sz="0" w:space="0" w:color="auto"/>
          </w:divBdr>
        </w:div>
        <w:div w:id="2021590132">
          <w:marLeft w:val="0"/>
          <w:marRight w:val="0"/>
          <w:marTop w:val="0"/>
          <w:marBottom w:val="0"/>
          <w:divBdr>
            <w:top w:val="none" w:sz="0" w:space="0" w:color="auto"/>
            <w:left w:val="none" w:sz="0" w:space="0" w:color="auto"/>
            <w:bottom w:val="none" w:sz="0" w:space="0" w:color="auto"/>
            <w:right w:val="none" w:sz="0" w:space="0" w:color="auto"/>
          </w:divBdr>
        </w:div>
        <w:div w:id="17246685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1420d1-8af4-4f1b-aee3-5761dc5eea26">
      <Terms xmlns="http://schemas.microsoft.com/office/infopath/2007/PartnerControls"/>
    </lcf76f155ced4ddcb4097134ff3c332f>
    <TaxCatchAll xmlns="09e95d93-98bd-4792-810f-048548234c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E49E2CD3DE9740A3A46054646B0D1E" ma:contentTypeVersion="15" ma:contentTypeDescription="Create a new document." ma:contentTypeScope="" ma:versionID="6a93dc2f742c527a6f8460667e529d26">
  <xsd:schema xmlns:xsd="http://www.w3.org/2001/XMLSchema" xmlns:xs="http://www.w3.org/2001/XMLSchema" xmlns:p="http://schemas.microsoft.com/office/2006/metadata/properties" xmlns:ns2="e41420d1-8af4-4f1b-aee3-5761dc5eea26" xmlns:ns3="09e95d93-98bd-4792-810f-048548234ceb" targetNamespace="http://schemas.microsoft.com/office/2006/metadata/properties" ma:root="true" ma:fieldsID="4244a9fd1ec36426a256d8ee055a317c" ns2:_="" ns3:_="">
    <xsd:import namespace="e41420d1-8af4-4f1b-aee3-5761dc5eea26"/>
    <xsd:import namespace="09e95d93-98bd-4792-810f-048548234c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420d1-8af4-4f1b-aee3-5761dc5ee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95d93-98bd-4792-810f-048548234c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c4e5343-b99e-43a2-bb81-04091bbfc96f}" ma:internalName="TaxCatchAll" ma:showField="CatchAllData" ma:web="09e95d93-98bd-4792-810f-048548234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4E54B-69C3-48C6-B7E8-350BCD05DB7F}">
  <ds:schemaRefs>
    <ds:schemaRef ds:uri="http://schemas.microsoft.com/office/2006/metadata/properties"/>
    <ds:schemaRef ds:uri="http://schemas.microsoft.com/office/infopath/2007/PartnerControls"/>
    <ds:schemaRef ds:uri="e41420d1-8af4-4f1b-aee3-5761dc5eea26"/>
    <ds:schemaRef ds:uri="09e95d93-98bd-4792-810f-048548234ceb"/>
  </ds:schemaRefs>
</ds:datastoreItem>
</file>

<file path=customXml/itemProps2.xml><?xml version="1.0" encoding="utf-8"?>
<ds:datastoreItem xmlns:ds="http://schemas.openxmlformats.org/officeDocument/2006/customXml" ds:itemID="{5B78E5C9-91F8-4998-84CB-ADD27BA64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420d1-8af4-4f1b-aee3-5761dc5eea26"/>
    <ds:schemaRef ds:uri="09e95d93-98bd-4792-810f-048548234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71A148-EF95-434E-BA28-801FC61276CB}">
  <ds:schemaRefs>
    <ds:schemaRef ds:uri="http://schemas.microsoft.com/sharepoint/v3/contenttype/forms"/>
  </ds:schemaRefs>
</ds:datastoreItem>
</file>

<file path=customXml/itemProps4.xml><?xml version="1.0" encoding="utf-8"?>
<ds:datastoreItem xmlns:ds="http://schemas.openxmlformats.org/officeDocument/2006/customXml" ds:itemID="{E9C02BB5-5E5F-4BD1-BD1C-E7C3539F5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Leet Angela</dc:creator>
  <cp:keywords/>
  <cp:lastModifiedBy>Vanessa Vanderzee (she/they)</cp:lastModifiedBy>
  <cp:revision>42</cp:revision>
  <dcterms:created xsi:type="dcterms:W3CDTF">2022-09-28T18:13:00Z</dcterms:created>
  <dcterms:modified xsi:type="dcterms:W3CDTF">2023-07-26T22:19:00Z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Adobe InDesign 15.1 (Windows)</vt:lpwstr>
  </property>
  <property fmtid="{D5CDD505-2E9C-101B-9397-08002B2CF9AE}" pid="4" name="LastSaved">
    <vt:filetime>2020-12-09T00:00:00Z</vt:filetime>
  </property>
  <property fmtid="{D5CDD505-2E9C-101B-9397-08002B2CF9AE}" pid="5" name="ContentTypeId">
    <vt:lpwstr>0x0101003BE7F005CE011E4492D5BE80779B00A6</vt:lpwstr>
  </property>
</Properties>
</file>