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C835F" w14:textId="77777777" w:rsidR="00A33CFE" w:rsidRDefault="00645A44">
      <w:pPr>
        <w:pStyle w:val="BodyText"/>
        <w:ind w:left="140"/>
        <w:rPr>
          <w:rFonts w:ascii="Times New Roman"/>
          <w:sz w:val="20"/>
        </w:rPr>
      </w:pPr>
      <w:r>
        <w:rPr>
          <w:rFonts w:ascii="Times New Roman"/>
          <w:noProof/>
          <w:sz w:val="20"/>
        </w:rPr>
        <w:drawing>
          <wp:inline distT="0" distB="0" distL="0" distR="0" wp14:anchorId="42640FD7" wp14:editId="13C094D5">
            <wp:extent cx="779655" cy="768096"/>
            <wp:effectExtent l="0" t="0" r="0" b="0"/>
            <wp:docPr id="1" name="image1.jpeg" descr="OR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79655" cy="768096"/>
                    </a:xfrm>
                    <a:prstGeom prst="rect">
                      <a:avLst/>
                    </a:prstGeom>
                  </pic:spPr>
                </pic:pic>
              </a:graphicData>
            </a:graphic>
          </wp:inline>
        </w:drawing>
      </w:r>
    </w:p>
    <w:p w14:paraId="3AD89E71" w14:textId="77777777" w:rsidR="00A33CFE" w:rsidRDefault="00A33CFE">
      <w:pPr>
        <w:pStyle w:val="BodyText"/>
        <w:spacing w:before="11"/>
        <w:rPr>
          <w:rFonts w:ascii="Times New Roman"/>
          <w:sz w:val="10"/>
        </w:rPr>
      </w:pPr>
    </w:p>
    <w:p w14:paraId="2343211B" w14:textId="77777777" w:rsidR="00A33CFE" w:rsidRDefault="00645A44">
      <w:pPr>
        <w:pStyle w:val="Title"/>
        <w:ind w:left="1938" w:right="2256" w:firstLine="0"/>
      </w:pPr>
      <w:r>
        <w:t>Stewardship</w:t>
      </w:r>
      <w:r>
        <w:rPr>
          <w:spacing w:val="-1"/>
        </w:rPr>
        <w:t xml:space="preserve"> </w:t>
      </w:r>
      <w:r>
        <w:t>Plan</w:t>
      </w:r>
    </w:p>
    <w:p w14:paraId="6159CA4B" w14:textId="77777777" w:rsidR="00A33CFE" w:rsidRDefault="00645A44">
      <w:pPr>
        <w:spacing w:before="119"/>
        <w:ind w:left="1937" w:right="2256"/>
        <w:jc w:val="center"/>
        <w:rPr>
          <w:rFonts w:ascii="Cambria"/>
          <w:b/>
          <w:sz w:val="32"/>
        </w:rPr>
      </w:pPr>
      <w:r>
        <w:rPr>
          <w:rFonts w:ascii="Cambria"/>
          <w:b/>
          <w:sz w:val="32"/>
        </w:rPr>
        <w:t>for</w:t>
      </w:r>
      <w:r>
        <w:rPr>
          <w:rFonts w:ascii="Cambria"/>
          <w:b/>
          <w:spacing w:val="-3"/>
          <w:sz w:val="32"/>
        </w:rPr>
        <w:t xml:space="preserve"> </w:t>
      </w:r>
      <w:r>
        <w:rPr>
          <w:rFonts w:ascii="Cambria"/>
          <w:b/>
          <w:sz w:val="32"/>
        </w:rPr>
        <w:t>the</w:t>
      </w:r>
    </w:p>
    <w:p w14:paraId="4CB29602" w14:textId="68322BD6" w:rsidR="00A33CFE" w:rsidRDefault="00645A44">
      <w:pPr>
        <w:pStyle w:val="Title"/>
        <w:spacing w:before="121"/>
      </w:pPr>
      <w:r>
        <w:t xml:space="preserve">Oregon </w:t>
      </w:r>
      <w:r w:rsidR="00396EED">
        <w:t xml:space="preserve">Seismic Hazard </w:t>
      </w:r>
      <w:r>
        <w:t>Database</w:t>
      </w:r>
    </w:p>
    <w:p w14:paraId="7A31A0BE" w14:textId="4988BEA5" w:rsidR="00A33CFE" w:rsidRDefault="00396EED">
      <w:pPr>
        <w:spacing w:before="375"/>
        <w:ind w:left="1935" w:right="2256"/>
        <w:jc w:val="center"/>
        <w:rPr>
          <w:rFonts w:ascii="Cambria"/>
          <w:b/>
          <w:sz w:val="32"/>
        </w:rPr>
      </w:pPr>
      <w:r>
        <w:rPr>
          <w:rFonts w:ascii="Cambria"/>
          <w:b/>
          <w:sz w:val="32"/>
        </w:rPr>
        <w:t>Hazard</w:t>
      </w:r>
      <w:r w:rsidR="00645A44">
        <w:rPr>
          <w:rFonts w:ascii="Cambria"/>
          <w:b/>
          <w:sz w:val="32"/>
        </w:rPr>
        <w:t xml:space="preserve"> Framework</w:t>
      </w:r>
      <w:r w:rsidR="009A6E30">
        <w:rPr>
          <w:rFonts w:ascii="Cambria"/>
          <w:b/>
          <w:sz w:val="32"/>
        </w:rPr>
        <w:t xml:space="preserve"> Theme</w:t>
      </w:r>
    </w:p>
    <w:p w14:paraId="5CF086F1" w14:textId="77777777" w:rsidR="00A33CFE" w:rsidRDefault="00645A44">
      <w:pPr>
        <w:spacing w:before="120"/>
        <w:ind w:left="1940" w:right="2256"/>
        <w:jc w:val="center"/>
        <w:rPr>
          <w:rFonts w:ascii="Cambria"/>
          <w:b/>
          <w:sz w:val="40"/>
        </w:rPr>
      </w:pPr>
      <w:r>
        <w:rPr>
          <w:rFonts w:ascii="Cambria"/>
          <w:b/>
          <w:sz w:val="40"/>
        </w:rPr>
        <w:t>State</w:t>
      </w:r>
      <w:r>
        <w:rPr>
          <w:rFonts w:ascii="Cambria"/>
          <w:b/>
          <w:spacing w:val="-1"/>
          <w:sz w:val="40"/>
        </w:rPr>
        <w:t xml:space="preserve"> </w:t>
      </w:r>
      <w:r>
        <w:rPr>
          <w:rFonts w:ascii="Cambria"/>
          <w:b/>
          <w:sz w:val="40"/>
        </w:rPr>
        <w:t>of</w:t>
      </w:r>
      <w:r>
        <w:rPr>
          <w:rFonts w:ascii="Cambria"/>
          <w:b/>
          <w:spacing w:val="-1"/>
          <w:sz w:val="40"/>
        </w:rPr>
        <w:t xml:space="preserve"> </w:t>
      </w:r>
      <w:r>
        <w:rPr>
          <w:rFonts w:ascii="Cambria"/>
          <w:b/>
          <w:sz w:val="40"/>
        </w:rPr>
        <w:t>Oregon</w:t>
      </w:r>
    </w:p>
    <w:p w14:paraId="1275B760" w14:textId="77777777" w:rsidR="00A33CFE" w:rsidRDefault="00645A44">
      <w:pPr>
        <w:spacing w:before="402"/>
        <w:ind w:left="1941" w:right="2256"/>
        <w:jc w:val="center"/>
        <w:rPr>
          <w:rFonts w:ascii="Cambria"/>
          <w:b/>
          <w:sz w:val="40"/>
        </w:rPr>
      </w:pPr>
      <w:r>
        <w:rPr>
          <w:rFonts w:ascii="Cambria"/>
          <w:b/>
          <w:sz w:val="40"/>
        </w:rPr>
        <w:t>Version</w:t>
      </w:r>
      <w:r>
        <w:rPr>
          <w:rFonts w:ascii="Cambria"/>
          <w:b/>
          <w:spacing w:val="-3"/>
          <w:sz w:val="40"/>
        </w:rPr>
        <w:t xml:space="preserve"> </w:t>
      </w:r>
      <w:r>
        <w:rPr>
          <w:rFonts w:ascii="Cambria"/>
          <w:b/>
          <w:sz w:val="40"/>
        </w:rPr>
        <w:t>1.0</w:t>
      </w:r>
    </w:p>
    <w:p w14:paraId="49089FF6" w14:textId="0146812D" w:rsidR="00A33CFE" w:rsidRDefault="009A6E30">
      <w:pPr>
        <w:pStyle w:val="Heading2"/>
        <w:ind w:left="1936" w:right="2256"/>
        <w:jc w:val="center"/>
        <w:rPr>
          <w:rFonts w:ascii="Cambria"/>
        </w:rPr>
      </w:pPr>
      <w:r>
        <w:rPr>
          <w:rFonts w:ascii="Cambria"/>
        </w:rPr>
        <w:t>April</w:t>
      </w:r>
      <w:r w:rsidR="00645A44">
        <w:rPr>
          <w:rFonts w:ascii="Cambria"/>
          <w:spacing w:val="-2"/>
        </w:rPr>
        <w:t xml:space="preserve"> </w:t>
      </w:r>
      <w:r w:rsidR="00645A44">
        <w:rPr>
          <w:rFonts w:ascii="Cambria"/>
        </w:rPr>
        <w:t>202</w:t>
      </w:r>
      <w:r>
        <w:rPr>
          <w:rFonts w:ascii="Cambria"/>
        </w:rPr>
        <w:t>1</w:t>
      </w:r>
    </w:p>
    <w:p w14:paraId="6AED8225" w14:textId="77777777" w:rsidR="00A33CFE" w:rsidRDefault="00A33CFE">
      <w:pPr>
        <w:pStyle w:val="BodyText"/>
        <w:spacing w:before="5"/>
        <w:rPr>
          <w:rFonts w:ascii="Cambria"/>
          <w:b/>
          <w:sz w:val="23"/>
        </w:rPr>
      </w:pPr>
    </w:p>
    <w:p w14:paraId="34A6C738" w14:textId="77777777" w:rsidR="00A33CFE" w:rsidRDefault="00645A44">
      <w:pPr>
        <w:pStyle w:val="BodyText"/>
        <w:spacing w:before="1"/>
        <w:ind w:left="1942" w:right="2256"/>
        <w:jc w:val="center"/>
      </w:pPr>
      <w:r>
        <w:t>Under</w:t>
      </w:r>
      <w:r>
        <w:rPr>
          <w:spacing w:val="-4"/>
        </w:rPr>
        <w:t xml:space="preserve"> </w:t>
      </w:r>
      <w:r>
        <w:t>the</w:t>
      </w:r>
      <w:r>
        <w:rPr>
          <w:spacing w:val="-1"/>
        </w:rPr>
        <w:t xml:space="preserve"> </w:t>
      </w:r>
      <w:r>
        <w:t>auspices</w:t>
      </w:r>
      <w:r>
        <w:rPr>
          <w:spacing w:val="-3"/>
        </w:rPr>
        <w:t xml:space="preserve"> </w:t>
      </w:r>
      <w:r>
        <w:t>of</w:t>
      </w:r>
      <w:r>
        <w:rPr>
          <w:spacing w:val="-2"/>
        </w:rPr>
        <w:t xml:space="preserve"> </w:t>
      </w:r>
      <w:r>
        <w:t>the Oregon</w:t>
      </w:r>
      <w:r>
        <w:rPr>
          <w:spacing w:val="-3"/>
        </w:rPr>
        <w:t xml:space="preserve"> </w:t>
      </w:r>
      <w:r>
        <w:t>Geographic</w:t>
      </w:r>
      <w:r>
        <w:rPr>
          <w:spacing w:val="-2"/>
        </w:rPr>
        <w:t xml:space="preserve"> </w:t>
      </w:r>
      <w:r>
        <w:t>Information</w:t>
      </w:r>
      <w:r>
        <w:rPr>
          <w:spacing w:val="1"/>
        </w:rPr>
        <w:t xml:space="preserve"> </w:t>
      </w:r>
      <w:r>
        <w:t>Council</w:t>
      </w:r>
    </w:p>
    <w:p w14:paraId="7D3579E5" w14:textId="77777777" w:rsidR="00A33CFE" w:rsidRDefault="00A33CFE">
      <w:pPr>
        <w:pStyle w:val="BodyText"/>
      </w:pPr>
    </w:p>
    <w:p w14:paraId="07923C22" w14:textId="77777777" w:rsidR="00A33CFE" w:rsidRDefault="00A33CFE">
      <w:pPr>
        <w:pStyle w:val="BodyText"/>
        <w:spacing w:before="1"/>
      </w:pPr>
    </w:p>
    <w:p w14:paraId="1019943C" w14:textId="77777777" w:rsidR="00A33CFE" w:rsidRDefault="00645A44">
      <w:pPr>
        <w:pStyle w:val="Heading2"/>
        <w:spacing w:before="1"/>
      </w:pPr>
      <w:r>
        <w:t>Revision</w:t>
      </w:r>
      <w:r>
        <w:rPr>
          <w:spacing w:val="-1"/>
        </w:rPr>
        <w:t xml:space="preserve"> </w:t>
      </w:r>
      <w:r>
        <w:t>History</w:t>
      </w:r>
    </w:p>
    <w:p w14:paraId="405877E5" w14:textId="77777777" w:rsidR="00A33CFE" w:rsidRDefault="00A33CFE">
      <w:pPr>
        <w:pStyle w:val="BodyText"/>
        <w:spacing w:before="9"/>
        <w:rPr>
          <w:b/>
          <w:sz w:val="23"/>
        </w:rPr>
      </w:pPr>
    </w:p>
    <w:p w14:paraId="1CFC6B94" w14:textId="76A26EA1" w:rsidR="00A33CFE" w:rsidRDefault="00645A44">
      <w:pPr>
        <w:pStyle w:val="BodyText"/>
        <w:ind w:left="140"/>
      </w:pPr>
      <w:r>
        <w:t>.</w:t>
      </w:r>
    </w:p>
    <w:p w14:paraId="1AB7C903" w14:textId="77777777" w:rsidR="00A33CFE" w:rsidRDefault="00A33CFE">
      <w:pPr>
        <w:pStyle w:val="BodyText"/>
        <w:spacing w:before="6"/>
        <w:rPr>
          <w:sz w:val="29"/>
        </w:rPr>
      </w:pPr>
    </w:p>
    <w:p w14:paraId="2EF472ED" w14:textId="77777777" w:rsidR="00396EED" w:rsidRDefault="00645A44" w:rsidP="00396EED">
      <w:pPr>
        <w:pStyle w:val="BodyText"/>
        <w:spacing w:line="410" w:lineRule="atLeast"/>
        <w:ind w:left="140" w:right="7670"/>
        <w:rPr>
          <w:spacing w:val="-4"/>
        </w:rPr>
      </w:pPr>
      <w:r>
        <w:t>Please address comments to:</w:t>
      </w:r>
      <w:r>
        <w:rPr>
          <w:spacing w:val="-52"/>
        </w:rPr>
        <w:t xml:space="preserve"> </w:t>
      </w:r>
      <w:r w:rsidR="00396EED">
        <w:t>Ian Madin</w:t>
      </w:r>
      <w:r>
        <w:t>,</w:t>
      </w:r>
      <w:r>
        <w:rPr>
          <w:spacing w:val="-4"/>
        </w:rPr>
        <w:t xml:space="preserve"> </w:t>
      </w:r>
    </w:p>
    <w:p w14:paraId="0378A8C4" w14:textId="6C230649" w:rsidR="00A33CFE" w:rsidRDefault="00645A44" w:rsidP="00396EED">
      <w:pPr>
        <w:pStyle w:val="BodyText"/>
        <w:spacing w:line="410" w:lineRule="atLeast"/>
        <w:ind w:left="144" w:right="4176"/>
      </w:pPr>
      <w:r>
        <w:t>Oregon</w:t>
      </w:r>
      <w:r>
        <w:rPr>
          <w:spacing w:val="-4"/>
        </w:rPr>
        <w:t xml:space="preserve"> </w:t>
      </w:r>
      <w:r>
        <w:t>Department</w:t>
      </w:r>
      <w:r>
        <w:rPr>
          <w:spacing w:val="-3"/>
        </w:rPr>
        <w:t xml:space="preserve"> </w:t>
      </w:r>
      <w:r>
        <w:t>of</w:t>
      </w:r>
      <w:r>
        <w:rPr>
          <w:spacing w:val="2"/>
        </w:rPr>
        <w:t xml:space="preserve"> </w:t>
      </w:r>
      <w:r w:rsidR="00396EED">
        <w:t>Geology and Mineral Industries</w:t>
      </w:r>
      <w:r>
        <w:rPr>
          <w:spacing w:val="-1"/>
        </w:rPr>
        <w:t xml:space="preserve"> </w:t>
      </w:r>
    </w:p>
    <w:p w14:paraId="46EF1489" w14:textId="7BD4E9C8" w:rsidR="00A33CFE" w:rsidRDefault="00645A44">
      <w:pPr>
        <w:spacing w:line="267" w:lineRule="exact"/>
        <w:ind w:left="140"/>
        <w:rPr>
          <w:color w:val="0000FF"/>
          <w:u w:val="single" w:color="0000FF"/>
        </w:rPr>
      </w:pPr>
      <w:hyperlink r:id="rId8">
        <w:r w:rsidR="00396EED">
          <w:rPr>
            <w:color w:val="0000FF"/>
            <w:u w:val="single" w:color="0000FF"/>
          </w:rPr>
          <w:t>Ian.mmadin@oregon.gov</w:t>
        </w:r>
      </w:hyperlink>
    </w:p>
    <w:p w14:paraId="46296E33" w14:textId="77777777" w:rsidR="00396EED" w:rsidRDefault="00396EED">
      <w:pPr>
        <w:spacing w:line="267" w:lineRule="exact"/>
        <w:ind w:left="140"/>
      </w:pPr>
    </w:p>
    <w:p w14:paraId="5CF3A17C" w14:textId="77777777" w:rsidR="00A33CFE" w:rsidRDefault="00A33CFE">
      <w:pPr>
        <w:spacing w:line="267" w:lineRule="exact"/>
        <w:sectPr w:rsidR="00A33CFE">
          <w:type w:val="continuous"/>
          <w:pgSz w:w="12240" w:h="15840"/>
          <w:pgMar w:top="1300" w:right="620" w:bottom="280" w:left="940" w:header="720" w:footer="720" w:gutter="0"/>
          <w:cols w:space="720"/>
        </w:sectPr>
      </w:pPr>
    </w:p>
    <w:p w14:paraId="09870A76" w14:textId="77777777" w:rsidR="00A33CFE" w:rsidRDefault="00645A44">
      <w:pPr>
        <w:spacing w:before="16"/>
        <w:ind w:left="140"/>
        <w:rPr>
          <w:rFonts w:ascii="Calibri Light"/>
          <w:sz w:val="32"/>
        </w:rPr>
      </w:pPr>
      <w:r>
        <w:rPr>
          <w:rFonts w:ascii="Calibri Light"/>
          <w:sz w:val="32"/>
        </w:rPr>
        <w:lastRenderedPageBreak/>
        <w:t>Table of</w:t>
      </w:r>
      <w:r>
        <w:rPr>
          <w:rFonts w:ascii="Calibri Light"/>
          <w:spacing w:val="-3"/>
          <w:sz w:val="32"/>
        </w:rPr>
        <w:t xml:space="preserve"> </w:t>
      </w:r>
      <w:r>
        <w:rPr>
          <w:rFonts w:ascii="Calibri Light"/>
          <w:sz w:val="32"/>
        </w:rPr>
        <w:t>Contents</w:t>
      </w:r>
    </w:p>
    <w:sdt>
      <w:sdtPr>
        <w:id w:val="-1909682150"/>
        <w:docPartObj>
          <w:docPartGallery w:val="Table of Contents"/>
          <w:docPartUnique/>
        </w:docPartObj>
      </w:sdtPr>
      <w:sdtContent>
        <w:p w14:paraId="35339551" w14:textId="00E796A6" w:rsidR="009D6BA2" w:rsidRDefault="00645A44">
          <w:pPr>
            <w:pStyle w:val="TOC1"/>
            <w:tabs>
              <w:tab w:val="right" w:leader="dot" w:pos="10670"/>
            </w:tabs>
            <w:rPr>
              <w:rFonts w:asciiTheme="minorHAnsi" w:eastAsiaTheme="minorEastAsia" w:hAnsiTheme="minorHAnsi" w:cstheme="minorBidi"/>
              <w:noProof/>
            </w:rPr>
          </w:pPr>
          <w:r>
            <w:fldChar w:fldCharType="begin"/>
          </w:r>
          <w:r>
            <w:instrText xml:space="preserve">TOC \o "1-1" \h \z \u </w:instrText>
          </w:r>
          <w:r>
            <w:fldChar w:fldCharType="separate"/>
          </w:r>
          <w:hyperlink w:anchor="_Toc69309748" w:history="1">
            <w:r w:rsidR="009D6BA2" w:rsidRPr="00283451">
              <w:rPr>
                <w:rStyle w:val="Hyperlink"/>
                <w:noProof/>
              </w:rPr>
              <w:t>Purpose</w:t>
            </w:r>
            <w:r w:rsidR="009D6BA2">
              <w:rPr>
                <w:noProof/>
                <w:webHidden/>
              </w:rPr>
              <w:tab/>
            </w:r>
            <w:r w:rsidR="009D6BA2">
              <w:rPr>
                <w:noProof/>
                <w:webHidden/>
              </w:rPr>
              <w:fldChar w:fldCharType="begin"/>
            </w:r>
            <w:r w:rsidR="009D6BA2">
              <w:rPr>
                <w:noProof/>
                <w:webHidden/>
              </w:rPr>
              <w:instrText xml:space="preserve"> PAGEREF _Toc69309748 \h </w:instrText>
            </w:r>
            <w:r w:rsidR="009D6BA2">
              <w:rPr>
                <w:noProof/>
                <w:webHidden/>
              </w:rPr>
            </w:r>
            <w:r w:rsidR="009D6BA2">
              <w:rPr>
                <w:noProof/>
                <w:webHidden/>
              </w:rPr>
              <w:fldChar w:fldCharType="separate"/>
            </w:r>
            <w:r w:rsidR="009D6BA2">
              <w:rPr>
                <w:noProof/>
                <w:webHidden/>
              </w:rPr>
              <w:t>2</w:t>
            </w:r>
            <w:r w:rsidR="009D6BA2">
              <w:rPr>
                <w:noProof/>
                <w:webHidden/>
              </w:rPr>
              <w:fldChar w:fldCharType="end"/>
            </w:r>
          </w:hyperlink>
        </w:p>
        <w:p w14:paraId="16F41221" w14:textId="708D3E42" w:rsidR="009D6BA2" w:rsidRDefault="009D6BA2">
          <w:pPr>
            <w:pStyle w:val="TOC1"/>
            <w:tabs>
              <w:tab w:val="right" w:leader="dot" w:pos="10670"/>
            </w:tabs>
            <w:rPr>
              <w:rFonts w:asciiTheme="minorHAnsi" w:eastAsiaTheme="minorEastAsia" w:hAnsiTheme="minorHAnsi" w:cstheme="minorBidi"/>
              <w:noProof/>
            </w:rPr>
          </w:pPr>
          <w:hyperlink w:anchor="_Toc69309749" w:history="1">
            <w:r w:rsidRPr="00283451">
              <w:rPr>
                <w:rStyle w:val="Hyperlink"/>
                <w:noProof/>
              </w:rPr>
              <w:t>Stewardship</w:t>
            </w:r>
            <w:r w:rsidRPr="00283451">
              <w:rPr>
                <w:rStyle w:val="Hyperlink"/>
                <w:noProof/>
                <w:spacing w:val="-6"/>
              </w:rPr>
              <w:t xml:space="preserve"> </w:t>
            </w:r>
            <w:r w:rsidRPr="00283451">
              <w:rPr>
                <w:rStyle w:val="Hyperlink"/>
                <w:noProof/>
              </w:rPr>
              <w:t>Classification</w:t>
            </w:r>
            <w:r>
              <w:rPr>
                <w:noProof/>
                <w:webHidden/>
              </w:rPr>
              <w:tab/>
            </w:r>
            <w:r>
              <w:rPr>
                <w:noProof/>
                <w:webHidden/>
              </w:rPr>
              <w:fldChar w:fldCharType="begin"/>
            </w:r>
            <w:r>
              <w:rPr>
                <w:noProof/>
                <w:webHidden/>
              </w:rPr>
              <w:instrText xml:space="preserve"> PAGEREF _Toc69309749 \h </w:instrText>
            </w:r>
            <w:r>
              <w:rPr>
                <w:noProof/>
                <w:webHidden/>
              </w:rPr>
            </w:r>
            <w:r>
              <w:rPr>
                <w:noProof/>
                <w:webHidden/>
              </w:rPr>
              <w:fldChar w:fldCharType="separate"/>
            </w:r>
            <w:r>
              <w:rPr>
                <w:noProof/>
                <w:webHidden/>
              </w:rPr>
              <w:t>2</w:t>
            </w:r>
            <w:r>
              <w:rPr>
                <w:noProof/>
                <w:webHidden/>
              </w:rPr>
              <w:fldChar w:fldCharType="end"/>
            </w:r>
          </w:hyperlink>
        </w:p>
        <w:p w14:paraId="2C683D54" w14:textId="7EDFA6CA" w:rsidR="009D6BA2" w:rsidRDefault="009D6BA2">
          <w:pPr>
            <w:pStyle w:val="TOC1"/>
            <w:tabs>
              <w:tab w:val="right" w:leader="dot" w:pos="10670"/>
            </w:tabs>
            <w:rPr>
              <w:rFonts w:asciiTheme="minorHAnsi" w:eastAsiaTheme="minorEastAsia" w:hAnsiTheme="minorHAnsi" w:cstheme="minorBidi"/>
              <w:noProof/>
            </w:rPr>
          </w:pPr>
          <w:hyperlink w:anchor="_Toc69309750" w:history="1">
            <w:r w:rsidRPr="00283451">
              <w:rPr>
                <w:rStyle w:val="Hyperlink"/>
                <w:noProof/>
              </w:rPr>
              <w:t>Framework</w:t>
            </w:r>
            <w:r w:rsidRPr="00283451">
              <w:rPr>
                <w:rStyle w:val="Hyperlink"/>
                <w:noProof/>
                <w:spacing w:val="-4"/>
              </w:rPr>
              <w:t xml:space="preserve"> </w:t>
            </w:r>
            <w:r w:rsidRPr="00283451">
              <w:rPr>
                <w:rStyle w:val="Hyperlink"/>
                <w:noProof/>
              </w:rPr>
              <w:t>Element</w:t>
            </w:r>
            <w:r w:rsidRPr="00283451">
              <w:rPr>
                <w:rStyle w:val="Hyperlink"/>
                <w:noProof/>
                <w:spacing w:val="-1"/>
              </w:rPr>
              <w:t xml:space="preserve"> </w:t>
            </w:r>
            <w:r w:rsidRPr="00283451">
              <w:rPr>
                <w:rStyle w:val="Hyperlink"/>
                <w:noProof/>
              </w:rPr>
              <w:t>Steward</w:t>
            </w:r>
            <w:r>
              <w:rPr>
                <w:noProof/>
                <w:webHidden/>
              </w:rPr>
              <w:tab/>
            </w:r>
            <w:r>
              <w:rPr>
                <w:noProof/>
                <w:webHidden/>
              </w:rPr>
              <w:fldChar w:fldCharType="begin"/>
            </w:r>
            <w:r>
              <w:rPr>
                <w:noProof/>
                <w:webHidden/>
              </w:rPr>
              <w:instrText xml:space="preserve"> PAGEREF _Toc69309750 \h </w:instrText>
            </w:r>
            <w:r>
              <w:rPr>
                <w:noProof/>
                <w:webHidden/>
              </w:rPr>
            </w:r>
            <w:r>
              <w:rPr>
                <w:noProof/>
                <w:webHidden/>
              </w:rPr>
              <w:fldChar w:fldCharType="separate"/>
            </w:r>
            <w:r>
              <w:rPr>
                <w:noProof/>
                <w:webHidden/>
              </w:rPr>
              <w:t>2</w:t>
            </w:r>
            <w:r>
              <w:rPr>
                <w:noProof/>
                <w:webHidden/>
              </w:rPr>
              <w:fldChar w:fldCharType="end"/>
            </w:r>
          </w:hyperlink>
        </w:p>
        <w:p w14:paraId="360581FA" w14:textId="3B4D0591" w:rsidR="009D6BA2" w:rsidRDefault="009D6BA2">
          <w:pPr>
            <w:pStyle w:val="TOC1"/>
            <w:tabs>
              <w:tab w:val="right" w:leader="dot" w:pos="10670"/>
            </w:tabs>
            <w:rPr>
              <w:rFonts w:asciiTheme="minorHAnsi" w:eastAsiaTheme="minorEastAsia" w:hAnsiTheme="minorHAnsi" w:cstheme="minorBidi"/>
              <w:noProof/>
            </w:rPr>
          </w:pPr>
          <w:hyperlink w:anchor="_Toc69309751" w:history="1">
            <w:r w:rsidRPr="00283451">
              <w:rPr>
                <w:rStyle w:val="Hyperlink"/>
                <w:noProof/>
              </w:rPr>
              <w:t>Data</w:t>
            </w:r>
            <w:r w:rsidRPr="00283451">
              <w:rPr>
                <w:rStyle w:val="Hyperlink"/>
                <w:noProof/>
                <w:spacing w:val="-4"/>
              </w:rPr>
              <w:t xml:space="preserve"> </w:t>
            </w:r>
            <w:r w:rsidRPr="00283451">
              <w:rPr>
                <w:rStyle w:val="Hyperlink"/>
                <w:noProof/>
              </w:rPr>
              <w:t>Description</w:t>
            </w:r>
            <w:r>
              <w:rPr>
                <w:noProof/>
                <w:webHidden/>
              </w:rPr>
              <w:tab/>
            </w:r>
            <w:r>
              <w:rPr>
                <w:noProof/>
                <w:webHidden/>
              </w:rPr>
              <w:fldChar w:fldCharType="begin"/>
            </w:r>
            <w:r>
              <w:rPr>
                <w:noProof/>
                <w:webHidden/>
              </w:rPr>
              <w:instrText xml:space="preserve"> PAGEREF _Toc69309751 \h </w:instrText>
            </w:r>
            <w:r>
              <w:rPr>
                <w:noProof/>
                <w:webHidden/>
              </w:rPr>
            </w:r>
            <w:r>
              <w:rPr>
                <w:noProof/>
                <w:webHidden/>
              </w:rPr>
              <w:fldChar w:fldCharType="separate"/>
            </w:r>
            <w:r>
              <w:rPr>
                <w:noProof/>
                <w:webHidden/>
              </w:rPr>
              <w:t>2</w:t>
            </w:r>
            <w:r>
              <w:rPr>
                <w:noProof/>
                <w:webHidden/>
              </w:rPr>
              <w:fldChar w:fldCharType="end"/>
            </w:r>
          </w:hyperlink>
        </w:p>
        <w:p w14:paraId="0C583215" w14:textId="74603B29" w:rsidR="009D6BA2" w:rsidRDefault="009D6BA2">
          <w:pPr>
            <w:pStyle w:val="TOC1"/>
            <w:tabs>
              <w:tab w:val="right" w:leader="dot" w:pos="10670"/>
            </w:tabs>
            <w:rPr>
              <w:rFonts w:asciiTheme="minorHAnsi" w:eastAsiaTheme="minorEastAsia" w:hAnsiTheme="minorHAnsi" w:cstheme="minorBidi"/>
              <w:noProof/>
            </w:rPr>
          </w:pPr>
          <w:hyperlink w:anchor="_Toc69309752" w:history="1">
            <w:r w:rsidRPr="00283451">
              <w:rPr>
                <w:rStyle w:val="Hyperlink"/>
                <w:noProof/>
              </w:rPr>
              <w:t>Stewardship</w:t>
            </w:r>
            <w:r w:rsidRPr="00283451">
              <w:rPr>
                <w:rStyle w:val="Hyperlink"/>
                <w:noProof/>
                <w:spacing w:val="-9"/>
              </w:rPr>
              <w:t xml:space="preserve"> </w:t>
            </w:r>
            <w:r w:rsidRPr="00283451">
              <w:rPr>
                <w:rStyle w:val="Hyperlink"/>
                <w:noProof/>
              </w:rPr>
              <w:t>Approach</w:t>
            </w:r>
            <w:r>
              <w:rPr>
                <w:noProof/>
                <w:webHidden/>
              </w:rPr>
              <w:tab/>
            </w:r>
            <w:r>
              <w:rPr>
                <w:noProof/>
                <w:webHidden/>
              </w:rPr>
              <w:fldChar w:fldCharType="begin"/>
            </w:r>
            <w:r>
              <w:rPr>
                <w:noProof/>
                <w:webHidden/>
              </w:rPr>
              <w:instrText xml:space="preserve"> PAGEREF _Toc69309752 \h </w:instrText>
            </w:r>
            <w:r>
              <w:rPr>
                <w:noProof/>
                <w:webHidden/>
              </w:rPr>
            </w:r>
            <w:r>
              <w:rPr>
                <w:noProof/>
                <w:webHidden/>
              </w:rPr>
              <w:fldChar w:fldCharType="separate"/>
            </w:r>
            <w:r>
              <w:rPr>
                <w:noProof/>
                <w:webHidden/>
              </w:rPr>
              <w:t>3</w:t>
            </w:r>
            <w:r>
              <w:rPr>
                <w:noProof/>
                <w:webHidden/>
              </w:rPr>
              <w:fldChar w:fldCharType="end"/>
            </w:r>
          </w:hyperlink>
        </w:p>
        <w:p w14:paraId="2E861670" w14:textId="1BA87C94" w:rsidR="009D6BA2" w:rsidRDefault="009D6BA2">
          <w:pPr>
            <w:pStyle w:val="TOC1"/>
            <w:tabs>
              <w:tab w:val="right" w:leader="dot" w:pos="10670"/>
            </w:tabs>
            <w:rPr>
              <w:rFonts w:asciiTheme="minorHAnsi" w:eastAsiaTheme="minorEastAsia" w:hAnsiTheme="minorHAnsi" w:cstheme="minorBidi"/>
              <w:noProof/>
            </w:rPr>
          </w:pPr>
          <w:hyperlink w:anchor="_Toc69309753" w:history="1">
            <w:r w:rsidRPr="00283451">
              <w:rPr>
                <w:rStyle w:val="Hyperlink"/>
                <w:noProof/>
              </w:rPr>
              <w:t>Update</w:t>
            </w:r>
            <w:r w:rsidRPr="00283451">
              <w:rPr>
                <w:rStyle w:val="Hyperlink"/>
                <w:noProof/>
                <w:spacing w:val="-8"/>
              </w:rPr>
              <w:t xml:space="preserve"> </w:t>
            </w:r>
            <w:r w:rsidRPr="00283451">
              <w:rPr>
                <w:rStyle w:val="Hyperlink"/>
                <w:noProof/>
              </w:rPr>
              <w:t>Frequency</w:t>
            </w:r>
            <w:r>
              <w:rPr>
                <w:noProof/>
                <w:webHidden/>
              </w:rPr>
              <w:tab/>
            </w:r>
            <w:r>
              <w:rPr>
                <w:noProof/>
                <w:webHidden/>
              </w:rPr>
              <w:fldChar w:fldCharType="begin"/>
            </w:r>
            <w:r>
              <w:rPr>
                <w:noProof/>
                <w:webHidden/>
              </w:rPr>
              <w:instrText xml:space="preserve"> PAGEREF _Toc69309753 \h </w:instrText>
            </w:r>
            <w:r>
              <w:rPr>
                <w:noProof/>
                <w:webHidden/>
              </w:rPr>
            </w:r>
            <w:r>
              <w:rPr>
                <w:noProof/>
                <w:webHidden/>
              </w:rPr>
              <w:fldChar w:fldCharType="separate"/>
            </w:r>
            <w:r>
              <w:rPr>
                <w:noProof/>
                <w:webHidden/>
              </w:rPr>
              <w:t>5</w:t>
            </w:r>
            <w:r>
              <w:rPr>
                <w:noProof/>
                <w:webHidden/>
              </w:rPr>
              <w:fldChar w:fldCharType="end"/>
            </w:r>
          </w:hyperlink>
        </w:p>
        <w:p w14:paraId="6917931D" w14:textId="52D6F9C6" w:rsidR="009D6BA2" w:rsidRDefault="009D6BA2">
          <w:pPr>
            <w:pStyle w:val="TOC1"/>
            <w:tabs>
              <w:tab w:val="right" w:leader="dot" w:pos="10670"/>
            </w:tabs>
            <w:rPr>
              <w:rFonts w:asciiTheme="minorHAnsi" w:eastAsiaTheme="minorEastAsia" w:hAnsiTheme="minorHAnsi" w:cstheme="minorBidi"/>
              <w:noProof/>
            </w:rPr>
          </w:pPr>
          <w:hyperlink w:anchor="_Toc69309754" w:history="1">
            <w:r w:rsidRPr="00283451">
              <w:rPr>
                <w:rStyle w:val="Hyperlink"/>
                <w:noProof/>
              </w:rPr>
              <w:t>Stewardship</w:t>
            </w:r>
            <w:r w:rsidRPr="00283451">
              <w:rPr>
                <w:rStyle w:val="Hyperlink"/>
                <w:noProof/>
                <w:spacing w:val="-6"/>
              </w:rPr>
              <w:t xml:space="preserve"> </w:t>
            </w:r>
            <w:r w:rsidRPr="00283451">
              <w:rPr>
                <w:rStyle w:val="Hyperlink"/>
                <w:noProof/>
              </w:rPr>
              <w:t>Workflow</w:t>
            </w:r>
            <w:r>
              <w:rPr>
                <w:noProof/>
                <w:webHidden/>
              </w:rPr>
              <w:tab/>
            </w:r>
            <w:r>
              <w:rPr>
                <w:noProof/>
                <w:webHidden/>
              </w:rPr>
              <w:fldChar w:fldCharType="begin"/>
            </w:r>
            <w:r>
              <w:rPr>
                <w:noProof/>
                <w:webHidden/>
              </w:rPr>
              <w:instrText xml:space="preserve"> PAGEREF _Toc69309754 \h </w:instrText>
            </w:r>
            <w:r>
              <w:rPr>
                <w:noProof/>
                <w:webHidden/>
              </w:rPr>
            </w:r>
            <w:r>
              <w:rPr>
                <w:noProof/>
                <w:webHidden/>
              </w:rPr>
              <w:fldChar w:fldCharType="separate"/>
            </w:r>
            <w:r>
              <w:rPr>
                <w:noProof/>
                <w:webHidden/>
              </w:rPr>
              <w:t>5</w:t>
            </w:r>
            <w:r>
              <w:rPr>
                <w:noProof/>
                <w:webHidden/>
              </w:rPr>
              <w:fldChar w:fldCharType="end"/>
            </w:r>
          </w:hyperlink>
        </w:p>
        <w:p w14:paraId="4873A3DD" w14:textId="1A6864F6" w:rsidR="009D6BA2" w:rsidRDefault="009D6BA2">
          <w:pPr>
            <w:pStyle w:val="TOC1"/>
            <w:tabs>
              <w:tab w:val="right" w:leader="dot" w:pos="10670"/>
            </w:tabs>
            <w:rPr>
              <w:rFonts w:asciiTheme="minorHAnsi" w:eastAsiaTheme="minorEastAsia" w:hAnsiTheme="minorHAnsi" w:cstheme="minorBidi"/>
              <w:noProof/>
            </w:rPr>
          </w:pPr>
          <w:hyperlink w:anchor="_Toc69309755" w:history="1">
            <w:r w:rsidRPr="00283451">
              <w:rPr>
                <w:rStyle w:val="Hyperlink"/>
                <w:noProof/>
              </w:rPr>
              <w:t>Data</w:t>
            </w:r>
            <w:r w:rsidRPr="00283451">
              <w:rPr>
                <w:rStyle w:val="Hyperlink"/>
                <w:noProof/>
                <w:spacing w:val="-7"/>
              </w:rPr>
              <w:t xml:space="preserve"> </w:t>
            </w:r>
            <w:r w:rsidRPr="00283451">
              <w:rPr>
                <w:rStyle w:val="Hyperlink"/>
                <w:noProof/>
              </w:rPr>
              <w:t>Acquisition</w:t>
            </w:r>
            <w:r>
              <w:rPr>
                <w:noProof/>
                <w:webHidden/>
              </w:rPr>
              <w:tab/>
            </w:r>
            <w:r>
              <w:rPr>
                <w:noProof/>
                <w:webHidden/>
              </w:rPr>
              <w:fldChar w:fldCharType="begin"/>
            </w:r>
            <w:r>
              <w:rPr>
                <w:noProof/>
                <w:webHidden/>
              </w:rPr>
              <w:instrText xml:space="preserve"> PAGEREF _Toc69309755 \h </w:instrText>
            </w:r>
            <w:r>
              <w:rPr>
                <w:noProof/>
                <w:webHidden/>
              </w:rPr>
            </w:r>
            <w:r>
              <w:rPr>
                <w:noProof/>
                <w:webHidden/>
              </w:rPr>
              <w:fldChar w:fldCharType="separate"/>
            </w:r>
            <w:r>
              <w:rPr>
                <w:noProof/>
                <w:webHidden/>
              </w:rPr>
              <w:t>5</w:t>
            </w:r>
            <w:r>
              <w:rPr>
                <w:noProof/>
                <w:webHidden/>
              </w:rPr>
              <w:fldChar w:fldCharType="end"/>
            </w:r>
          </w:hyperlink>
        </w:p>
        <w:p w14:paraId="17623772" w14:textId="36FB2BF1" w:rsidR="009D6BA2" w:rsidRDefault="009D6BA2">
          <w:pPr>
            <w:pStyle w:val="TOC1"/>
            <w:tabs>
              <w:tab w:val="right" w:leader="dot" w:pos="10670"/>
            </w:tabs>
            <w:rPr>
              <w:rFonts w:asciiTheme="minorHAnsi" w:eastAsiaTheme="minorEastAsia" w:hAnsiTheme="minorHAnsi" w:cstheme="minorBidi"/>
              <w:noProof/>
            </w:rPr>
          </w:pPr>
          <w:hyperlink w:anchor="_Toc69309756" w:history="1">
            <w:r w:rsidRPr="00283451">
              <w:rPr>
                <w:rStyle w:val="Hyperlink"/>
                <w:noProof/>
              </w:rPr>
              <w:t>Data</w:t>
            </w:r>
            <w:r w:rsidRPr="00283451">
              <w:rPr>
                <w:rStyle w:val="Hyperlink"/>
                <w:noProof/>
                <w:spacing w:val="-4"/>
              </w:rPr>
              <w:t xml:space="preserve"> </w:t>
            </w:r>
            <w:r w:rsidRPr="00283451">
              <w:rPr>
                <w:rStyle w:val="Hyperlink"/>
                <w:noProof/>
              </w:rPr>
              <w:t>Maintenance</w:t>
            </w:r>
            <w:r>
              <w:rPr>
                <w:noProof/>
                <w:webHidden/>
              </w:rPr>
              <w:tab/>
            </w:r>
            <w:r>
              <w:rPr>
                <w:noProof/>
                <w:webHidden/>
              </w:rPr>
              <w:fldChar w:fldCharType="begin"/>
            </w:r>
            <w:r>
              <w:rPr>
                <w:noProof/>
                <w:webHidden/>
              </w:rPr>
              <w:instrText xml:space="preserve"> PAGEREF _Toc69309756 \h </w:instrText>
            </w:r>
            <w:r>
              <w:rPr>
                <w:noProof/>
                <w:webHidden/>
              </w:rPr>
            </w:r>
            <w:r>
              <w:rPr>
                <w:noProof/>
                <w:webHidden/>
              </w:rPr>
              <w:fldChar w:fldCharType="separate"/>
            </w:r>
            <w:r>
              <w:rPr>
                <w:noProof/>
                <w:webHidden/>
              </w:rPr>
              <w:t>6</w:t>
            </w:r>
            <w:r>
              <w:rPr>
                <w:noProof/>
                <w:webHidden/>
              </w:rPr>
              <w:fldChar w:fldCharType="end"/>
            </w:r>
          </w:hyperlink>
        </w:p>
        <w:p w14:paraId="2DF5C1F1" w14:textId="2AD6E8ED" w:rsidR="009D6BA2" w:rsidRDefault="009D6BA2">
          <w:pPr>
            <w:pStyle w:val="TOC1"/>
            <w:tabs>
              <w:tab w:val="right" w:leader="dot" w:pos="10670"/>
            </w:tabs>
            <w:rPr>
              <w:rFonts w:asciiTheme="minorHAnsi" w:eastAsiaTheme="minorEastAsia" w:hAnsiTheme="minorHAnsi" w:cstheme="minorBidi"/>
              <w:noProof/>
            </w:rPr>
          </w:pPr>
          <w:hyperlink w:anchor="_Toc69309757" w:history="1">
            <w:r w:rsidRPr="00283451">
              <w:rPr>
                <w:rStyle w:val="Hyperlink"/>
                <w:noProof/>
              </w:rPr>
              <w:t>Communication</w:t>
            </w:r>
            <w:r>
              <w:rPr>
                <w:noProof/>
                <w:webHidden/>
              </w:rPr>
              <w:tab/>
            </w:r>
            <w:r>
              <w:rPr>
                <w:noProof/>
                <w:webHidden/>
              </w:rPr>
              <w:fldChar w:fldCharType="begin"/>
            </w:r>
            <w:r>
              <w:rPr>
                <w:noProof/>
                <w:webHidden/>
              </w:rPr>
              <w:instrText xml:space="preserve"> PAGEREF _Toc69309757 \h </w:instrText>
            </w:r>
            <w:r>
              <w:rPr>
                <w:noProof/>
                <w:webHidden/>
              </w:rPr>
            </w:r>
            <w:r>
              <w:rPr>
                <w:noProof/>
                <w:webHidden/>
              </w:rPr>
              <w:fldChar w:fldCharType="separate"/>
            </w:r>
            <w:r>
              <w:rPr>
                <w:noProof/>
                <w:webHidden/>
              </w:rPr>
              <w:t>6</w:t>
            </w:r>
            <w:r>
              <w:rPr>
                <w:noProof/>
                <w:webHidden/>
              </w:rPr>
              <w:fldChar w:fldCharType="end"/>
            </w:r>
          </w:hyperlink>
        </w:p>
        <w:p w14:paraId="481E16DD" w14:textId="6738228B" w:rsidR="009D6BA2" w:rsidRDefault="009D6BA2">
          <w:pPr>
            <w:pStyle w:val="TOC1"/>
            <w:tabs>
              <w:tab w:val="right" w:leader="dot" w:pos="10670"/>
            </w:tabs>
            <w:rPr>
              <w:rFonts w:asciiTheme="minorHAnsi" w:eastAsiaTheme="minorEastAsia" w:hAnsiTheme="minorHAnsi" w:cstheme="minorBidi"/>
              <w:noProof/>
            </w:rPr>
          </w:pPr>
          <w:hyperlink w:anchor="_Toc69309758" w:history="1">
            <w:r w:rsidRPr="00283451">
              <w:rPr>
                <w:rStyle w:val="Hyperlink"/>
                <w:noProof/>
              </w:rPr>
              <w:t>Data</w:t>
            </w:r>
            <w:r w:rsidRPr="00283451">
              <w:rPr>
                <w:rStyle w:val="Hyperlink"/>
                <w:noProof/>
                <w:spacing w:val="-9"/>
              </w:rPr>
              <w:t xml:space="preserve"> </w:t>
            </w:r>
            <w:r w:rsidRPr="00283451">
              <w:rPr>
                <w:rStyle w:val="Hyperlink"/>
                <w:noProof/>
              </w:rPr>
              <w:t>Distribution</w:t>
            </w:r>
            <w:r>
              <w:rPr>
                <w:noProof/>
                <w:webHidden/>
              </w:rPr>
              <w:tab/>
            </w:r>
            <w:r>
              <w:rPr>
                <w:noProof/>
                <w:webHidden/>
              </w:rPr>
              <w:fldChar w:fldCharType="begin"/>
            </w:r>
            <w:r>
              <w:rPr>
                <w:noProof/>
                <w:webHidden/>
              </w:rPr>
              <w:instrText xml:space="preserve"> PAGEREF _Toc69309758 \h </w:instrText>
            </w:r>
            <w:r>
              <w:rPr>
                <w:noProof/>
                <w:webHidden/>
              </w:rPr>
            </w:r>
            <w:r>
              <w:rPr>
                <w:noProof/>
                <w:webHidden/>
              </w:rPr>
              <w:fldChar w:fldCharType="separate"/>
            </w:r>
            <w:r>
              <w:rPr>
                <w:noProof/>
                <w:webHidden/>
              </w:rPr>
              <w:t>6</w:t>
            </w:r>
            <w:r>
              <w:rPr>
                <w:noProof/>
                <w:webHidden/>
              </w:rPr>
              <w:fldChar w:fldCharType="end"/>
            </w:r>
          </w:hyperlink>
        </w:p>
        <w:p w14:paraId="455FEDBB" w14:textId="5213F46D" w:rsidR="009D6BA2" w:rsidRDefault="009D6BA2">
          <w:pPr>
            <w:pStyle w:val="TOC1"/>
            <w:tabs>
              <w:tab w:val="right" w:leader="dot" w:pos="10670"/>
            </w:tabs>
            <w:rPr>
              <w:rFonts w:asciiTheme="minorHAnsi" w:eastAsiaTheme="minorEastAsia" w:hAnsiTheme="minorHAnsi" w:cstheme="minorBidi"/>
              <w:noProof/>
            </w:rPr>
          </w:pPr>
          <w:hyperlink w:anchor="_Toc69309759" w:history="1">
            <w:r w:rsidRPr="00283451">
              <w:rPr>
                <w:rStyle w:val="Hyperlink"/>
                <w:noProof/>
              </w:rPr>
              <w:t>Quality</w:t>
            </w:r>
            <w:r w:rsidRPr="00283451">
              <w:rPr>
                <w:rStyle w:val="Hyperlink"/>
                <w:noProof/>
                <w:spacing w:val="-2"/>
              </w:rPr>
              <w:t xml:space="preserve"> </w:t>
            </w:r>
            <w:r w:rsidRPr="00283451">
              <w:rPr>
                <w:rStyle w:val="Hyperlink"/>
                <w:noProof/>
              </w:rPr>
              <w:t>Checking</w:t>
            </w:r>
            <w:r>
              <w:rPr>
                <w:noProof/>
                <w:webHidden/>
              </w:rPr>
              <w:tab/>
            </w:r>
            <w:r>
              <w:rPr>
                <w:noProof/>
                <w:webHidden/>
              </w:rPr>
              <w:fldChar w:fldCharType="begin"/>
            </w:r>
            <w:r>
              <w:rPr>
                <w:noProof/>
                <w:webHidden/>
              </w:rPr>
              <w:instrText xml:space="preserve"> PAGEREF _Toc69309759 \h </w:instrText>
            </w:r>
            <w:r>
              <w:rPr>
                <w:noProof/>
                <w:webHidden/>
              </w:rPr>
            </w:r>
            <w:r>
              <w:rPr>
                <w:noProof/>
                <w:webHidden/>
              </w:rPr>
              <w:fldChar w:fldCharType="separate"/>
            </w:r>
            <w:r>
              <w:rPr>
                <w:noProof/>
                <w:webHidden/>
              </w:rPr>
              <w:t>6</w:t>
            </w:r>
            <w:r>
              <w:rPr>
                <w:noProof/>
                <w:webHidden/>
              </w:rPr>
              <w:fldChar w:fldCharType="end"/>
            </w:r>
          </w:hyperlink>
        </w:p>
        <w:p w14:paraId="0C3009C9" w14:textId="0AE4860F" w:rsidR="009D6BA2" w:rsidRDefault="009D6BA2">
          <w:pPr>
            <w:pStyle w:val="TOC1"/>
            <w:tabs>
              <w:tab w:val="right" w:leader="dot" w:pos="10670"/>
            </w:tabs>
            <w:rPr>
              <w:rFonts w:asciiTheme="minorHAnsi" w:eastAsiaTheme="minorEastAsia" w:hAnsiTheme="minorHAnsi" w:cstheme="minorBidi"/>
              <w:noProof/>
            </w:rPr>
          </w:pPr>
          <w:hyperlink w:anchor="_Toc69309760" w:history="1">
            <w:r w:rsidRPr="00283451">
              <w:rPr>
                <w:rStyle w:val="Hyperlink"/>
                <w:noProof/>
              </w:rPr>
              <w:t>Archiving</w:t>
            </w:r>
            <w:r>
              <w:rPr>
                <w:noProof/>
                <w:webHidden/>
              </w:rPr>
              <w:tab/>
            </w:r>
            <w:r>
              <w:rPr>
                <w:noProof/>
                <w:webHidden/>
              </w:rPr>
              <w:fldChar w:fldCharType="begin"/>
            </w:r>
            <w:r>
              <w:rPr>
                <w:noProof/>
                <w:webHidden/>
              </w:rPr>
              <w:instrText xml:space="preserve"> PAGEREF _Toc69309760 \h </w:instrText>
            </w:r>
            <w:r>
              <w:rPr>
                <w:noProof/>
                <w:webHidden/>
              </w:rPr>
            </w:r>
            <w:r>
              <w:rPr>
                <w:noProof/>
                <w:webHidden/>
              </w:rPr>
              <w:fldChar w:fldCharType="separate"/>
            </w:r>
            <w:r>
              <w:rPr>
                <w:noProof/>
                <w:webHidden/>
              </w:rPr>
              <w:t>6</w:t>
            </w:r>
            <w:r>
              <w:rPr>
                <w:noProof/>
                <w:webHidden/>
              </w:rPr>
              <w:fldChar w:fldCharType="end"/>
            </w:r>
          </w:hyperlink>
        </w:p>
        <w:p w14:paraId="6E7FAF3C" w14:textId="29F4183F" w:rsidR="00A33CFE" w:rsidRDefault="00645A44">
          <w:r>
            <w:fldChar w:fldCharType="end"/>
          </w:r>
        </w:p>
      </w:sdtContent>
    </w:sdt>
    <w:p w14:paraId="337290A0" w14:textId="77777777" w:rsidR="00A33CFE" w:rsidRDefault="00A33CFE">
      <w:pPr>
        <w:sectPr w:rsidR="00A33CFE">
          <w:footerReference w:type="default" r:id="rId9"/>
          <w:pgSz w:w="12240" w:h="15840"/>
          <w:pgMar w:top="1280" w:right="620" w:bottom="1080" w:left="940" w:header="0" w:footer="885" w:gutter="0"/>
          <w:pgNumType w:start="1"/>
          <w:cols w:space="720"/>
        </w:sectPr>
      </w:pPr>
    </w:p>
    <w:p w14:paraId="4D231F78" w14:textId="77777777" w:rsidR="00A33CFE" w:rsidRDefault="00645A44">
      <w:pPr>
        <w:pStyle w:val="Heading1"/>
        <w:spacing w:before="72"/>
      </w:pPr>
      <w:bookmarkStart w:id="0" w:name="_Toc69309748"/>
      <w:r>
        <w:lastRenderedPageBreak/>
        <w:t>Purpose</w:t>
      </w:r>
      <w:bookmarkEnd w:id="0"/>
    </w:p>
    <w:p w14:paraId="577B1429" w14:textId="65A5E231" w:rsidR="00A33CFE" w:rsidRDefault="00645A44">
      <w:pPr>
        <w:pStyle w:val="BodyText"/>
        <w:spacing w:before="63" w:line="259" w:lineRule="auto"/>
        <w:ind w:left="140" w:right="616"/>
      </w:pPr>
      <w:r>
        <w:t>This</w:t>
      </w:r>
      <w:r>
        <w:rPr>
          <w:spacing w:val="-3"/>
        </w:rPr>
        <w:t xml:space="preserve"> </w:t>
      </w:r>
      <w:r>
        <w:t>Stewardship</w:t>
      </w:r>
      <w:r>
        <w:rPr>
          <w:spacing w:val="-4"/>
        </w:rPr>
        <w:t xml:space="preserve"> </w:t>
      </w:r>
      <w:r>
        <w:t>Plan</w:t>
      </w:r>
      <w:r>
        <w:rPr>
          <w:spacing w:val="-4"/>
        </w:rPr>
        <w:t xml:space="preserve"> </w:t>
      </w:r>
      <w:r w:rsidR="00396EED">
        <w:t xml:space="preserve">describes how the seismic hazard data in the Oregon Seismic Hazard Database (OSHD) </w:t>
      </w:r>
      <w:r>
        <w:t>describes how the data will be maintained over time</w:t>
      </w:r>
      <w:r w:rsidR="00396EED">
        <w:t>.</w:t>
      </w:r>
      <w:r>
        <w:t xml:space="preserve"> </w:t>
      </w:r>
      <w:r w:rsidR="00396EED">
        <w:t xml:space="preserve"> The OSHD is an element of the Hazards</w:t>
      </w:r>
      <w:r>
        <w:t xml:space="preserve"> theme</w:t>
      </w:r>
      <w:r w:rsidR="00396EED">
        <w:t>, which</w:t>
      </w:r>
      <w:r>
        <w:t xml:space="preserve"> fits within the Oregon Framework</w:t>
      </w:r>
      <w:r>
        <w:rPr>
          <w:spacing w:val="1"/>
        </w:rPr>
        <w:t xml:space="preserve"> </w:t>
      </w:r>
      <w:r>
        <w:t>spatial</w:t>
      </w:r>
      <w:r>
        <w:rPr>
          <w:spacing w:val="-4"/>
        </w:rPr>
        <w:t xml:space="preserve"> </w:t>
      </w:r>
      <w:r>
        <w:t>data</w:t>
      </w:r>
      <w:r>
        <w:rPr>
          <w:spacing w:val="-2"/>
        </w:rPr>
        <w:t xml:space="preserve"> </w:t>
      </w:r>
      <w:r>
        <w:t>infrastructure which</w:t>
      </w:r>
      <w:r>
        <w:rPr>
          <w:spacing w:val="-1"/>
        </w:rPr>
        <w:t xml:space="preserve"> </w:t>
      </w:r>
      <w:r>
        <w:t>is</w:t>
      </w:r>
      <w:r>
        <w:rPr>
          <w:spacing w:val="-3"/>
        </w:rPr>
        <w:t xml:space="preserve"> </w:t>
      </w:r>
      <w:r>
        <w:t>an</w:t>
      </w:r>
      <w:r>
        <w:rPr>
          <w:spacing w:val="-3"/>
        </w:rPr>
        <w:t xml:space="preserve"> </w:t>
      </w:r>
      <w:r>
        <w:t>extension</w:t>
      </w:r>
      <w:r>
        <w:rPr>
          <w:spacing w:val="-3"/>
        </w:rPr>
        <w:t xml:space="preserve"> </w:t>
      </w:r>
      <w:r>
        <w:t>of the</w:t>
      </w:r>
      <w:r>
        <w:rPr>
          <w:spacing w:val="-3"/>
        </w:rPr>
        <w:t xml:space="preserve"> </w:t>
      </w:r>
      <w:r>
        <w:t>National</w:t>
      </w:r>
      <w:r>
        <w:rPr>
          <w:spacing w:val="-3"/>
        </w:rPr>
        <w:t xml:space="preserve"> </w:t>
      </w:r>
      <w:r>
        <w:t>Spatial</w:t>
      </w:r>
      <w:r>
        <w:rPr>
          <w:spacing w:val="-3"/>
        </w:rPr>
        <w:t xml:space="preserve"> </w:t>
      </w:r>
      <w:r>
        <w:t>Data</w:t>
      </w:r>
      <w:r>
        <w:rPr>
          <w:spacing w:val="-1"/>
        </w:rPr>
        <w:t xml:space="preserve"> </w:t>
      </w:r>
      <w:r>
        <w:t>Infrastructure.</w:t>
      </w:r>
    </w:p>
    <w:p w14:paraId="27C1535F" w14:textId="77777777" w:rsidR="00A33CFE" w:rsidRDefault="00A33CFE">
      <w:pPr>
        <w:pStyle w:val="BodyText"/>
        <w:spacing w:before="5"/>
        <w:rPr>
          <w:sz w:val="19"/>
        </w:rPr>
      </w:pPr>
    </w:p>
    <w:p w14:paraId="3EA81B42" w14:textId="77777777" w:rsidR="00A33CFE" w:rsidRDefault="00645A44">
      <w:pPr>
        <w:pStyle w:val="Heading1"/>
      </w:pPr>
      <w:bookmarkStart w:id="1" w:name="_Toc69309749"/>
      <w:r>
        <w:t>Stewardship</w:t>
      </w:r>
      <w:r>
        <w:rPr>
          <w:spacing w:val="-6"/>
        </w:rPr>
        <w:t xml:space="preserve"> </w:t>
      </w:r>
      <w:r>
        <w:t>Classification</w:t>
      </w:r>
      <w:bookmarkEnd w:id="1"/>
    </w:p>
    <w:p w14:paraId="522A9236" w14:textId="6F445D80" w:rsidR="00A33CFE" w:rsidRDefault="00645A44">
      <w:pPr>
        <w:pStyle w:val="BodyText"/>
        <w:spacing w:before="62"/>
        <w:ind w:left="140" w:right="1374"/>
      </w:pPr>
      <w:r>
        <w:t xml:space="preserve">This stewardship plan is for the life-cycle management of the </w:t>
      </w:r>
      <w:r w:rsidR="00396EED">
        <w:t xml:space="preserve">OSHD </w:t>
      </w:r>
      <w:r>
        <w:rPr>
          <w:spacing w:val="-52"/>
        </w:rPr>
        <w:t xml:space="preserve"> </w:t>
      </w:r>
      <w:r>
        <w:t>framework</w:t>
      </w:r>
      <w:r>
        <w:rPr>
          <w:spacing w:val="-2"/>
        </w:rPr>
        <w:t xml:space="preserve"> </w:t>
      </w:r>
      <w:r>
        <w:t>element</w:t>
      </w:r>
      <w:r>
        <w:rPr>
          <w:spacing w:val="2"/>
        </w:rPr>
        <w:t xml:space="preserve"> </w:t>
      </w:r>
      <w:r>
        <w:t>of</w:t>
      </w:r>
      <w:r>
        <w:rPr>
          <w:spacing w:val="-1"/>
        </w:rPr>
        <w:t xml:space="preserve"> </w:t>
      </w:r>
      <w:r>
        <w:t>the</w:t>
      </w:r>
      <w:r>
        <w:rPr>
          <w:spacing w:val="1"/>
        </w:rPr>
        <w:t xml:space="preserve"> </w:t>
      </w:r>
      <w:r w:rsidR="00396EED">
        <w:t>Hazards</w:t>
      </w:r>
      <w:r>
        <w:rPr>
          <w:spacing w:val="-1"/>
        </w:rPr>
        <w:t xml:space="preserve"> </w:t>
      </w:r>
      <w:r>
        <w:t>theme.</w:t>
      </w:r>
    </w:p>
    <w:p w14:paraId="4637F649" w14:textId="77777777" w:rsidR="00A33CFE" w:rsidRDefault="00A33CFE">
      <w:pPr>
        <w:pStyle w:val="BodyText"/>
      </w:pPr>
    </w:p>
    <w:p w14:paraId="6BF03219" w14:textId="756A017B" w:rsidR="00A33CFE" w:rsidRDefault="00645A44">
      <w:pPr>
        <w:pStyle w:val="BodyText"/>
        <w:ind w:left="140"/>
      </w:pPr>
      <w:r>
        <w:t>This</w:t>
      </w:r>
      <w:r>
        <w:rPr>
          <w:spacing w:val="-2"/>
        </w:rPr>
        <w:t xml:space="preserve"> </w:t>
      </w:r>
      <w:r>
        <w:t>is</w:t>
      </w:r>
      <w:r>
        <w:rPr>
          <w:spacing w:val="-1"/>
        </w:rPr>
        <w:t xml:space="preserve"> </w:t>
      </w:r>
      <w:r>
        <w:t>a</w:t>
      </w:r>
      <w:r>
        <w:rPr>
          <w:spacing w:val="-3"/>
        </w:rPr>
        <w:t xml:space="preserve"> </w:t>
      </w:r>
      <w:r>
        <w:t>Class</w:t>
      </w:r>
      <w:r>
        <w:rPr>
          <w:spacing w:val="-1"/>
        </w:rPr>
        <w:t xml:space="preserve"> </w:t>
      </w:r>
      <w:r w:rsidR="00396EED">
        <w:t>C</w:t>
      </w:r>
      <w:r>
        <w:rPr>
          <w:spacing w:val="-1"/>
        </w:rPr>
        <w:t xml:space="preserve"> </w:t>
      </w:r>
      <w:r>
        <w:t>Stewardship</w:t>
      </w:r>
      <w:r>
        <w:rPr>
          <w:spacing w:val="-2"/>
        </w:rPr>
        <w:t xml:space="preserve"> </w:t>
      </w:r>
      <w:r>
        <w:t>Plan</w:t>
      </w:r>
      <w:r>
        <w:rPr>
          <w:spacing w:val="-2"/>
        </w:rPr>
        <w:t xml:space="preserve"> </w:t>
      </w:r>
      <w:r>
        <w:t>because</w:t>
      </w:r>
      <w:r>
        <w:rPr>
          <w:spacing w:val="-3"/>
        </w:rPr>
        <w:t xml:space="preserve"> </w:t>
      </w:r>
      <w:r>
        <w:t>this</w:t>
      </w:r>
      <w:r>
        <w:rPr>
          <w:spacing w:val="-3"/>
        </w:rPr>
        <w:t xml:space="preserve"> </w:t>
      </w:r>
      <w:r>
        <w:t>data</w:t>
      </w:r>
      <w:r>
        <w:rPr>
          <w:spacing w:val="-1"/>
        </w:rPr>
        <w:t xml:space="preserve"> </w:t>
      </w:r>
      <w:r>
        <w:t>element:</w:t>
      </w:r>
    </w:p>
    <w:p w14:paraId="78BED247" w14:textId="77777777" w:rsidR="00A33CFE" w:rsidRDefault="00A33CFE">
      <w:pPr>
        <w:pStyle w:val="BodyText"/>
        <w:spacing w:before="11"/>
        <w:rPr>
          <w:sz w:val="23"/>
        </w:rPr>
      </w:pPr>
    </w:p>
    <w:p w14:paraId="4B95EEE5" w14:textId="532B2AF1" w:rsidR="00A33CFE" w:rsidRDefault="00645A44">
      <w:pPr>
        <w:pStyle w:val="ListParagraph"/>
        <w:numPr>
          <w:ilvl w:val="0"/>
          <w:numId w:val="6"/>
        </w:numPr>
        <w:tabs>
          <w:tab w:val="left" w:pos="920"/>
          <w:tab w:val="left" w:pos="921"/>
        </w:tabs>
        <w:spacing w:before="1"/>
        <w:ind w:left="920" w:hanging="361"/>
        <w:rPr>
          <w:sz w:val="24"/>
        </w:rPr>
      </w:pPr>
      <w:r>
        <w:rPr>
          <w:sz w:val="24"/>
        </w:rPr>
        <w:t>has</w:t>
      </w:r>
      <w:r>
        <w:rPr>
          <w:spacing w:val="-2"/>
          <w:sz w:val="24"/>
        </w:rPr>
        <w:t xml:space="preserve"> </w:t>
      </w:r>
      <w:r>
        <w:rPr>
          <w:sz w:val="24"/>
        </w:rPr>
        <w:t>multiple</w:t>
      </w:r>
      <w:r>
        <w:rPr>
          <w:spacing w:val="-2"/>
          <w:sz w:val="24"/>
        </w:rPr>
        <w:t xml:space="preserve"> </w:t>
      </w:r>
      <w:r>
        <w:rPr>
          <w:sz w:val="24"/>
        </w:rPr>
        <w:t>data</w:t>
      </w:r>
      <w:r>
        <w:rPr>
          <w:spacing w:val="-3"/>
          <w:sz w:val="24"/>
        </w:rPr>
        <w:t xml:space="preserve"> </w:t>
      </w:r>
      <w:r>
        <w:rPr>
          <w:sz w:val="24"/>
        </w:rPr>
        <w:t>sources</w:t>
      </w:r>
      <w:r>
        <w:rPr>
          <w:spacing w:val="-1"/>
          <w:sz w:val="24"/>
        </w:rPr>
        <w:t xml:space="preserve"> </w:t>
      </w:r>
      <w:r w:rsidR="00396EED">
        <w:rPr>
          <w:sz w:val="24"/>
        </w:rPr>
        <w:t>that are collected and processed by a single state agency,</w:t>
      </w:r>
    </w:p>
    <w:p w14:paraId="51FA9FD5" w14:textId="13F32799" w:rsidR="00A33CFE" w:rsidRDefault="00645A44">
      <w:pPr>
        <w:pStyle w:val="ListParagraph"/>
        <w:numPr>
          <w:ilvl w:val="0"/>
          <w:numId w:val="6"/>
        </w:numPr>
        <w:tabs>
          <w:tab w:val="left" w:pos="920"/>
          <w:tab w:val="left" w:pos="921"/>
        </w:tabs>
        <w:spacing w:before="1" w:line="305" w:lineRule="exact"/>
        <w:ind w:left="920" w:hanging="361"/>
        <w:rPr>
          <w:sz w:val="24"/>
        </w:rPr>
      </w:pPr>
      <w:r>
        <w:rPr>
          <w:sz w:val="24"/>
        </w:rPr>
        <w:t>has</w:t>
      </w:r>
      <w:r>
        <w:rPr>
          <w:spacing w:val="-3"/>
          <w:sz w:val="24"/>
        </w:rPr>
        <w:t xml:space="preserve"> </w:t>
      </w:r>
      <w:r>
        <w:rPr>
          <w:sz w:val="24"/>
        </w:rPr>
        <w:t>attributes</w:t>
      </w:r>
      <w:r>
        <w:rPr>
          <w:spacing w:val="-1"/>
          <w:sz w:val="24"/>
        </w:rPr>
        <w:t xml:space="preserve"> </w:t>
      </w:r>
      <w:r>
        <w:rPr>
          <w:sz w:val="24"/>
        </w:rPr>
        <w:t>and/or</w:t>
      </w:r>
      <w:r>
        <w:rPr>
          <w:spacing w:val="-3"/>
          <w:sz w:val="24"/>
        </w:rPr>
        <w:t xml:space="preserve"> </w:t>
      </w:r>
      <w:r>
        <w:rPr>
          <w:sz w:val="24"/>
        </w:rPr>
        <w:t>features</w:t>
      </w:r>
      <w:r>
        <w:rPr>
          <w:spacing w:val="-4"/>
          <w:sz w:val="24"/>
        </w:rPr>
        <w:t xml:space="preserve"> </w:t>
      </w:r>
      <w:r>
        <w:rPr>
          <w:sz w:val="24"/>
        </w:rPr>
        <w:t>that</w:t>
      </w:r>
      <w:r>
        <w:rPr>
          <w:spacing w:val="-3"/>
          <w:sz w:val="24"/>
        </w:rPr>
        <w:t xml:space="preserve"> </w:t>
      </w:r>
      <w:r>
        <w:rPr>
          <w:sz w:val="24"/>
        </w:rPr>
        <w:t>change</w:t>
      </w:r>
      <w:r>
        <w:rPr>
          <w:spacing w:val="-5"/>
          <w:sz w:val="24"/>
        </w:rPr>
        <w:t xml:space="preserve"> </w:t>
      </w:r>
      <w:r w:rsidR="003A75B8">
        <w:rPr>
          <w:spacing w:val="-5"/>
          <w:sz w:val="24"/>
        </w:rPr>
        <w:t>in</w:t>
      </w:r>
      <w:r>
        <w:rPr>
          <w:sz w:val="24"/>
        </w:rPr>
        <w:t>frequently,</w:t>
      </w:r>
    </w:p>
    <w:p w14:paraId="16D283A6" w14:textId="5D4159DF" w:rsidR="00A33CFE" w:rsidRDefault="003A75B8">
      <w:pPr>
        <w:pStyle w:val="ListParagraph"/>
        <w:numPr>
          <w:ilvl w:val="0"/>
          <w:numId w:val="6"/>
        </w:numPr>
        <w:tabs>
          <w:tab w:val="left" w:pos="920"/>
          <w:tab w:val="left" w:pos="921"/>
        </w:tabs>
        <w:spacing w:line="305" w:lineRule="exact"/>
        <w:ind w:left="920" w:hanging="361"/>
        <w:rPr>
          <w:sz w:val="24"/>
        </w:rPr>
      </w:pPr>
      <w:r>
        <w:rPr>
          <w:sz w:val="24"/>
        </w:rPr>
        <w:t>has a low</w:t>
      </w:r>
      <w:r w:rsidR="00645A44">
        <w:rPr>
          <w:spacing w:val="-2"/>
          <w:sz w:val="24"/>
        </w:rPr>
        <w:t xml:space="preserve"> </w:t>
      </w:r>
      <w:r w:rsidR="00645A44">
        <w:rPr>
          <w:sz w:val="24"/>
        </w:rPr>
        <w:t>level of</w:t>
      </w:r>
      <w:r w:rsidR="00645A44">
        <w:rPr>
          <w:spacing w:val="-2"/>
          <w:sz w:val="24"/>
        </w:rPr>
        <w:t xml:space="preserve"> </w:t>
      </w:r>
      <w:r w:rsidR="00645A44">
        <w:rPr>
          <w:sz w:val="24"/>
        </w:rPr>
        <w:t>dependency</w:t>
      </w:r>
      <w:r w:rsidR="00645A44">
        <w:rPr>
          <w:spacing w:val="-1"/>
          <w:sz w:val="24"/>
        </w:rPr>
        <w:t xml:space="preserve"> </w:t>
      </w:r>
      <w:r w:rsidR="00645A44">
        <w:rPr>
          <w:sz w:val="24"/>
        </w:rPr>
        <w:t>by</w:t>
      </w:r>
      <w:r w:rsidR="00645A44">
        <w:rPr>
          <w:spacing w:val="-1"/>
          <w:sz w:val="24"/>
        </w:rPr>
        <w:t xml:space="preserve"> </w:t>
      </w:r>
      <w:r w:rsidR="00645A44">
        <w:rPr>
          <w:sz w:val="24"/>
        </w:rPr>
        <w:t>other Framework</w:t>
      </w:r>
      <w:r w:rsidR="00645A44">
        <w:rPr>
          <w:spacing w:val="-4"/>
          <w:sz w:val="24"/>
        </w:rPr>
        <w:t xml:space="preserve"> </w:t>
      </w:r>
      <w:r w:rsidR="00645A44">
        <w:rPr>
          <w:sz w:val="24"/>
        </w:rPr>
        <w:t>data</w:t>
      </w:r>
      <w:r w:rsidR="00645A44">
        <w:rPr>
          <w:spacing w:val="-3"/>
          <w:sz w:val="24"/>
        </w:rPr>
        <w:t xml:space="preserve"> </w:t>
      </w:r>
      <w:r w:rsidR="00645A44">
        <w:rPr>
          <w:sz w:val="24"/>
        </w:rPr>
        <w:t>elements,</w:t>
      </w:r>
      <w:r w:rsidR="00645A44">
        <w:rPr>
          <w:spacing w:val="-3"/>
          <w:sz w:val="24"/>
        </w:rPr>
        <w:t xml:space="preserve"> </w:t>
      </w:r>
      <w:r w:rsidR="00645A44">
        <w:rPr>
          <w:sz w:val="24"/>
        </w:rPr>
        <w:t>and</w:t>
      </w:r>
    </w:p>
    <w:p w14:paraId="251145E8" w14:textId="77777777" w:rsidR="00A33CFE" w:rsidRDefault="00645A44">
      <w:pPr>
        <w:pStyle w:val="ListParagraph"/>
        <w:numPr>
          <w:ilvl w:val="0"/>
          <w:numId w:val="6"/>
        </w:numPr>
        <w:tabs>
          <w:tab w:val="left" w:pos="920"/>
          <w:tab w:val="left" w:pos="921"/>
        </w:tabs>
        <w:spacing w:before="2"/>
        <w:ind w:left="920" w:hanging="361"/>
        <w:rPr>
          <w:sz w:val="24"/>
        </w:rPr>
      </w:pPr>
      <w:r>
        <w:rPr>
          <w:sz w:val="24"/>
        </w:rPr>
        <w:t>is</w:t>
      </w:r>
      <w:r>
        <w:rPr>
          <w:spacing w:val="-2"/>
          <w:sz w:val="24"/>
        </w:rPr>
        <w:t xml:space="preserve"> </w:t>
      </w:r>
      <w:r>
        <w:rPr>
          <w:sz w:val="24"/>
        </w:rPr>
        <w:t>not a</w:t>
      </w:r>
      <w:r>
        <w:rPr>
          <w:spacing w:val="-1"/>
          <w:sz w:val="24"/>
        </w:rPr>
        <w:t xml:space="preserve"> </w:t>
      </w:r>
      <w:r>
        <w:rPr>
          <w:sz w:val="24"/>
        </w:rPr>
        <w:t>Base</w:t>
      </w:r>
      <w:r>
        <w:rPr>
          <w:spacing w:val="-4"/>
          <w:sz w:val="24"/>
        </w:rPr>
        <w:t xml:space="preserve"> </w:t>
      </w:r>
      <w:r>
        <w:rPr>
          <w:sz w:val="24"/>
        </w:rPr>
        <w:t>Map element as</w:t>
      </w:r>
      <w:r>
        <w:rPr>
          <w:spacing w:val="-4"/>
          <w:sz w:val="24"/>
        </w:rPr>
        <w:t xml:space="preserve"> </w:t>
      </w:r>
      <w:r>
        <w:rPr>
          <w:sz w:val="24"/>
        </w:rPr>
        <w:t>defined</w:t>
      </w:r>
      <w:r>
        <w:rPr>
          <w:spacing w:val="-1"/>
          <w:sz w:val="24"/>
        </w:rPr>
        <w:t xml:space="preserve"> </w:t>
      </w:r>
      <w:r>
        <w:rPr>
          <w:sz w:val="24"/>
        </w:rPr>
        <w:t>by</w:t>
      </w:r>
      <w:r>
        <w:rPr>
          <w:spacing w:val="-3"/>
          <w:sz w:val="24"/>
        </w:rPr>
        <w:t xml:space="preserve"> </w:t>
      </w:r>
      <w:r>
        <w:rPr>
          <w:sz w:val="24"/>
        </w:rPr>
        <w:t>the</w:t>
      </w:r>
      <w:r>
        <w:rPr>
          <w:spacing w:val="-3"/>
          <w:sz w:val="24"/>
        </w:rPr>
        <w:t xml:space="preserve"> </w:t>
      </w:r>
      <w:r>
        <w:rPr>
          <w:sz w:val="24"/>
        </w:rPr>
        <w:t>Framework</w:t>
      </w:r>
      <w:r>
        <w:rPr>
          <w:spacing w:val="-2"/>
          <w:sz w:val="24"/>
        </w:rPr>
        <w:t xml:space="preserve"> </w:t>
      </w:r>
      <w:r>
        <w:rPr>
          <w:sz w:val="24"/>
        </w:rPr>
        <w:t>Program.</w:t>
      </w:r>
    </w:p>
    <w:p w14:paraId="22B39D84" w14:textId="77777777" w:rsidR="00A33CFE" w:rsidRDefault="00A33CFE">
      <w:pPr>
        <w:pStyle w:val="BodyText"/>
        <w:spacing w:before="11"/>
        <w:rPr>
          <w:sz w:val="23"/>
        </w:rPr>
      </w:pPr>
    </w:p>
    <w:p w14:paraId="5FAE8853" w14:textId="78F53580" w:rsidR="00A33CFE" w:rsidRDefault="00645A44">
      <w:pPr>
        <w:pStyle w:val="BodyText"/>
        <w:ind w:left="140" w:right="616"/>
      </w:pPr>
      <w:r>
        <w:t xml:space="preserve">Therefore, this element requires a </w:t>
      </w:r>
      <w:r w:rsidR="003A75B8">
        <w:t>low</w:t>
      </w:r>
      <w:r>
        <w:t xml:space="preserve"> degree of formality and documentation for stewardship.</w:t>
      </w:r>
    </w:p>
    <w:p w14:paraId="45B0BAE8" w14:textId="77777777" w:rsidR="00A33CFE" w:rsidRDefault="00A33CFE">
      <w:pPr>
        <w:pStyle w:val="BodyText"/>
      </w:pPr>
    </w:p>
    <w:p w14:paraId="27FF3F8F" w14:textId="77777777" w:rsidR="00A33CFE" w:rsidRDefault="00A33CFE">
      <w:pPr>
        <w:pStyle w:val="BodyText"/>
        <w:spacing w:before="5"/>
        <w:rPr>
          <w:sz w:val="19"/>
        </w:rPr>
      </w:pPr>
    </w:p>
    <w:p w14:paraId="06360C4C" w14:textId="77777777" w:rsidR="00A33CFE" w:rsidRDefault="00645A44">
      <w:pPr>
        <w:pStyle w:val="Heading1"/>
      </w:pPr>
      <w:bookmarkStart w:id="2" w:name="_Toc69309750"/>
      <w:r>
        <w:t>Framework</w:t>
      </w:r>
      <w:r>
        <w:rPr>
          <w:spacing w:val="-4"/>
        </w:rPr>
        <w:t xml:space="preserve"> </w:t>
      </w:r>
      <w:r>
        <w:t>Element</w:t>
      </w:r>
      <w:r>
        <w:rPr>
          <w:spacing w:val="-1"/>
        </w:rPr>
        <w:t xml:space="preserve"> </w:t>
      </w:r>
      <w:r>
        <w:t>Steward</w:t>
      </w:r>
      <w:bookmarkEnd w:id="2"/>
    </w:p>
    <w:p w14:paraId="62826DB0" w14:textId="1E2C3417" w:rsidR="00A33CFE" w:rsidRDefault="00645A44">
      <w:pPr>
        <w:spacing w:before="63"/>
        <w:ind w:left="140"/>
        <w:rPr>
          <w:sz w:val="24"/>
        </w:rPr>
      </w:pPr>
      <w:r>
        <w:rPr>
          <w:b/>
          <w:sz w:val="24"/>
        </w:rPr>
        <w:t>Agency</w:t>
      </w:r>
      <w:r>
        <w:rPr>
          <w:b/>
          <w:spacing w:val="-4"/>
          <w:sz w:val="24"/>
        </w:rPr>
        <w:t xml:space="preserve"> </w:t>
      </w:r>
      <w:r>
        <w:rPr>
          <w:b/>
          <w:sz w:val="24"/>
        </w:rPr>
        <w:t>or</w:t>
      </w:r>
      <w:r>
        <w:rPr>
          <w:b/>
          <w:spacing w:val="-1"/>
          <w:sz w:val="24"/>
        </w:rPr>
        <w:t xml:space="preserve"> </w:t>
      </w:r>
      <w:r>
        <w:rPr>
          <w:b/>
          <w:sz w:val="24"/>
        </w:rPr>
        <w:t>organization:</w:t>
      </w:r>
      <w:r>
        <w:rPr>
          <w:b/>
          <w:spacing w:val="52"/>
          <w:sz w:val="24"/>
        </w:rPr>
        <w:t xml:space="preserve"> </w:t>
      </w:r>
      <w:r>
        <w:rPr>
          <w:sz w:val="24"/>
        </w:rPr>
        <w:t>Oregon</w:t>
      </w:r>
      <w:r>
        <w:rPr>
          <w:spacing w:val="-3"/>
          <w:sz w:val="24"/>
        </w:rPr>
        <w:t xml:space="preserve"> </w:t>
      </w:r>
      <w:r>
        <w:rPr>
          <w:sz w:val="24"/>
        </w:rPr>
        <w:t>Department</w:t>
      </w:r>
      <w:r>
        <w:rPr>
          <w:spacing w:val="-2"/>
          <w:sz w:val="24"/>
        </w:rPr>
        <w:t xml:space="preserve"> </w:t>
      </w:r>
      <w:r>
        <w:rPr>
          <w:sz w:val="24"/>
        </w:rPr>
        <w:t>of</w:t>
      </w:r>
      <w:r>
        <w:rPr>
          <w:spacing w:val="2"/>
          <w:sz w:val="24"/>
        </w:rPr>
        <w:t xml:space="preserve"> </w:t>
      </w:r>
      <w:r w:rsidR="0094257C">
        <w:rPr>
          <w:sz w:val="24"/>
        </w:rPr>
        <w:t>Geology and Mineral Industries (DOGAMI)</w:t>
      </w:r>
    </w:p>
    <w:p w14:paraId="40B6EDFA" w14:textId="015D8571" w:rsidR="00A33CFE" w:rsidRDefault="0094257C">
      <w:pPr>
        <w:pStyle w:val="BodyText"/>
        <w:ind w:left="140"/>
      </w:pPr>
      <w:r>
        <w:t>DOGAMI</w:t>
      </w:r>
      <w:r w:rsidR="00645A44">
        <w:rPr>
          <w:spacing w:val="-2"/>
        </w:rPr>
        <w:t xml:space="preserve"> </w:t>
      </w:r>
      <w:r w:rsidR="00645A44">
        <w:t>serves</w:t>
      </w:r>
      <w:r w:rsidR="00645A44">
        <w:rPr>
          <w:spacing w:val="-2"/>
        </w:rPr>
        <w:t xml:space="preserve"> </w:t>
      </w:r>
      <w:r w:rsidR="00645A44">
        <w:t>as</w:t>
      </w:r>
      <w:r w:rsidR="00645A44">
        <w:rPr>
          <w:spacing w:val="-4"/>
        </w:rPr>
        <w:t xml:space="preserve"> </w:t>
      </w:r>
      <w:r w:rsidR="00645A44">
        <w:t>the</w:t>
      </w:r>
      <w:r w:rsidR="00645A44">
        <w:rPr>
          <w:spacing w:val="-3"/>
        </w:rPr>
        <w:t xml:space="preserve"> </w:t>
      </w:r>
      <w:r w:rsidR="009D6BA2">
        <w:t>custodial</w:t>
      </w:r>
      <w:r w:rsidR="00645A44">
        <w:rPr>
          <w:spacing w:val="-2"/>
        </w:rPr>
        <w:t xml:space="preserve"> </w:t>
      </w:r>
      <w:r w:rsidR="00645A44">
        <w:t>steward</w:t>
      </w:r>
      <w:r w:rsidR="00645A44">
        <w:rPr>
          <w:spacing w:val="-4"/>
        </w:rPr>
        <w:t xml:space="preserve"> </w:t>
      </w:r>
      <w:r w:rsidR="00645A44">
        <w:t>of</w:t>
      </w:r>
      <w:r w:rsidR="00645A44">
        <w:rPr>
          <w:spacing w:val="-3"/>
        </w:rPr>
        <w:t xml:space="preserve"> </w:t>
      </w:r>
      <w:r w:rsidR="00645A44">
        <w:t>the</w:t>
      </w:r>
      <w:r w:rsidR="00645A44">
        <w:rPr>
          <w:spacing w:val="-1"/>
        </w:rPr>
        <w:t xml:space="preserve"> </w:t>
      </w:r>
      <w:r w:rsidR="009D6BA2">
        <w:t>OSHD</w:t>
      </w:r>
      <w:r w:rsidR="00645A44">
        <w:rPr>
          <w:spacing w:val="-2"/>
        </w:rPr>
        <w:t xml:space="preserve"> </w:t>
      </w:r>
      <w:r w:rsidR="00645A44">
        <w:t>framework</w:t>
      </w:r>
      <w:r w:rsidR="00645A44">
        <w:rPr>
          <w:spacing w:val="-2"/>
        </w:rPr>
        <w:t xml:space="preserve"> </w:t>
      </w:r>
      <w:r w:rsidR="00645A44">
        <w:t>element.</w:t>
      </w:r>
      <w:r w:rsidR="009D6BA2">
        <w:t xml:space="preserve"> There are no horizontal or vertical stewards.</w:t>
      </w:r>
    </w:p>
    <w:p w14:paraId="44D45F05" w14:textId="77777777" w:rsidR="00A33CFE" w:rsidRDefault="00A33CFE">
      <w:pPr>
        <w:pStyle w:val="BodyText"/>
        <w:spacing w:before="2"/>
      </w:pPr>
    </w:p>
    <w:p w14:paraId="45B513D1" w14:textId="77777777" w:rsidR="00A33CFE" w:rsidRDefault="00645A44">
      <w:pPr>
        <w:pStyle w:val="Heading1"/>
      </w:pPr>
      <w:bookmarkStart w:id="3" w:name="_Toc69309751"/>
      <w:r>
        <w:t>Data</w:t>
      </w:r>
      <w:r>
        <w:rPr>
          <w:spacing w:val="-4"/>
        </w:rPr>
        <w:t xml:space="preserve"> </w:t>
      </w:r>
      <w:r>
        <w:t>Description</w:t>
      </w:r>
      <w:bookmarkEnd w:id="3"/>
    </w:p>
    <w:p w14:paraId="01677030" w14:textId="1CD3C694" w:rsidR="0094257C" w:rsidRDefault="00645A44" w:rsidP="0094257C">
      <w:pPr>
        <w:pStyle w:val="BodyText"/>
        <w:spacing w:before="63"/>
        <w:ind w:left="140" w:right="523"/>
      </w:pPr>
      <w:r>
        <w:t xml:space="preserve">The </w:t>
      </w:r>
      <w:r w:rsidR="0094257C">
        <w:t>OSHD includes three general types of seismic hazard data</w:t>
      </w:r>
      <w:r w:rsidR="0094257C" w:rsidRPr="00645A44">
        <w:rPr>
          <w:b/>
          <w:bCs/>
        </w:rPr>
        <w:t>.  Coseismic geohazard data layers</w:t>
      </w:r>
      <w:r w:rsidR="0094257C">
        <w:t xml:space="preserve"> describe physical properties intrinsic to a location that may influence the damaging effects of </w:t>
      </w:r>
      <w:r>
        <w:t>seismic</w:t>
      </w:r>
      <w:r w:rsidR="0094257C">
        <w:t xml:space="preserve"> shaking, including:</w:t>
      </w:r>
    </w:p>
    <w:p w14:paraId="2001586C" w14:textId="0375D1F1" w:rsidR="00A33CFE" w:rsidRDefault="0094257C" w:rsidP="0094257C">
      <w:pPr>
        <w:pStyle w:val="BodyText"/>
        <w:numPr>
          <w:ilvl w:val="0"/>
          <w:numId w:val="7"/>
        </w:numPr>
        <w:spacing w:before="63"/>
        <w:ind w:right="523"/>
      </w:pPr>
      <w:r>
        <w:t xml:space="preserve">Vs30 data (average shear wave velocity of the top 30 m) or NEHRP site class, which control the amplification of ground shaking. </w:t>
      </w:r>
    </w:p>
    <w:p w14:paraId="5A5C6CE2" w14:textId="6E06F4A1" w:rsidR="0094257C" w:rsidRDefault="0094257C" w:rsidP="0094257C">
      <w:pPr>
        <w:pStyle w:val="BodyText"/>
        <w:numPr>
          <w:ilvl w:val="0"/>
          <w:numId w:val="7"/>
        </w:numPr>
        <w:spacing w:before="63"/>
        <w:ind w:right="523"/>
      </w:pPr>
      <w:r>
        <w:t>Liquefaction susceptibility, which controls the tendency of loose saturated soil to liquefy and lose strength</w:t>
      </w:r>
      <w:r w:rsidR="00645A44">
        <w:t>.</w:t>
      </w:r>
    </w:p>
    <w:p w14:paraId="242172C3" w14:textId="2CCC9526" w:rsidR="0094257C" w:rsidRDefault="00645A44" w:rsidP="0094257C">
      <w:pPr>
        <w:pStyle w:val="BodyText"/>
        <w:numPr>
          <w:ilvl w:val="0"/>
          <w:numId w:val="7"/>
        </w:numPr>
        <w:spacing w:before="63"/>
        <w:ind w:right="523"/>
      </w:pPr>
      <w:r>
        <w:t>Coseismic Landslide susceptibility, which controls the tendency of slopes to fail during earthquake shaking.</w:t>
      </w:r>
    </w:p>
    <w:p w14:paraId="6B71835D" w14:textId="14E58296" w:rsidR="00645A44" w:rsidRDefault="00645A44" w:rsidP="00645A44">
      <w:pPr>
        <w:pStyle w:val="BodyText"/>
        <w:spacing w:before="63"/>
        <w:ind w:right="523"/>
      </w:pPr>
      <w:r>
        <w:t>Coseismic geohazard data are either measured directly (rarely) or inferred from geologic maps and/or topography.</w:t>
      </w:r>
      <w:r w:rsidR="009A4942">
        <w:t xml:space="preserve"> The current version of the OSHD includes data for NEHRP site Class, Liquefaction susceptibility Class, Landslide geologic material (a precursor to coseismic landslide susceptibility) and coseismic landslide susceptibility.</w:t>
      </w:r>
    </w:p>
    <w:p w14:paraId="5A2D4109" w14:textId="77777777" w:rsidR="009A4942" w:rsidRDefault="00645A44" w:rsidP="00645A44">
      <w:pPr>
        <w:pStyle w:val="BodyText"/>
        <w:spacing w:before="63"/>
        <w:ind w:right="523"/>
      </w:pPr>
      <w:r>
        <w:t>The second type of data includes modeled ground shaking data from either a probabilistic model (all likely sources of shaking are weighted and combined) or a deterministic or scenario model ( a single event or suite of related events are used).  Ground shaking data can be modeled for a wide range of parameters, but the most common are</w:t>
      </w:r>
      <w:r w:rsidR="009A4942">
        <w:t>:</w:t>
      </w:r>
      <w:r>
        <w:t xml:space="preserve"> </w:t>
      </w:r>
    </w:p>
    <w:p w14:paraId="781A312E" w14:textId="77777777" w:rsidR="009A4942" w:rsidRDefault="00645A44" w:rsidP="009A4942">
      <w:pPr>
        <w:pStyle w:val="BodyText"/>
        <w:numPr>
          <w:ilvl w:val="0"/>
          <w:numId w:val="8"/>
        </w:numPr>
        <w:spacing w:before="63"/>
        <w:ind w:right="523"/>
      </w:pPr>
      <w:r>
        <w:lastRenderedPageBreak/>
        <w:t>Peak Ground Acceleration</w:t>
      </w:r>
      <w:r w:rsidR="009A4942">
        <w:t xml:space="preserve"> (PGA)</w:t>
      </w:r>
      <w:r>
        <w:t xml:space="preserve">, </w:t>
      </w:r>
      <w:r w:rsidR="009A4942">
        <w:t>the highest instantaneous value of ground acceleration during an earthquake,</w:t>
      </w:r>
    </w:p>
    <w:p w14:paraId="682A8D32" w14:textId="5832B26E" w:rsidR="009A4942" w:rsidRDefault="00645A44" w:rsidP="009A4942">
      <w:pPr>
        <w:pStyle w:val="BodyText"/>
        <w:numPr>
          <w:ilvl w:val="0"/>
          <w:numId w:val="8"/>
        </w:numPr>
        <w:spacing w:before="63"/>
        <w:ind w:right="523"/>
      </w:pPr>
      <w:r>
        <w:t>Peak Ground Velocity</w:t>
      </w:r>
      <w:r w:rsidR="009A4942">
        <w:t xml:space="preserve"> (PGV)</w:t>
      </w:r>
      <w:r>
        <w:t xml:space="preserve">, </w:t>
      </w:r>
      <w:r w:rsidR="009A4942">
        <w:t>the highest instantaneous value of ground velocity during an earthquake,</w:t>
      </w:r>
    </w:p>
    <w:p w14:paraId="63799FA3" w14:textId="4F7AE593" w:rsidR="009A4942" w:rsidRDefault="009A4942" w:rsidP="009A4942">
      <w:pPr>
        <w:pStyle w:val="BodyText"/>
        <w:numPr>
          <w:ilvl w:val="0"/>
          <w:numId w:val="8"/>
        </w:numPr>
        <w:spacing w:before="63"/>
        <w:ind w:right="523"/>
      </w:pPr>
      <w:r>
        <w:t>S</w:t>
      </w:r>
      <w:r w:rsidR="00645A44">
        <w:t xml:space="preserve">pectral </w:t>
      </w:r>
      <w:r>
        <w:t>A</w:t>
      </w:r>
      <w:r w:rsidR="00645A44">
        <w:t>cceleration</w:t>
      </w:r>
      <w:r>
        <w:t xml:space="preserve"> (SA), the highest value of acceleration that would be experienced by an oscillator of a given period, </w:t>
      </w:r>
      <w:r w:rsidR="00645A44">
        <w:t xml:space="preserve"> values </w:t>
      </w:r>
      <w:r>
        <w:t xml:space="preserve">are usually provided </w:t>
      </w:r>
      <w:r w:rsidR="00645A44">
        <w:t xml:space="preserve">for a variety of periods.  </w:t>
      </w:r>
    </w:p>
    <w:p w14:paraId="5E7DEE9E" w14:textId="43CF7A8D" w:rsidR="00645A44" w:rsidRDefault="00645A44" w:rsidP="009A4942">
      <w:pPr>
        <w:pStyle w:val="BodyText"/>
        <w:spacing w:before="63"/>
        <w:ind w:right="523"/>
      </w:pPr>
      <w:r>
        <w:t>The primary source of probabilistic shaking data is the USGS National Seismic Hazard Map (NSHM) program which produces consistent nationwide maps on a regular update cycle.</w:t>
      </w:r>
    </w:p>
    <w:p w14:paraId="099D46B2" w14:textId="6654BD97" w:rsidR="009A4942" w:rsidRDefault="009A4942" w:rsidP="009A4942">
      <w:pPr>
        <w:pStyle w:val="BodyText"/>
        <w:spacing w:before="63"/>
        <w:ind w:right="523"/>
      </w:pPr>
      <w:r>
        <w:t xml:space="preserve">The current version of the OSHD contains data for PGA, PGV and SA at periods of 0.3, 0.5 and 1.0 seconds for both </w:t>
      </w:r>
      <w:r w:rsidR="003134C9">
        <w:t>the 2018 USGS NSHM probabilistic model and a 2020 model by the USGS for M 9 Cascadia Subduction zone earthquakes.</w:t>
      </w:r>
    </w:p>
    <w:p w14:paraId="06280025" w14:textId="21818DD6" w:rsidR="00645A44" w:rsidRDefault="00645A44" w:rsidP="00645A44">
      <w:pPr>
        <w:pStyle w:val="BodyText"/>
        <w:spacing w:before="63"/>
        <w:ind w:right="523"/>
      </w:pPr>
      <w:r>
        <w:t xml:space="preserve">The third type of data are derivative maps, generally combining ground shaking data with coseismic </w:t>
      </w:r>
      <w:r w:rsidR="009A4942">
        <w:t>geohazard layers to estimate the impacts of future seismic events.  In the current version of the OSHD they include</w:t>
      </w:r>
      <w:r w:rsidR="003134C9">
        <w:t>:</w:t>
      </w:r>
    </w:p>
    <w:p w14:paraId="022B07E3" w14:textId="6C6192AD" w:rsidR="003134C9" w:rsidRDefault="003134C9" w:rsidP="003134C9">
      <w:pPr>
        <w:pStyle w:val="BodyText"/>
        <w:numPr>
          <w:ilvl w:val="0"/>
          <w:numId w:val="9"/>
        </w:numPr>
        <w:spacing w:before="63"/>
        <w:ind w:right="523"/>
      </w:pPr>
      <w:r>
        <w:t>Probability of liquefaction</w:t>
      </w:r>
    </w:p>
    <w:p w14:paraId="7644F70C" w14:textId="63E6D8D5" w:rsidR="003134C9" w:rsidRDefault="003134C9" w:rsidP="003134C9">
      <w:pPr>
        <w:pStyle w:val="BodyText"/>
        <w:numPr>
          <w:ilvl w:val="0"/>
          <w:numId w:val="9"/>
        </w:numPr>
        <w:spacing w:before="63"/>
        <w:ind w:right="523"/>
      </w:pPr>
      <w:r>
        <w:t>Permanent Ground Deformation (PGD) due to lateral spreading caused by liquefaction</w:t>
      </w:r>
    </w:p>
    <w:p w14:paraId="2A19562C" w14:textId="394EEE6F" w:rsidR="003134C9" w:rsidRDefault="003134C9" w:rsidP="003134C9">
      <w:pPr>
        <w:pStyle w:val="BodyText"/>
        <w:numPr>
          <w:ilvl w:val="0"/>
          <w:numId w:val="9"/>
        </w:numPr>
        <w:spacing w:before="63"/>
        <w:ind w:right="523"/>
      </w:pPr>
      <w:r>
        <w:t>Probability of coseismic landsliding (wet and dry conditions)</w:t>
      </w:r>
    </w:p>
    <w:p w14:paraId="241DFD7B" w14:textId="3C1902EE" w:rsidR="003134C9" w:rsidRDefault="003134C9" w:rsidP="003134C9">
      <w:pPr>
        <w:pStyle w:val="BodyText"/>
        <w:numPr>
          <w:ilvl w:val="0"/>
          <w:numId w:val="9"/>
        </w:numPr>
        <w:spacing w:before="63"/>
        <w:ind w:right="523"/>
      </w:pPr>
      <w:r>
        <w:t>Permanent Ground Deformation (PGD) due to coseismic landsliding (wet and dry conditions)</w:t>
      </w:r>
    </w:p>
    <w:p w14:paraId="26923C81" w14:textId="5BFDD6DB" w:rsidR="003134C9" w:rsidRDefault="003134C9" w:rsidP="003134C9">
      <w:pPr>
        <w:pStyle w:val="BodyText"/>
        <w:numPr>
          <w:ilvl w:val="0"/>
          <w:numId w:val="9"/>
        </w:numPr>
        <w:spacing w:before="63"/>
        <w:ind w:right="523"/>
      </w:pPr>
      <w:r>
        <w:t>Instrumental intensity, PGV for the probabilistic and Cascadia models expressed as Mercalli Intensity units, which describe earthquake strength qualitatively based on the effects on people, objects and structures,</w:t>
      </w:r>
    </w:p>
    <w:p w14:paraId="2152CE0F" w14:textId="34287649" w:rsidR="003134C9" w:rsidRDefault="003134C9" w:rsidP="003134C9">
      <w:pPr>
        <w:pStyle w:val="BodyText"/>
        <w:numPr>
          <w:ilvl w:val="0"/>
          <w:numId w:val="9"/>
        </w:numPr>
        <w:spacing w:before="63"/>
        <w:ind w:right="523"/>
      </w:pPr>
      <w:r>
        <w:t>Probability of damaging shaking from the probabilistic model, which shows the likelihood of experiencing Mercalli Intensity VII, the lowest level at which structural damage occurs.</w:t>
      </w:r>
    </w:p>
    <w:p w14:paraId="0F4EA97C" w14:textId="242B5992" w:rsidR="003134C9" w:rsidRDefault="008A0235" w:rsidP="003134C9">
      <w:pPr>
        <w:pStyle w:val="BodyText"/>
        <w:spacing w:before="63"/>
        <w:ind w:right="523"/>
      </w:pPr>
      <w:r>
        <w:t xml:space="preserve">All of the data described above is provided as rasters with a 30 m (98.4 ft) cell size in </w:t>
      </w:r>
      <w:r>
        <w:t>Oregon Lambert Projection NAD 83 2011 International feet (EPSG 2292)</w:t>
      </w:r>
      <w:r>
        <w:t>.</w:t>
      </w:r>
    </w:p>
    <w:p w14:paraId="7A8036E0" w14:textId="77777777" w:rsidR="009D6BA2" w:rsidRDefault="008A0235" w:rsidP="009D6BA2">
      <w:pPr>
        <w:pStyle w:val="BodyText"/>
        <w:spacing w:before="63"/>
        <w:ind w:right="523"/>
      </w:pPr>
      <w:r>
        <w:t>OSHD data primarily originate with DOGAMI or the USGS.</w:t>
      </w:r>
    </w:p>
    <w:p w14:paraId="03758574" w14:textId="77777777" w:rsidR="009D6BA2" w:rsidRDefault="009D6BA2" w:rsidP="009D6BA2">
      <w:pPr>
        <w:pStyle w:val="BodyText"/>
        <w:spacing w:before="63"/>
        <w:ind w:right="523"/>
      </w:pPr>
    </w:p>
    <w:p w14:paraId="515C2324" w14:textId="23C62491" w:rsidR="009D6BA2" w:rsidRPr="009D6BA2" w:rsidRDefault="00645A44" w:rsidP="009D6BA2">
      <w:pPr>
        <w:pStyle w:val="BodyText"/>
        <w:spacing w:before="63"/>
        <w:ind w:right="523"/>
      </w:pPr>
      <w:r>
        <w:pict w14:anchorId="5E1A6E2B">
          <v:rect id="_x0000_s2054" style="position:absolute;margin-left:54pt;margin-top:11.65pt;width:2in;height:.7pt;z-index:-15728640;mso-wrap-distance-left:0;mso-wrap-distance-right:0;mso-position-horizontal-relative:page" fillcolor="black" stroked="f">
            <w10:wrap type="topAndBottom" anchorx="page"/>
          </v:rect>
        </w:pict>
      </w:r>
    </w:p>
    <w:p w14:paraId="66EB441D" w14:textId="44A0369E" w:rsidR="00A33CFE" w:rsidRDefault="00645A44">
      <w:pPr>
        <w:pStyle w:val="Heading1"/>
      </w:pPr>
      <w:bookmarkStart w:id="4" w:name="_Toc69309752"/>
      <w:r>
        <w:t>Stewardship</w:t>
      </w:r>
      <w:r>
        <w:rPr>
          <w:spacing w:val="-9"/>
        </w:rPr>
        <w:t xml:space="preserve"> </w:t>
      </w:r>
      <w:r>
        <w:t>Approach</w:t>
      </w:r>
      <w:bookmarkEnd w:id="4"/>
    </w:p>
    <w:p w14:paraId="6AA10A90" w14:textId="77777777" w:rsidR="00A33CFE" w:rsidRDefault="00A33CFE">
      <w:pPr>
        <w:pStyle w:val="BodyText"/>
        <w:spacing w:before="11"/>
        <w:rPr>
          <w:rFonts w:ascii="Arial"/>
          <w:b/>
          <w:i/>
          <w:sz w:val="30"/>
        </w:rPr>
      </w:pPr>
    </w:p>
    <w:p w14:paraId="754FE79F" w14:textId="77777777" w:rsidR="00950D08" w:rsidRDefault="00645A44">
      <w:pPr>
        <w:pStyle w:val="BodyText"/>
        <w:ind w:left="140" w:right="473"/>
      </w:pPr>
      <w:r>
        <w:t xml:space="preserve">The </w:t>
      </w:r>
      <w:r w:rsidR="00950D08">
        <w:t xml:space="preserve">OSHD has its origin in a database that was developed for the Oregon Seismic Safety Policy Advisory Commission (OSSPAC) to support its 2013 Oregon Resilience Plan (ORP). The 2011 Legislature charged OSSPAC to produce a resilience plan that would estimate the impacts of a Magnitude 9 Cascadia Subduction Zone earthquake on Oregon and make recommendations as to how to mitigate those impacts.  DOGAMI provided a suite of coseismic geohazard, ground motion and derivative seismic hazard maps for OSSPAC to use to estimate the likely damage to structures and systems and evaluate recovery time.  DOGAMI published that data based as Open File Report O-13-06 (Madin and Burns, 2013).  </w:t>
      </w:r>
    </w:p>
    <w:p w14:paraId="006EF7B8" w14:textId="1360567A" w:rsidR="00324D85" w:rsidRDefault="00950D08">
      <w:pPr>
        <w:pStyle w:val="BodyText"/>
        <w:ind w:left="140" w:right="473"/>
      </w:pPr>
      <w:r>
        <w:t xml:space="preserve">Although O-13-06 included statewide maps for most of the included data, it was not a complete statewide seismic hazard database because it only used ground shaking from a single Cascadia M 9 model.  There are many other sources of potential </w:t>
      </w:r>
      <w:r w:rsidR="00324D85">
        <w:t>seismicity</w:t>
      </w:r>
      <w:r>
        <w:t xml:space="preserve"> in Oregon, particularly in eastern Oregon</w:t>
      </w:r>
      <w:r w:rsidR="00324D85">
        <w:t xml:space="preserve">, </w:t>
      </w:r>
      <w:r w:rsidR="00324D85">
        <w:lastRenderedPageBreak/>
        <w:t>so in the 2019-2021 biennium, DOGAMI applied for and was awarded funds from the DAS-GEO Framework development program to update O-13-06 and make it a true statewide dataset.  The result of that project is the first version of the Oregon seismic Hazard Database, published by DOGAMI in 2021 as OSHD 1.0 (Madin and others, 2021).</w:t>
      </w:r>
      <w:r w:rsidR="00CD07E7">
        <w:t xml:space="preserve"> The report accompanying the publication of OSHD 1.0 includes a detailed description of data sources and methods</w:t>
      </w:r>
      <w:r w:rsidR="006C06BD">
        <w:t xml:space="preserve"> and is included in this stewardship plan as Appendix A</w:t>
      </w:r>
      <w:r w:rsidR="00CD07E7">
        <w:t>.</w:t>
      </w:r>
    </w:p>
    <w:p w14:paraId="15ABDF4F" w14:textId="64299C12" w:rsidR="00CD07E7" w:rsidRDefault="00CD07E7">
      <w:pPr>
        <w:pStyle w:val="BodyText"/>
        <w:ind w:left="140" w:right="473"/>
      </w:pPr>
      <w:r>
        <w:t xml:space="preserve">No standard has been developed or proposed for this database.  The only standardized elements of the current dataset are the projection and raster format and cell size.  The raster format and cell size in turn reflect the resolution of the available data sets that are incorporated into the OSFD, which may change in the future as higher resolution input data becomes available. Similarly, many of the methods described in the OSHD 1.0 report are significantly different than those used in O-13-06, as new techniques, models and data sources were available.  </w:t>
      </w:r>
      <w:r w:rsidR="00B07427">
        <w:t>Therefore,</w:t>
      </w:r>
      <w:r>
        <w:t xml:space="preserve"> we propose that the data report for OSHD 1.0 be considered an informal standard for the OSHD dataset, which will likely be updated in the preparation of the next version. </w:t>
      </w:r>
    </w:p>
    <w:p w14:paraId="57777909" w14:textId="0AF83C66" w:rsidR="00B07427" w:rsidRDefault="000339D4">
      <w:pPr>
        <w:pStyle w:val="BodyText"/>
        <w:ind w:left="140" w:right="473"/>
      </w:pPr>
      <w:r>
        <w:t xml:space="preserve">Custodial </w:t>
      </w:r>
      <w:r w:rsidR="00B07427">
        <w:t>Stewardship for the OSHD will be the responsibility of DOGAMI, and will include:</w:t>
      </w:r>
    </w:p>
    <w:p w14:paraId="37923979" w14:textId="7F034581" w:rsidR="00B07427" w:rsidRDefault="00B07427" w:rsidP="00B07427">
      <w:pPr>
        <w:pStyle w:val="BodyText"/>
        <w:numPr>
          <w:ilvl w:val="0"/>
          <w:numId w:val="10"/>
        </w:numPr>
        <w:ind w:right="473"/>
      </w:pPr>
      <w:r>
        <w:t>Providing the current data to GEO for distribution through the Oregon Explorer platform,</w:t>
      </w:r>
    </w:p>
    <w:p w14:paraId="3B8E5F19" w14:textId="42E6B241" w:rsidR="00B07427" w:rsidRDefault="00B07427" w:rsidP="00B07427">
      <w:pPr>
        <w:pStyle w:val="BodyText"/>
        <w:numPr>
          <w:ilvl w:val="0"/>
          <w:numId w:val="10"/>
        </w:numPr>
        <w:ind w:right="473"/>
      </w:pPr>
      <w:r>
        <w:t>Providing free online access to the OSHD through DOGAMI’s publication website</w:t>
      </w:r>
      <w:r w:rsidR="000339D4">
        <w:t xml:space="preserve"> (</w:t>
      </w:r>
      <w:r w:rsidR="000339D4" w:rsidRPr="000339D4">
        <w:t>https://www.oregongeology.org/pubs/index.htm</w:t>
      </w:r>
      <w:r w:rsidR="000339D4">
        <w:t>),</w:t>
      </w:r>
    </w:p>
    <w:p w14:paraId="410AD2F6" w14:textId="739554E4" w:rsidR="00B07427" w:rsidRDefault="00B07427" w:rsidP="00B07427">
      <w:pPr>
        <w:pStyle w:val="BodyText"/>
        <w:numPr>
          <w:ilvl w:val="0"/>
          <w:numId w:val="10"/>
        </w:numPr>
        <w:ind w:right="473"/>
      </w:pPr>
      <w:r>
        <w:t>Providing key elements of the OSHD on DOGAMI’s public-facing multi hazard webmap, HazVu</w:t>
      </w:r>
      <w:r w:rsidR="000339D4">
        <w:t xml:space="preserve"> (</w:t>
      </w:r>
      <w:r w:rsidR="000339D4" w:rsidRPr="000339D4">
        <w:t>https://www.oregongeology.org/hazvu/</w:t>
      </w:r>
      <w:r w:rsidR="000339D4">
        <w:t>,</w:t>
      </w:r>
    </w:p>
    <w:p w14:paraId="3AFEE21D" w14:textId="7031BF3D" w:rsidR="00B07427" w:rsidRDefault="00B07427" w:rsidP="00B07427">
      <w:pPr>
        <w:pStyle w:val="BodyText"/>
        <w:numPr>
          <w:ilvl w:val="0"/>
          <w:numId w:val="10"/>
        </w:numPr>
        <w:ind w:right="473"/>
      </w:pPr>
      <w:r>
        <w:t>Updating OSHD as resources allow.</w:t>
      </w:r>
    </w:p>
    <w:p w14:paraId="3F826B1D" w14:textId="4927C7BC" w:rsidR="000339D4" w:rsidRDefault="000339D4" w:rsidP="000339D4">
      <w:pPr>
        <w:pStyle w:val="BodyText"/>
        <w:ind w:right="473"/>
      </w:pPr>
      <w:r>
        <w:t>There are no horizontal or vertical stewards for the OSHD.</w:t>
      </w:r>
    </w:p>
    <w:p w14:paraId="7D4A9B52" w14:textId="6856CB2D" w:rsidR="00A33CFE" w:rsidRDefault="00A33CFE" w:rsidP="00CD07E7">
      <w:pPr>
        <w:pStyle w:val="BodyText"/>
        <w:ind w:right="616"/>
      </w:pPr>
    </w:p>
    <w:p w14:paraId="323595FF" w14:textId="77777777" w:rsidR="00A33CFE" w:rsidRDefault="00A33CFE">
      <w:pPr>
        <w:sectPr w:rsidR="00A33CFE">
          <w:pgSz w:w="12240" w:h="15840"/>
          <w:pgMar w:top="1240" w:right="620" w:bottom="1160" w:left="940" w:header="0" w:footer="885" w:gutter="0"/>
          <w:cols w:space="720"/>
        </w:sectPr>
      </w:pPr>
    </w:p>
    <w:p w14:paraId="4CC81F31" w14:textId="77777777" w:rsidR="00A33CFE" w:rsidRDefault="00645A44">
      <w:pPr>
        <w:pStyle w:val="Heading1"/>
        <w:spacing w:before="72"/>
      </w:pPr>
      <w:bookmarkStart w:id="5" w:name="_Toc69309753"/>
      <w:r>
        <w:lastRenderedPageBreak/>
        <w:t>Update</w:t>
      </w:r>
      <w:r>
        <w:rPr>
          <w:spacing w:val="-8"/>
        </w:rPr>
        <w:t xml:space="preserve"> </w:t>
      </w:r>
      <w:r>
        <w:t>Frequency</w:t>
      </w:r>
      <w:bookmarkEnd w:id="5"/>
    </w:p>
    <w:p w14:paraId="3461868C" w14:textId="1EFBF8E5" w:rsidR="00A33CFE" w:rsidRDefault="00B07427">
      <w:pPr>
        <w:pStyle w:val="BodyText"/>
        <w:spacing w:before="63"/>
        <w:ind w:left="140" w:right="458"/>
      </w:pPr>
      <w:r>
        <w:t>Funds for update and maintenance of OSHD are not included in DOGAM’s budget, and outside contract or grant funding will be needed for any updates for the foreseeable future</w:t>
      </w:r>
      <w:r w:rsidR="008D3A70">
        <w:t>. Within funding constraints, the nominal update frequency will be f years, to match the current update cycle of the USHS NSHM data.</w:t>
      </w:r>
      <w:r>
        <w:t xml:space="preserve"> </w:t>
      </w:r>
    </w:p>
    <w:p w14:paraId="1C738A58" w14:textId="77777777" w:rsidR="00A33CFE" w:rsidRDefault="00A33CFE">
      <w:pPr>
        <w:pStyle w:val="BodyText"/>
      </w:pPr>
    </w:p>
    <w:p w14:paraId="178F1183" w14:textId="77777777" w:rsidR="00A33CFE" w:rsidRDefault="00A33CFE">
      <w:pPr>
        <w:pStyle w:val="BodyText"/>
        <w:spacing w:before="4"/>
        <w:rPr>
          <w:sz w:val="19"/>
        </w:rPr>
      </w:pPr>
    </w:p>
    <w:p w14:paraId="669F8343" w14:textId="77777777" w:rsidR="00A33CFE" w:rsidRDefault="00645A44">
      <w:pPr>
        <w:pStyle w:val="Heading1"/>
        <w:spacing w:before="1"/>
      </w:pPr>
      <w:bookmarkStart w:id="6" w:name="_Toc69309754"/>
      <w:r>
        <w:t>Stewardship</w:t>
      </w:r>
      <w:r>
        <w:rPr>
          <w:spacing w:val="-6"/>
        </w:rPr>
        <w:t xml:space="preserve"> </w:t>
      </w:r>
      <w:r>
        <w:t>Workflow</w:t>
      </w:r>
      <w:bookmarkEnd w:id="6"/>
    </w:p>
    <w:p w14:paraId="5AD145E1" w14:textId="0C58BA53" w:rsidR="00A33CFE" w:rsidRDefault="006C06BD">
      <w:pPr>
        <w:pStyle w:val="BodyText"/>
        <w:ind w:left="140" w:right="616"/>
      </w:pPr>
      <w:r>
        <w:t>The workflow for updating the OSHD is nominally described in Appendix A, with the understanding that changes in available data sources or methods may result in a modified workflow being applied to future versions.</w:t>
      </w:r>
    </w:p>
    <w:p w14:paraId="2972B6A9" w14:textId="77777777" w:rsidR="00A33CFE" w:rsidRDefault="00A33CFE">
      <w:pPr>
        <w:pStyle w:val="BodyText"/>
      </w:pPr>
    </w:p>
    <w:p w14:paraId="30D636C8" w14:textId="77777777" w:rsidR="00A33CFE" w:rsidRDefault="00A33CFE">
      <w:pPr>
        <w:pStyle w:val="BodyText"/>
        <w:spacing w:before="5"/>
        <w:rPr>
          <w:sz w:val="19"/>
        </w:rPr>
      </w:pPr>
    </w:p>
    <w:p w14:paraId="250051C7" w14:textId="77777777" w:rsidR="00A33CFE" w:rsidRDefault="00645A44">
      <w:pPr>
        <w:pStyle w:val="Heading1"/>
      </w:pPr>
      <w:bookmarkStart w:id="7" w:name="_Toc69309755"/>
      <w:r>
        <w:t>Data</w:t>
      </w:r>
      <w:r>
        <w:rPr>
          <w:spacing w:val="-7"/>
        </w:rPr>
        <w:t xml:space="preserve"> </w:t>
      </w:r>
      <w:r>
        <w:t>Acquisition</w:t>
      </w:r>
      <w:bookmarkEnd w:id="7"/>
    </w:p>
    <w:p w14:paraId="1D71BACA" w14:textId="5E27835A" w:rsidR="006C06BD" w:rsidRDefault="006C06BD" w:rsidP="006C06BD">
      <w:pPr>
        <w:pStyle w:val="BodyText"/>
        <w:ind w:left="140" w:right="616"/>
      </w:pPr>
      <w:r>
        <w:t>Data acquisition for</w:t>
      </w:r>
      <w:r>
        <w:t xml:space="preserve"> updat</w:t>
      </w:r>
      <w:r>
        <w:t>es of</w:t>
      </w:r>
      <w:r>
        <w:t xml:space="preserve"> the OSHD is nominally described in Appendix A, with the understanding that changes in available data sources may result in a modified </w:t>
      </w:r>
      <w:r>
        <w:t>approach</w:t>
      </w:r>
      <w:r>
        <w:t xml:space="preserve"> being applied to future versions.</w:t>
      </w:r>
    </w:p>
    <w:p w14:paraId="03360C6C" w14:textId="77777777" w:rsidR="00A33CFE" w:rsidRDefault="00A33CFE">
      <w:pPr>
        <w:spacing w:line="259" w:lineRule="auto"/>
        <w:sectPr w:rsidR="00A33CFE">
          <w:pgSz w:w="12240" w:h="15840"/>
          <w:pgMar w:top="1220" w:right="620" w:bottom="1160" w:left="940" w:header="0" w:footer="885" w:gutter="0"/>
          <w:cols w:space="720"/>
        </w:sectPr>
      </w:pPr>
    </w:p>
    <w:p w14:paraId="10FC7D31" w14:textId="77777777" w:rsidR="00A33CFE" w:rsidRDefault="00A33CFE">
      <w:pPr>
        <w:pStyle w:val="BodyText"/>
        <w:spacing w:before="4"/>
        <w:rPr>
          <w:sz w:val="19"/>
        </w:rPr>
      </w:pPr>
    </w:p>
    <w:p w14:paraId="415B8BF4" w14:textId="77777777" w:rsidR="00A33CFE" w:rsidRDefault="00645A44">
      <w:pPr>
        <w:pStyle w:val="Heading1"/>
        <w:spacing w:before="1"/>
        <w:jc w:val="both"/>
      </w:pPr>
      <w:bookmarkStart w:id="8" w:name="_Toc69309756"/>
      <w:r>
        <w:t>Data</w:t>
      </w:r>
      <w:r>
        <w:rPr>
          <w:spacing w:val="-4"/>
        </w:rPr>
        <w:t xml:space="preserve"> </w:t>
      </w:r>
      <w:r>
        <w:t>Maintenance</w:t>
      </w:r>
      <w:bookmarkEnd w:id="8"/>
    </w:p>
    <w:p w14:paraId="6EE8ACA2" w14:textId="26653C23" w:rsidR="00A33CFE" w:rsidRDefault="006C06BD">
      <w:pPr>
        <w:pStyle w:val="BodyText"/>
        <w:ind w:left="140" w:right="479"/>
      </w:pPr>
      <w:r>
        <w:t xml:space="preserve">Except for updates as described above, no regular maintenance of the data in the OSHD is anticipated, other than to ensure that the data available on the DOGAMI website for download and viewing remain functional and not corrupt.  DOGAMI may choose to update parts of the data set with the results of new local or regional studies as they become available.  </w:t>
      </w:r>
    </w:p>
    <w:p w14:paraId="6DE0CBB8" w14:textId="77777777" w:rsidR="00A33CFE" w:rsidRDefault="00A33CFE">
      <w:pPr>
        <w:pStyle w:val="BodyText"/>
        <w:spacing w:before="5"/>
        <w:rPr>
          <w:sz w:val="19"/>
        </w:rPr>
      </w:pPr>
    </w:p>
    <w:p w14:paraId="63F43918" w14:textId="77777777" w:rsidR="00A33CFE" w:rsidRDefault="00645A44">
      <w:pPr>
        <w:pStyle w:val="Heading1"/>
      </w:pPr>
      <w:bookmarkStart w:id="9" w:name="_Toc69309757"/>
      <w:r>
        <w:t>Communication</w:t>
      </w:r>
      <w:bookmarkEnd w:id="9"/>
    </w:p>
    <w:p w14:paraId="12E90B9B" w14:textId="162640CE" w:rsidR="00A33CFE" w:rsidRDefault="00645A44" w:rsidP="000339D4">
      <w:pPr>
        <w:pStyle w:val="BodyText"/>
        <w:spacing w:before="63"/>
        <w:ind w:left="140" w:right="716"/>
      </w:pPr>
      <w:r>
        <w:t xml:space="preserve">The primary mechanism for communication between the </w:t>
      </w:r>
      <w:r w:rsidR="006C06BD">
        <w:t>OSH</w:t>
      </w:r>
      <w:r>
        <w:t xml:space="preserve">D Data Steward </w:t>
      </w:r>
      <w:r w:rsidR="006C06BD">
        <w:t xml:space="preserve"> (DOGAMI) </w:t>
      </w:r>
      <w:r>
        <w:t xml:space="preserve">and data </w:t>
      </w:r>
      <w:r w:rsidR="006C06BD">
        <w:t>users</w:t>
      </w:r>
      <w:r>
        <w:t xml:space="preserve"> will</w:t>
      </w:r>
      <w:r>
        <w:rPr>
          <w:spacing w:val="-53"/>
        </w:rPr>
        <w:t xml:space="preserve"> </w:t>
      </w:r>
      <w:r>
        <w:t xml:space="preserve">occur through the </w:t>
      </w:r>
      <w:r w:rsidR="006C06BD">
        <w:t>Hazards framework implementation team and the DOGAMI publications website (</w:t>
      </w:r>
      <w:r w:rsidR="006C06BD" w:rsidRPr="006C06BD">
        <w:t>https://www.oregongeology.org/pubs/index.htm</w:t>
      </w:r>
      <w:r w:rsidR="000339D4">
        <w:t>)</w:t>
      </w:r>
      <w:r w:rsidR="006C06BD">
        <w:t xml:space="preserve">. </w:t>
      </w:r>
    </w:p>
    <w:p w14:paraId="116F0045" w14:textId="77777777" w:rsidR="00A33CFE" w:rsidRDefault="00A33CFE">
      <w:pPr>
        <w:pStyle w:val="BodyText"/>
        <w:spacing w:before="5"/>
        <w:rPr>
          <w:sz w:val="19"/>
        </w:rPr>
      </w:pPr>
    </w:p>
    <w:p w14:paraId="6A6A0B10" w14:textId="77777777" w:rsidR="00A33CFE" w:rsidRDefault="00645A44">
      <w:pPr>
        <w:pStyle w:val="Heading1"/>
      </w:pPr>
      <w:bookmarkStart w:id="10" w:name="_Toc69309758"/>
      <w:r>
        <w:t>Data</w:t>
      </w:r>
      <w:r>
        <w:rPr>
          <w:spacing w:val="-9"/>
        </w:rPr>
        <w:t xml:space="preserve"> </w:t>
      </w:r>
      <w:r>
        <w:t>Distribution</w:t>
      </w:r>
      <w:bookmarkEnd w:id="10"/>
    </w:p>
    <w:p w14:paraId="01376744" w14:textId="18B62824" w:rsidR="00A33CFE" w:rsidRDefault="00645A44">
      <w:pPr>
        <w:pStyle w:val="BodyText"/>
        <w:spacing w:before="63"/>
        <w:ind w:left="140" w:right="458"/>
      </w:pPr>
      <w:r>
        <w:t xml:space="preserve">The </w:t>
      </w:r>
      <w:r w:rsidR="000339D4">
        <w:t>OSHD</w:t>
      </w:r>
      <w:r>
        <w:t xml:space="preserve"> element is published as a set of </w:t>
      </w:r>
      <w:r w:rsidR="000339D4">
        <w:t>rasters in a single Esri 10.7 Geodatabase</w:t>
      </w:r>
      <w:r>
        <w:t xml:space="preserve"> available through the </w:t>
      </w:r>
      <w:r w:rsidR="000339D4">
        <w:t>DOGAMI publications center</w:t>
      </w:r>
      <w:r>
        <w:t xml:space="preserve"> and the Oregon Spatial Data Library.</w:t>
      </w:r>
      <w:r>
        <w:rPr>
          <w:spacing w:val="1"/>
        </w:rPr>
        <w:t xml:space="preserve"> </w:t>
      </w:r>
      <w:r w:rsidR="000339D4">
        <w:t>Some elements of the data are</w:t>
      </w:r>
      <w:r>
        <w:t xml:space="preserve"> also </w:t>
      </w:r>
      <w:r w:rsidR="000339D4">
        <w:t>viewable</w:t>
      </w:r>
      <w:r>
        <w:t xml:space="preserve"> via </w:t>
      </w:r>
      <w:r w:rsidR="000339D4">
        <w:t>DOGAMI’s HazVu</w:t>
      </w:r>
      <w:r>
        <w:t xml:space="preserve"> web map application</w:t>
      </w:r>
      <w:r w:rsidR="000339D4">
        <w:t>.</w:t>
      </w:r>
      <w:r>
        <w:t xml:space="preserve"> </w:t>
      </w:r>
    </w:p>
    <w:p w14:paraId="4581583F" w14:textId="77777777" w:rsidR="00A33CFE" w:rsidRDefault="00A33CFE">
      <w:pPr>
        <w:pStyle w:val="BodyText"/>
        <w:rPr>
          <w:sz w:val="19"/>
        </w:rPr>
      </w:pPr>
    </w:p>
    <w:p w14:paraId="502B81AA" w14:textId="77777777" w:rsidR="00A33CFE" w:rsidRDefault="00645A44">
      <w:pPr>
        <w:pStyle w:val="Heading1"/>
      </w:pPr>
      <w:bookmarkStart w:id="11" w:name="_Toc69309759"/>
      <w:r>
        <w:t>Quality</w:t>
      </w:r>
      <w:r>
        <w:rPr>
          <w:spacing w:val="-2"/>
        </w:rPr>
        <w:t xml:space="preserve"> </w:t>
      </w:r>
      <w:r>
        <w:t>Checking</w:t>
      </w:r>
      <w:bookmarkEnd w:id="11"/>
    </w:p>
    <w:p w14:paraId="301A36F8" w14:textId="49E8CA8B" w:rsidR="00A33CFE" w:rsidRDefault="000339D4">
      <w:pPr>
        <w:pStyle w:val="BodyText"/>
        <w:spacing w:before="63"/>
        <w:ind w:left="140" w:right="616"/>
      </w:pPr>
      <w:r>
        <w:t xml:space="preserve">Data layers developed by DOGAMI are reviewed internally through a formal Technical Review Team process. </w:t>
      </w:r>
      <w:r w:rsidR="009D6BA2">
        <w:t>Layers downloaded from other published sources are reviewed for completeness and to ensure that they are not corrupt.</w:t>
      </w:r>
    </w:p>
    <w:p w14:paraId="78BB8442" w14:textId="77777777" w:rsidR="00A33CFE" w:rsidRDefault="00A33CFE">
      <w:pPr>
        <w:pStyle w:val="BodyText"/>
        <w:spacing w:before="7"/>
        <w:rPr>
          <w:sz w:val="19"/>
        </w:rPr>
      </w:pPr>
    </w:p>
    <w:p w14:paraId="3EC503C4" w14:textId="77777777" w:rsidR="00A33CFE" w:rsidRDefault="00A33CFE">
      <w:pPr>
        <w:pStyle w:val="BodyText"/>
        <w:spacing w:before="6"/>
        <w:rPr>
          <w:sz w:val="19"/>
        </w:rPr>
      </w:pPr>
    </w:p>
    <w:p w14:paraId="272E45B4" w14:textId="77777777" w:rsidR="00A33CFE" w:rsidRDefault="00645A44">
      <w:pPr>
        <w:pStyle w:val="Heading1"/>
      </w:pPr>
      <w:bookmarkStart w:id="12" w:name="_Toc69309760"/>
      <w:r>
        <w:t>Archiving</w:t>
      </w:r>
      <w:bookmarkEnd w:id="12"/>
    </w:p>
    <w:p w14:paraId="3534D984" w14:textId="1E43FCFA" w:rsidR="00A33CFE" w:rsidRDefault="009D6BA2">
      <w:pPr>
        <w:pStyle w:val="BodyText"/>
        <w:spacing w:before="63"/>
        <w:ind w:left="140" w:right="616"/>
      </w:pPr>
      <w:r>
        <w:t xml:space="preserve">All DOGAMI publications, including OSHD 1.0 are permanently archived at the DOGAMI publications center, and remain available even when newer versions are published. </w:t>
      </w:r>
    </w:p>
    <w:p w14:paraId="47896F99" w14:textId="77777777" w:rsidR="00A33CFE" w:rsidRDefault="00A33CFE">
      <w:pPr>
        <w:sectPr w:rsidR="00A33CFE">
          <w:pgSz w:w="12240" w:h="15840"/>
          <w:pgMar w:top="1220" w:right="620" w:bottom="1160" w:left="940" w:header="0" w:footer="885" w:gutter="0"/>
          <w:cols w:space="720"/>
        </w:sectPr>
      </w:pPr>
    </w:p>
    <w:p w14:paraId="7DABC9A7" w14:textId="77777777" w:rsidR="00A33CFE" w:rsidRDefault="00A33CFE" w:rsidP="009D6BA2">
      <w:pPr>
        <w:pStyle w:val="Heading1"/>
        <w:spacing w:before="72"/>
        <w:rPr>
          <w:sz w:val="16"/>
        </w:rPr>
      </w:pPr>
    </w:p>
    <w:sectPr w:rsidR="00A33CFE" w:rsidSect="009D6BA2">
      <w:pgSz w:w="12240" w:h="15840"/>
      <w:pgMar w:top="1220" w:right="620" w:bottom="1160" w:left="940" w:header="0"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3E539" w14:textId="77777777" w:rsidR="00645A44" w:rsidRDefault="00645A44">
      <w:r>
        <w:separator/>
      </w:r>
    </w:p>
  </w:endnote>
  <w:endnote w:type="continuationSeparator" w:id="0">
    <w:p w14:paraId="143D6398" w14:textId="77777777" w:rsidR="00645A44" w:rsidRDefault="00645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F9294" w14:textId="77777777" w:rsidR="00645A44" w:rsidRDefault="00645A44">
    <w:pPr>
      <w:pStyle w:val="BodyText"/>
      <w:spacing w:line="14" w:lineRule="auto"/>
      <w:rPr>
        <w:sz w:val="20"/>
      </w:rPr>
    </w:pPr>
    <w:r>
      <w:pict w14:anchorId="1642A25B">
        <v:shapetype id="_x0000_t202" coordsize="21600,21600" o:spt="202" path="m,l,21600r21600,l21600,xe">
          <v:stroke joinstyle="miter"/>
          <v:path gradientshapeok="t" o:connecttype="rect"/>
        </v:shapetype>
        <v:shape id="_x0000_s1026" type="#_x0000_t202" style="position:absolute;margin-left:53pt;margin-top:732.75pt;width:173.15pt;height:24.2pt;z-index:-16099840;mso-position-horizontal-relative:page;mso-position-vertical-relative:page" filled="f" stroked="f">
          <v:textbox inset="0,0,0,0">
            <w:txbxContent>
              <w:p w14:paraId="6A8399D9" w14:textId="77777777" w:rsidR="00645A44" w:rsidRDefault="00645A44">
                <w:pPr>
                  <w:spacing w:line="223" w:lineRule="exact"/>
                  <w:ind w:left="20"/>
                  <w:rPr>
                    <w:sz w:val="20"/>
                  </w:rPr>
                </w:pPr>
                <w:r>
                  <w:rPr>
                    <w:sz w:val="20"/>
                  </w:rPr>
                  <w:t>Fish</w:t>
                </w:r>
                <w:r>
                  <w:rPr>
                    <w:spacing w:val="-5"/>
                    <w:sz w:val="20"/>
                  </w:rPr>
                  <w:t xml:space="preserve"> </w:t>
                </w:r>
                <w:r>
                  <w:rPr>
                    <w:sz w:val="20"/>
                  </w:rPr>
                  <w:t>Habitat</w:t>
                </w:r>
                <w:r>
                  <w:rPr>
                    <w:spacing w:val="-4"/>
                    <w:sz w:val="20"/>
                  </w:rPr>
                  <w:t xml:space="preserve"> </w:t>
                </w:r>
                <w:r>
                  <w:rPr>
                    <w:sz w:val="20"/>
                  </w:rPr>
                  <w:t>Distribution</w:t>
                </w:r>
                <w:r>
                  <w:rPr>
                    <w:spacing w:val="-1"/>
                    <w:sz w:val="20"/>
                  </w:rPr>
                  <w:t xml:space="preserve"> </w:t>
                </w:r>
                <w:r>
                  <w:rPr>
                    <w:sz w:val="20"/>
                  </w:rPr>
                  <w:t>Stewardship</w:t>
                </w:r>
                <w:r>
                  <w:rPr>
                    <w:spacing w:val="-4"/>
                    <w:sz w:val="20"/>
                  </w:rPr>
                  <w:t xml:space="preserve"> </w:t>
                </w:r>
                <w:r>
                  <w:rPr>
                    <w:sz w:val="20"/>
                  </w:rPr>
                  <w:t>Plan</w:t>
                </w:r>
              </w:p>
              <w:p w14:paraId="55B20534" w14:textId="77777777" w:rsidR="00645A44" w:rsidRDefault="00645A44">
                <w:pPr>
                  <w:ind w:left="20"/>
                  <w:rPr>
                    <w:sz w:val="20"/>
                  </w:rPr>
                </w:pPr>
                <w:r>
                  <w:rPr>
                    <w:sz w:val="20"/>
                  </w:rPr>
                  <w:t>Version 1.0</w:t>
                </w:r>
              </w:p>
            </w:txbxContent>
          </v:textbox>
          <w10:wrap anchorx="page" anchory="page"/>
        </v:shape>
      </w:pict>
    </w:r>
    <w:r>
      <w:pict w14:anchorId="155B4C1C">
        <v:shape id="_x0000_s1025" type="#_x0000_t202" style="position:absolute;margin-left:509pt;margin-top:732.75pt;width:16.1pt;height:12pt;z-index:-16099328;mso-position-horizontal-relative:page;mso-position-vertical-relative:page" filled="f" stroked="f">
          <v:textbox inset="0,0,0,0">
            <w:txbxContent>
              <w:p w14:paraId="7523A555" w14:textId="77777777" w:rsidR="00645A44" w:rsidRDefault="00645A44">
                <w:pPr>
                  <w:spacing w:line="223" w:lineRule="exact"/>
                  <w:ind w:left="60"/>
                  <w:rPr>
                    <w:sz w:val="20"/>
                  </w:rPr>
                </w:pPr>
                <w:r>
                  <w:fldChar w:fldCharType="begin"/>
                </w:r>
                <w:r>
                  <w:rPr>
                    <w:sz w:val="20"/>
                  </w:rPr>
                  <w:instrText xml:space="preserve"> PAGE </w:instrText>
                </w:r>
                <w:r>
                  <w:fldChar w:fldCharType="separate"/>
                </w:r>
                <w:r>
                  <w:t>21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7B18A" w14:textId="77777777" w:rsidR="00645A44" w:rsidRDefault="00645A44">
      <w:r>
        <w:separator/>
      </w:r>
    </w:p>
  </w:footnote>
  <w:footnote w:type="continuationSeparator" w:id="0">
    <w:p w14:paraId="2642EC23" w14:textId="77777777" w:rsidR="00645A44" w:rsidRDefault="00645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61B3C"/>
    <w:multiLevelType w:val="hybridMultilevel"/>
    <w:tmpl w:val="2C727812"/>
    <w:lvl w:ilvl="0" w:tplc="B0E82152">
      <w:start w:val="1"/>
      <w:numFmt w:val="decimal"/>
      <w:lvlText w:val="(%1)"/>
      <w:lvlJc w:val="left"/>
      <w:pPr>
        <w:ind w:left="860" w:hanging="360"/>
        <w:jc w:val="left"/>
      </w:pPr>
      <w:rPr>
        <w:rFonts w:ascii="Calibri" w:eastAsia="Calibri" w:hAnsi="Calibri" w:cs="Calibri" w:hint="default"/>
        <w:spacing w:val="-1"/>
        <w:w w:val="100"/>
        <w:sz w:val="24"/>
        <w:szCs w:val="24"/>
        <w:lang w:val="en-US" w:eastAsia="en-US" w:bidi="ar-SA"/>
      </w:rPr>
    </w:lvl>
    <w:lvl w:ilvl="1" w:tplc="CDA856A2">
      <w:numFmt w:val="bullet"/>
      <w:lvlText w:val="•"/>
      <w:lvlJc w:val="left"/>
      <w:pPr>
        <w:ind w:left="1842" w:hanging="360"/>
      </w:pPr>
      <w:rPr>
        <w:rFonts w:hint="default"/>
        <w:lang w:val="en-US" w:eastAsia="en-US" w:bidi="ar-SA"/>
      </w:rPr>
    </w:lvl>
    <w:lvl w:ilvl="2" w:tplc="129A103C">
      <w:numFmt w:val="bullet"/>
      <w:lvlText w:val="•"/>
      <w:lvlJc w:val="left"/>
      <w:pPr>
        <w:ind w:left="2824" w:hanging="360"/>
      </w:pPr>
      <w:rPr>
        <w:rFonts w:hint="default"/>
        <w:lang w:val="en-US" w:eastAsia="en-US" w:bidi="ar-SA"/>
      </w:rPr>
    </w:lvl>
    <w:lvl w:ilvl="3" w:tplc="3904C5C2">
      <w:numFmt w:val="bullet"/>
      <w:lvlText w:val="•"/>
      <w:lvlJc w:val="left"/>
      <w:pPr>
        <w:ind w:left="3806" w:hanging="360"/>
      </w:pPr>
      <w:rPr>
        <w:rFonts w:hint="default"/>
        <w:lang w:val="en-US" w:eastAsia="en-US" w:bidi="ar-SA"/>
      </w:rPr>
    </w:lvl>
    <w:lvl w:ilvl="4" w:tplc="37DA0930">
      <w:numFmt w:val="bullet"/>
      <w:lvlText w:val="•"/>
      <w:lvlJc w:val="left"/>
      <w:pPr>
        <w:ind w:left="4788" w:hanging="360"/>
      </w:pPr>
      <w:rPr>
        <w:rFonts w:hint="default"/>
        <w:lang w:val="en-US" w:eastAsia="en-US" w:bidi="ar-SA"/>
      </w:rPr>
    </w:lvl>
    <w:lvl w:ilvl="5" w:tplc="F1003674">
      <w:numFmt w:val="bullet"/>
      <w:lvlText w:val="•"/>
      <w:lvlJc w:val="left"/>
      <w:pPr>
        <w:ind w:left="5770" w:hanging="360"/>
      </w:pPr>
      <w:rPr>
        <w:rFonts w:hint="default"/>
        <w:lang w:val="en-US" w:eastAsia="en-US" w:bidi="ar-SA"/>
      </w:rPr>
    </w:lvl>
    <w:lvl w:ilvl="6" w:tplc="6F78BE9A">
      <w:numFmt w:val="bullet"/>
      <w:lvlText w:val="•"/>
      <w:lvlJc w:val="left"/>
      <w:pPr>
        <w:ind w:left="6752" w:hanging="360"/>
      </w:pPr>
      <w:rPr>
        <w:rFonts w:hint="default"/>
        <w:lang w:val="en-US" w:eastAsia="en-US" w:bidi="ar-SA"/>
      </w:rPr>
    </w:lvl>
    <w:lvl w:ilvl="7" w:tplc="CE3202EC">
      <w:numFmt w:val="bullet"/>
      <w:lvlText w:val="•"/>
      <w:lvlJc w:val="left"/>
      <w:pPr>
        <w:ind w:left="7734" w:hanging="360"/>
      </w:pPr>
      <w:rPr>
        <w:rFonts w:hint="default"/>
        <w:lang w:val="en-US" w:eastAsia="en-US" w:bidi="ar-SA"/>
      </w:rPr>
    </w:lvl>
    <w:lvl w:ilvl="8" w:tplc="6130CD42">
      <w:numFmt w:val="bullet"/>
      <w:lvlText w:val="•"/>
      <w:lvlJc w:val="left"/>
      <w:pPr>
        <w:ind w:left="8716" w:hanging="360"/>
      </w:pPr>
      <w:rPr>
        <w:rFonts w:hint="default"/>
        <w:lang w:val="en-US" w:eastAsia="en-US" w:bidi="ar-SA"/>
      </w:rPr>
    </w:lvl>
  </w:abstractNum>
  <w:abstractNum w:abstractNumId="1" w15:restartNumberingAfterBreak="0">
    <w:nsid w:val="0ABD3028"/>
    <w:multiLevelType w:val="hybridMultilevel"/>
    <w:tmpl w:val="77BE525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0FC10240"/>
    <w:multiLevelType w:val="hybridMultilevel"/>
    <w:tmpl w:val="E6E47D50"/>
    <w:lvl w:ilvl="0" w:tplc="EDD0FF1E">
      <w:start w:val="1"/>
      <w:numFmt w:val="upperLetter"/>
      <w:lvlText w:val="%1."/>
      <w:lvlJc w:val="left"/>
      <w:pPr>
        <w:ind w:left="860" w:hanging="360"/>
        <w:jc w:val="left"/>
      </w:pPr>
      <w:rPr>
        <w:rFonts w:ascii="Calibri" w:eastAsia="Calibri" w:hAnsi="Calibri" w:cs="Calibri" w:hint="default"/>
        <w:i/>
        <w:spacing w:val="-1"/>
        <w:w w:val="100"/>
        <w:sz w:val="22"/>
        <w:szCs w:val="22"/>
        <w:lang w:val="en-US" w:eastAsia="en-US" w:bidi="ar-SA"/>
      </w:rPr>
    </w:lvl>
    <w:lvl w:ilvl="1" w:tplc="A530904C">
      <w:numFmt w:val="bullet"/>
      <w:lvlText w:val=""/>
      <w:lvlJc w:val="left"/>
      <w:pPr>
        <w:ind w:left="1580" w:hanging="360"/>
      </w:pPr>
      <w:rPr>
        <w:rFonts w:ascii="Symbol" w:eastAsia="Symbol" w:hAnsi="Symbol" w:cs="Symbol" w:hint="default"/>
        <w:w w:val="100"/>
        <w:sz w:val="22"/>
        <w:szCs w:val="22"/>
        <w:lang w:val="en-US" w:eastAsia="en-US" w:bidi="ar-SA"/>
      </w:rPr>
    </w:lvl>
    <w:lvl w:ilvl="2" w:tplc="385A2AA6">
      <w:numFmt w:val="bullet"/>
      <w:lvlText w:val="o"/>
      <w:lvlJc w:val="left"/>
      <w:pPr>
        <w:ind w:left="2300" w:hanging="360"/>
      </w:pPr>
      <w:rPr>
        <w:rFonts w:ascii="Courier New" w:eastAsia="Courier New" w:hAnsi="Courier New" w:cs="Courier New" w:hint="default"/>
        <w:w w:val="100"/>
        <w:sz w:val="22"/>
        <w:szCs w:val="22"/>
        <w:lang w:val="en-US" w:eastAsia="en-US" w:bidi="ar-SA"/>
      </w:rPr>
    </w:lvl>
    <w:lvl w:ilvl="3" w:tplc="8A74221E">
      <w:numFmt w:val="bullet"/>
      <w:lvlText w:val="•"/>
      <w:lvlJc w:val="left"/>
      <w:pPr>
        <w:ind w:left="3347" w:hanging="360"/>
      </w:pPr>
      <w:rPr>
        <w:rFonts w:hint="default"/>
        <w:lang w:val="en-US" w:eastAsia="en-US" w:bidi="ar-SA"/>
      </w:rPr>
    </w:lvl>
    <w:lvl w:ilvl="4" w:tplc="55F87590">
      <w:numFmt w:val="bullet"/>
      <w:lvlText w:val="•"/>
      <w:lvlJc w:val="left"/>
      <w:pPr>
        <w:ind w:left="4395" w:hanging="360"/>
      </w:pPr>
      <w:rPr>
        <w:rFonts w:hint="default"/>
        <w:lang w:val="en-US" w:eastAsia="en-US" w:bidi="ar-SA"/>
      </w:rPr>
    </w:lvl>
    <w:lvl w:ilvl="5" w:tplc="7AD855C0">
      <w:numFmt w:val="bullet"/>
      <w:lvlText w:val="•"/>
      <w:lvlJc w:val="left"/>
      <w:pPr>
        <w:ind w:left="5442" w:hanging="360"/>
      </w:pPr>
      <w:rPr>
        <w:rFonts w:hint="default"/>
        <w:lang w:val="en-US" w:eastAsia="en-US" w:bidi="ar-SA"/>
      </w:rPr>
    </w:lvl>
    <w:lvl w:ilvl="6" w:tplc="00DAEDD8">
      <w:numFmt w:val="bullet"/>
      <w:lvlText w:val="•"/>
      <w:lvlJc w:val="left"/>
      <w:pPr>
        <w:ind w:left="6490" w:hanging="360"/>
      </w:pPr>
      <w:rPr>
        <w:rFonts w:hint="default"/>
        <w:lang w:val="en-US" w:eastAsia="en-US" w:bidi="ar-SA"/>
      </w:rPr>
    </w:lvl>
    <w:lvl w:ilvl="7" w:tplc="25F22136">
      <w:numFmt w:val="bullet"/>
      <w:lvlText w:val="•"/>
      <w:lvlJc w:val="left"/>
      <w:pPr>
        <w:ind w:left="7537" w:hanging="360"/>
      </w:pPr>
      <w:rPr>
        <w:rFonts w:hint="default"/>
        <w:lang w:val="en-US" w:eastAsia="en-US" w:bidi="ar-SA"/>
      </w:rPr>
    </w:lvl>
    <w:lvl w:ilvl="8" w:tplc="7EB8FF36">
      <w:numFmt w:val="bullet"/>
      <w:lvlText w:val="•"/>
      <w:lvlJc w:val="left"/>
      <w:pPr>
        <w:ind w:left="8585" w:hanging="360"/>
      </w:pPr>
      <w:rPr>
        <w:rFonts w:hint="default"/>
        <w:lang w:val="en-US" w:eastAsia="en-US" w:bidi="ar-SA"/>
      </w:rPr>
    </w:lvl>
  </w:abstractNum>
  <w:abstractNum w:abstractNumId="3" w15:restartNumberingAfterBreak="0">
    <w:nsid w:val="15244391"/>
    <w:multiLevelType w:val="hybridMultilevel"/>
    <w:tmpl w:val="B40E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15923"/>
    <w:multiLevelType w:val="hybridMultilevel"/>
    <w:tmpl w:val="B998A882"/>
    <w:lvl w:ilvl="0" w:tplc="023C09F2">
      <w:numFmt w:val="bullet"/>
      <w:lvlText w:val="-"/>
      <w:lvlJc w:val="left"/>
      <w:pPr>
        <w:ind w:left="860" w:hanging="360"/>
      </w:pPr>
      <w:rPr>
        <w:rFonts w:ascii="Calibri" w:eastAsia="Calibri" w:hAnsi="Calibri" w:cs="Calibri" w:hint="default"/>
        <w:w w:val="100"/>
        <w:sz w:val="22"/>
        <w:szCs w:val="22"/>
        <w:lang w:val="en-US" w:eastAsia="en-US" w:bidi="ar-SA"/>
      </w:rPr>
    </w:lvl>
    <w:lvl w:ilvl="1" w:tplc="01A6B010">
      <w:numFmt w:val="bullet"/>
      <w:lvlText w:val="o"/>
      <w:lvlJc w:val="left"/>
      <w:pPr>
        <w:ind w:left="1580" w:hanging="360"/>
      </w:pPr>
      <w:rPr>
        <w:rFonts w:ascii="Courier New" w:eastAsia="Courier New" w:hAnsi="Courier New" w:cs="Courier New" w:hint="default"/>
        <w:w w:val="100"/>
        <w:sz w:val="22"/>
        <w:szCs w:val="22"/>
        <w:lang w:val="en-US" w:eastAsia="en-US" w:bidi="ar-SA"/>
      </w:rPr>
    </w:lvl>
    <w:lvl w:ilvl="2" w:tplc="D14604DA">
      <w:numFmt w:val="bullet"/>
      <w:lvlText w:val="•"/>
      <w:lvlJc w:val="left"/>
      <w:pPr>
        <w:ind w:left="2591" w:hanging="360"/>
      </w:pPr>
      <w:rPr>
        <w:rFonts w:hint="default"/>
        <w:lang w:val="en-US" w:eastAsia="en-US" w:bidi="ar-SA"/>
      </w:rPr>
    </w:lvl>
    <w:lvl w:ilvl="3" w:tplc="8E2483E4">
      <w:numFmt w:val="bullet"/>
      <w:lvlText w:val="•"/>
      <w:lvlJc w:val="left"/>
      <w:pPr>
        <w:ind w:left="3602" w:hanging="360"/>
      </w:pPr>
      <w:rPr>
        <w:rFonts w:hint="default"/>
        <w:lang w:val="en-US" w:eastAsia="en-US" w:bidi="ar-SA"/>
      </w:rPr>
    </w:lvl>
    <w:lvl w:ilvl="4" w:tplc="5A886610">
      <w:numFmt w:val="bullet"/>
      <w:lvlText w:val="•"/>
      <w:lvlJc w:val="left"/>
      <w:pPr>
        <w:ind w:left="4613" w:hanging="360"/>
      </w:pPr>
      <w:rPr>
        <w:rFonts w:hint="default"/>
        <w:lang w:val="en-US" w:eastAsia="en-US" w:bidi="ar-SA"/>
      </w:rPr>
    </w:lvl>
    <w:lvl w:ilvl="5" w:tplc="CB2CEB32">
      <w:numFmt w:val="bullet"/>
      <w:lvlText w:val="•"/>
      <w:lvlJc w:val="left"/>
      <w:pPr>
        <w:ind w:left="5624" w:hanging="360"/>
      </w:pPr>
      <w:rPr>
        <w:rFonts w:hint="default"/>
        <w:lang w:val="en-US" w:eastAsia="en-US" w:bidi="ar-SA"/>
      </w:rPr>
    </w:lvl>
    <w:lvl w:ilvl="6" w:tplc="5AE475A8">
      <w:numFmt w:val="bullet"/>
      <w:lvlText w:val="•"/>
      <w:lvlJc w:val="left"/>
      <w:pPr>
        <w:ind w:left="6635" w:hanging="360"/>
      </w:pPr>
      <w:rPr>
        <w:rFonts w:hint="default"/>
        <w:lang w:val="en-US" w:eastAsia="en-US" w:bidi="ar-SA"/>
      </w:rPr>
    </w:lvl>
    <w:lvl w:ilvl="7" w:tplc="418269E8">
      <w:numFmt w:val="bullet"/>
      <w:lvlText w:val="•"/>
      <w:lvlJc w:val="left"/>
      <w:pPr>
        <w:ind w:left="7646" w:hanging="360"/>
      </w:pPr>
      <w:rPr>
        <w:rFonts w:hint="default"/>
        <w:lang w:val="en-US" w:eastAsia="en-US" w:bidi="ar-SA"/>
      </w:rPr>
    </w:lvl>
    <w:lvl w:ilvl="8" w:tplc="5A90A428">
      <w:numFmt w:val="bullet"/>
      <w:lvlText w:val="•"/>
      <w:lvlJc w:val="left"/>
      <w:pPr>
        <w:ind w:left="8657" w:hanging="360"/>
      </w:pPr>
      <w:rPr>
        <w:rFonts w:hint="default"/>
        <w:lang w:val="en-US" w:eastAsia="en-US" w:bidi="ar-SA"/>
      </w:rPr>
    </w:lvl>
  </w:abstractNum>
  <w:abstractNum w:abstractNumId="5" w15:restartNumberingAfterBreak="0">
    <w:nsid w:val="420B6E81"/>
    <w:multiLevelType w:val="hybridMultilevel"/>
    <w:tmpl w:val="46E4201C"/>
    <w:lvl w:ilvl="0" w:tplc="1E04F368">
      <w:numFmt w:val="bullet"/>
      <w:lvlText w:val=""/>
      <w:lvlJc w:val="left"/>
      <w:pPr>
        <w:ind w:left="860" w:hanging="360"/>
      </w:pPr>
      <w:rPr>
        <w:rFonts w:ascii="Symbol" w:eastAsia="Symbol" w:hAnsi="Symbol" w:cs="Symbol" w:hint="default"/>
        <w:w w:val="100"/>
        <w:sz w:val="24"/>
        <w:szCs w:val="24"/>
        <w:lang w:val="en-US" w:eastAsia="en-US" w:bidi="ar-SA"/>
      </w:rPr>
    </w:lvl>
    <w:lvl w:ilvl="1" w:tplc="A4C0D318">
      <w:numFmt w:val="bullet"/>
      <w:lvlText w:val="•"/>
      <w:lvlJc w:val="left"/>
      <w:pPr>
        <w:ind w:left="1842" w:hanging="360"/>
      </w:pPr>
      <w:rPr>
        <w:rFonts w:hint="default"/>
        <w:lang w:val="en-US" w:eastAsia="en-US" w:bidi="ar-SA"/>
      </w:rPr>
    </w:lvl>
    <w:lvl w:ilvl="2" w:tplc="BC22050A">
      <w:numFmt w:val="bullet"/>
      <w:lvlText w:val="•"/>
      <w:lvlJc w:val="left"/>
      <w:pPr>
        <w:ind w:left="2824" w:hanging="360"/>
      </w:pPr>
      <w:rPr>
        <w:rFonts w:hint="default"/>
        <w:lang w:val="en-US" w:eastAsia="en-US" w:bidi="ar-SA"/>
      </w:rPr>
    </w:lvl>
    <w:lvl w:ilvl="3" w:tplc="CA6ACDF0">
      <w:numFmt w:val="bullet"/>
      <w:lvlText w:val="•"/>
      <w:lvlJc w:val="left"/>
      <w:pPr>
        <w:ind w:left="3806" w:hanging="360"/>
      </w:pPr>
      <w:rPr>
        <w:rFonts w:hint="default"/>
        <w:lang w:val="en-US" w:eastAsia="en-US" w:bidi="ar-SA"/>
      </w:rPr>
    </w:lvl>
    <w:lvl w:ilvl="4" w:tplc="E4E0016A">
      <w:numFmt w:val="bullet"/>
      <w:lvlText w:val="•"/>
      <w:lvlJc w:val="left"/>
      <w:pPr>
        <w:ind w:left="4788" w:hanging="360"/>
      </w:pPr>
      <w:rPr>
        <w:rFonts w:hint="default"/>
        <w:lang w:val="en-US" w:eastAsia="en-US" w:bidi="ar-SA"/>
      </w:rPr>
    </w:lvl>
    <w:lvl w:ilvl="5" w:tplc="7EE80C78">
      <w:numFmt w:val="bullet"/>
      <w:lvlText w:val="•"/>
      <w:lvlJc w:val="left"/>
      <w:pPr>
        <w:ind w:left="5770" w:hanging="360"/>
      </w:pPr>
      <w:rPr>
        <w:rFonts w:hint="default"/>
        <w:lang w:val="en-US" w:eastAsia="en-US" w:bidi="ar-SA"/>
      </w:rPr>
    </w:lvl>
    <w:lvl w:ilvl="6" w:tplc="B1802558">
      <w:numFmt w:val="bullet"/>
      <w:lvlText w:val="•"/>
      <w:lvlJc w:val="left"/>
      <w:pPr>
        <w:ind w:left="6752" w:hanging="360"/>
      </w:pPr>
      <w:rPr>
        <w:rFonts w:hint="default"/>
        <w:lang w:val="en-US" w:eastAsia="en-US" w:bidi="ar-SA"/>
      </w:rPr>
    </w:lvl>
    <w:lvl w:ilvl="7" w:tplc="1BEEE4BC">
      <w:numFmt w:val="bullet"/>
      <w:lvlText w:val="•"/>
      <w:lvlJc w:val="left"/>
      <w:pPr>
        <w:ind w:left="7734" w:hanging="360"/>
      </w:pPr>
      <w:rPr>
        <w:rFonts w:hint="default"/>
        <w:lang w:val="en-US" w:eastAsia="en-US" w:bidi="ar-SA"/>
      </w:rPr>
    </w:lvl>
    <w:lvl w:ilvl="8" w:tplc="9F6A3204">
      <w:numFmt w:val="bullet"/>
      <w:lvlText w:val="•"/>
      <w:lvlJc w:val="left"/>
      <w:pPr>
        <w:ind w:left="8716" w:hanging="360"/>
      </w:pPr>
      <w:rPr>
        <w:rFonts w:hint="default"/>
        <w:lang w:val="en-US" w:eastAsia="en-US" w:bidi="ar-SA"/>
      </w:rPr>
    </w:lvl>
  </w:abstractNum>
  <w:abstractNum w:abstractNumId="6" w15:restartNumberingAfterBreak="0">
    <w:nsid w:val="47D91C88"/>
    <w:multiLevelType w:val="hybridMultilevel"/>
    <w:tmpl w:val="9276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D6E61"/>
    <w:multiLevelType w:val="hybridMultilevel"/>
    <w:tmpl w:val="956823A0"/>
    <w:lvl w:ilvl="0" w:tplc="2BF01A62">
      <w:numFmt w:val="bullet"/>
      <w:lvlText w:val=""/>
      <w:lvlJc w:val="left"/>
      <w:pPr>
        <w:ind w:left="644" w:hanging="361"/>
      </w:pPr>
      <w:rPr>
        <w:rFonts w:ascii="Symbol" w:eastAsia="Symbol" w:hAnsi="Symbol" w:cs="Symbol" w:hint="default"/>
        <w:w w:val="100"/>
        <w:sz w:val="22"/>
        <w:szCs w:val="22"/>
        <w:lang w:val="en-US" w:eastAsia="en-US" w:bidi="ar-SA"/>
      </w:rPr>
    </w:lvl>
    <w:lvl w:ilvl="1" w:tplc="72BAB5CE">
      <w:numFmt w:val="bullet"/>
      <w:lvlText w:val="•"/>
      <w:lvlJc w:val="left"/>
      <w:pPr>
        <w:ind w:left="1644" w:hanging="361"/>
      </w:pPr>
      <w:rPr>
        <w:rFonts w:hint="default"/>
        <w:lang w:val="en-US" w:eastAsia="en-US" w:bidi="ar-SA"/>
      </w:rPr>
    </w:lvl>
    <w:lvl w:ilvl="2" w:tplc="4D04163C">
      <w:numFmt w:val="bullet"/>
      <w:lvlText w:val="•"/>
      <w:lvlJc w:val="left"/>
      <w:pPr>
        <w:ind w:left="2648" w:hanging="361"/>
      </w:pPr>
      <w:rPr>
        <w:rFonts w:hint="default"/>
        <w:lang w:val="en-US" w:eastAsia="en-US" w:bidi="ar-SA"/>
      </w:rPr>
    </w:lvl>
    <w:lvl w:ilvl="3" w:tplc="4E44EEEA">
      <w:numFmt w:val="bullet"/>
      <w:lvlText w:val="•"/>
      <w:lvlJc w:val="left"/>
      <w:pPr>
        <w:ind w:left="3652" w:hanging="361"/>
      </w:pPr>
      <w:rPr>
        <w:rFonts w:hint="default"/>
        <w:lang w:val="en-US" w:eastAsia="en-US" w:bidi="ar-SA"/>
      </w:rPr>
    </w:lvl>
    <w:lvl w:ilvl="4" w:tplc="1EA88CFC">
      <w:numFmt w:val="bullet"/>
      <w:lvlText w:val="•"/>
      <w:lvlJc w:val="left"/>
      <w:pPr>
        <w:ind w:left="4656" w:hanging="361"/>
      </w:pPr>
      <w:rPr>
        <w:rFonts w:hint="default"/>
        <w:lang w:val="en-US" w:eastAsia="en-US" w:bidi="ar-SA"/>
      </w:rPr>
    </w:lvl>
    <w:lvl w:ilvl="5" w:tplc="1D5800C4">
      <w:numFmt w:val="bullet"/>
      <w:lvlText w:val="•"/>
      <w:lvlJc w:val="left"/>
      <w:pPr>
        <w:ind w:left="5660" w:hanging="361"/>
      </w:pPr>
      <w:rPr>
        <w:rFonts w:hint="default"/>
        <w:lang w:val="en-US" w:eastAsia="en-US" w:bidi="ar-SA"/>
      </w:rPr>
    </w:lvl>
    <w:lvl w:ilvl="6" w:tplc="D8DE3CAC">
      <w:numFmt w:val="bullet"/>
      <w:lvlText w:val="•"/>
      <w:lvlJc w:val="left"/>
      <w:pPr>
        <w:ind w:left="6664" w:hanging="361"/>
      </w:pPr>
      <w:rPr>
        <w:rFonts w:hint="default"/>
        <w:lang w:val="en-US" w:eastAsia="en-US" w:bidi="ar-SA"/>
      </w:rPr>
    </w:lvl>
    <w:lvl w:ilvl="7" w:tplc="E89A0B5E">
      <w:numFmt w:val="bullet"/>
      <w:lvlText w:val="•"/>
      <w:lvlJc w:val="left"/>
      <w:pPr>
        <w:ind w:left="7668" w:hanging="361"/>
      </w:pPr>
      <w:rPr>
        <w:rFonts w:hint="default"/>
        <w:lang w:val="en-US" w:eastAsia="en-US" w:bidi="ar-SA"/>
      </w:rPr>
    </w:lvl>
    <w:lvl w:ilvl="8" w:tplc="5ECC5346">
      <w:numFmt w:val="bullet"/>
      <w:lvlText w:val="•"/>
      <w:lvlJc w:val="left"/>
      <w:pPr>
        <w:ind w:left="8672" w:hanging="361"/>
      </w:pPr>
      <w:rPr>
        <w:rFonts w:hint="default"/>
        <w:lang w:val="en-US" w:eastAsia="en-US" w:bidi="ar-SA"/>
      </w:rPr>
    </w:lvl>
  </w:abstractNum>
  <w:abstractNum w:abstractNumId="8" w15:restartNumberingAfterBreak="0">
    <w:nsid w:val="7492448F"/>
    <w:multiLevelType w:val="hybridMultilevel"/>
    <w:tmpl w:val="E82EDED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9" w15:restartNumberingAfterBreak="0">
    <w:nsid w:val="75E51956"/>
    <w:multiLevelType w:val="hybridMultilevel"/>
    <w:tmpl w:val="61429AD8"/>
    <w:lvl w:ilvl="0" w:tplc="EF2CF592">
      <w:start w:val="1"/>
      <w:numFmt w:val="decimal"/>
      <w:lvlText w:val="%1)"/>
      <w:lvlJc w:val="left"/>
      <w:pPr>
        <w:ind w:left="860" w:hanging="360"/>
        <w:jc w:val="left"/>
      </w:pPr>
      <w:rPr>
        <w:rFonts w:ascii="Calibri" w:eastAsia="Calibri" w:hAnsi="Calibri" w:cs="Calibri" w:hint="default"/>
        <w:w w:val="100"/>
        <w:sz w:val="24"/>
        <w:szCs w:val="24"/>
        <w:lang w:val="en-US" w:eastAsia="en-US" w:bidi="ar-SA"/>
      </w:rPr>
    </w:lvl>
    <w:lvl w:ilvl="1" w:tplc="93BAB99A">
      <w:numFmt w:val="bullet"/>
      <w:lvlText w:val="•"/>
      <w:lvlJc w:val="left"/>
      <w:pPr>
        <w:ind w:left="1842" w:hanging="360"/>
      </w:pPr>
      <w:rPr>
        <w:rFonts w:hint="default"/>
        <w:lang w:val="en-US" w:eastAsia="en-US" w:bidi="ar-SA"/>
      </w:rPr>
    </w:lvl>
    <w:lvl w:ilvl="2" w:tplc="0332D322">
      <w:numFmt w:val="bullet"/>
      <w:lvlText w:val="•"/>
      <w:lvlJc w:val="left"/>
      <w:pPr>
        <w:ind w:left="2824" w:hanging="360"/>
      </w:pPr>
      <w:rPr>
        <w:rFonts w:hint="default"/>
        <w:lang w:val="en-US" w:eastAsia="en-US" w:bidi="ar-SA"/>
      </w:rPr>
    </w:lvl>
    <w:lvl w:ilvl="3" w:tplc="5D06083E">
      <w:numFmt w:val="bullet"/>
      <w:lvlText w:val="•"/>
      <w:lvlJc w:val="left"/>
      <w:pPr>
        <w:ind w:left="3806" w:hanging="360"/>
      </w:pPr>
      <w:rPr>
        <w:rFonts w:hint="default"/>
        <w:lang w:val="en-US" w:eastAsia="en-US" w:bidi="ar-SA"/>
      </w:rPr>
    </w:lvl>
    <w:lvl w:ilvl="4" w:tplc="79FA033A">
      <w:numFmt w:val="bullet"/>
      <w:lvlText w:val="•"/>
      <w:lvlJc w:val="left"/>
      <w:pPr>
        <w:ind w:left="4788" w:hanging="360"/>
      </w:pPr>
      <w:rPr>
        <w:rFonts w:hint="default"/>
        <w:lang w:val="en-US" w:eastAsia="en-US" w:bidi="ar-SA"/>
      </w:rPr>
    </w:lvl>
    <w:lvl w:ilvl="5" w:tplc="49FCDF5C">
      <w:numFmt w:val="bullet"/>
      <w:lvlText w:val="•"/>
      <w:lvlJc w:val="left"/>
      <w:pPr>
        <w:ind w:left="5770" w:hanging="360"/>
      </w:pPr>
      <w:rPr>
        <w:rFonts w:hint="default"/>
        <w:lang w:val="en-US" w:eastAsia="en-US" w:bidi="ar-SA"/>
      </w:rPr>
    </w:lvl>
    <w:lvl w:ilvl="6" w:tplc="591C0924">
      <w:numFmt w:val="bullet"/>
      <w:lvlText w:val="•"/>
      <w:lvlJc w:val="left"/>
      <w:pPr>
        <w:ind w:left="6752" w:hanging="360"/>
      </w:pPr>
      <w:rPr>
        <w:rFonts w:hint="default"/>
        <w:lang w:val="en-US" w:eastAsia="en-US" w:bidi="ar-SA"/>
      </w:rPr>
    </w:lvl>
    <w:lvl w:ilvl="7" w:tplc="078A75E6">
      <w:numFmt w:val="bullet"/>
      <w:lvlText w:val="•"/>
      <w:lvlJc w:val="left"/>
      <w:pPr>
        <w:ind w:left="7734" w:hanging="360"/>
      </w:pPr>
      <w:rPr>
        <w:rFonts w:hint="default"/>
        <w:lang w:val="en-US" w:eastAsia="en-US" w:bidi="ar-SA"/>
      </w:rPr>
    </w:lvl>
    <w:lvl w:ilvl="8" w:tplc="7D2C7630">
      <w:numFmt w:val="bullet"/>
      <w:lvlText w:val="•"/>
      <w:lvlJc w:val="left"/>
      <w:pPr>
        <w:ind w:left="8716" w:hanging="360"/>
      </w:pPr>
      <w:rPr>
        <w:rFonts w:hint="default"/>
        <w:lang w:val="en-US" w:eastAsia="en-US" w:bidi="ar-SA"/>
      </w:rPr>
    </w:lvl>
  </w:abstractNum>
  <w:num w:numId="1">
    <w:abstractNumId w:val="7"/>
  </w:num>
  <w:num w:numId="2">
    <w:abstractNumId w:val="2"/>
  </w:num>
  <w:num w:numId="3">
    <w:abstractNumId w:val="4"/>
  </w:num>
  <w:num w:numId="4">
    <w:abstractNumId w:val="0"/>
  </w:num>
  <w:num w:numId="5">
    <w:abstractNumId w:val="9"/>
  </w:num>
  <w:num w:numId="6">
    <w:abstractNumId w:val="5"/>
  </w:num>
  <w:num w:numId="7">
    <w:abstractNumId w:val="8"/>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33CFE"/>
    <w:rsid w:val="000339D4"/>
    <w:rsid w:val="003134C9"/>
    <w:rsid w:val="00324D85"/>
    <w:rsid w:val="00396EED"/>
    <w:rsid w:val="003A75B8"/>
    <w:rsid w:val="00645A44"/>
    <w:rsid w:val="006C06BD"/>
    <w:rsid w:val="008A0235"/>
    <w:rsid w:val="008D3A70"/>
    <w:rsid w:val="0094257C"/>
    <w:rsid w:val="00950D08"/>
    <w:rsid w:val="009A4942"/>
    <w:rsid w:val="009A6E30"/>
    <w:rsid w:val="009D6BA2"/>
    <w:rsid w:val="00A33CFE"/>
    <w:rsid w:val="00B07427"/>
    <w:rsid w:val="00CD0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612EBD7"/>
  <w15:docId w15:val="{89F4DBD1-2AEF-4F89-AD37-A0FE0B5A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rFonts w:ascii="Arial" w:eastAsia="Arial" w:hAnsi="Arial" w:cs="Arial"/>
      <w:b/>
      <w:bCs/>
      <w:i/>
      <w:sz w:val="28"/>
      <w:szCs w:val="28"/>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360"/>
    </w:p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00"/>
      <w:ind w:left="1532" w:right="1839" w:hanging="13"/>
      <w:jc w:val="center"/>
    </w:pPr>
    <w:rPr>
      <w:rFonts w:ascii="Cambria" w:eastAsia="Cambria" w:hAnsi="Cambria" w:cs="Cambria"/>
      <w:b/>
      <w:bCs/>
      <w:sz w:val="72"/>
      <w:szCs w:val="72"/>
    </w:rPr>
  </w:style>
  <w:style w:type="paragraph" w:styleId="ListParagraph">
    <w:name w:val="List Paragraph"/>
    <w:basedOn w:val="Normal"/>
    <w:uiPriority w:val="1"/>
    <w:qFormat/>
    <w:pPr>
      <w:ind w:left="860" w:hanging="361"/>
    </w:pPr>
  </w:style>
  <w:style w:type="paragraph" w:customStyle="1" w:styleId="TableParagraph">
    <w:name w:val="Table Paragraph"/>
    <w:basedOn w:val="Normal"/>
    <w:uiPriority w:val="1"/>
    <w:qFormat/>
    <w:pPr>
      <w:spacing w:line="258" w:lineRule="exact"/>
      <w:ind w:left="107"/>
    </w:pPr>
  </w:style>
  <w:style w:type="character" w:customStyle="1" w:styleId="BodyTextChar">
    <w:name w:val="Body Text Char"/>
    <w:basedOn w:val="DefaultParagraphFont"/>
    <w:link w:val="BodyText"/>
    <w:uiPriority w:val="1"/>
    <w:rsid w:val="006C06BD"/>
    <w:rPr>
      <w:rFonts w:ascii="Calibri" w:eastAsia="Calibri" w:hAnsi="Calibri" w:cs="Calibri"/>
      <w:sz w:val="24"/>
      <w:szCs w:val="24"/>
    </w:rPr>
  </w:style>
  <w:style w:type="character" w:styleId="Hyperlink">
    <w:name w:val="Hyperlink"/>
    <w:basedOn w:val="DefaultParagraphFont"/>
    <w:uiPriority w:val="99"/>
    <w:unhideWhenUsed/>
    <w:rsid w:val="009D6B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jon.k.bowers@state.or.u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8</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Bowers</dc:creator>
  <cp:lastModifiedBy>MADIN Ian * DGMI</cp:lastModifiedBy>
  <cp:revision>7</cp:revision>
  <dcterms:created xsi:type="dcterms:W3CDTF">2021-04-14T18:31:00Z</dcterms:created>
  <dcterms:modified xsi:type="dcterms:W3CDTF">2021-04-14T23:22:00Z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2020-08-13T00:00:00Z</vt:filetime>
  </property>
  <property fmtid="{D5CDD505-2E9C-101B-9397-08002B2CF9AE}" pid="3" name="Creator">
    <vt:lpwstr>Microsoft® Word 2016</vt:lpwstr>
  </property>
  <property fmtid="{D5CDD505-2E9C-101B-9397-08002B2CF9AE}" pid="4" name="LastSaved">
    <vt:filetime>2021-04-14T00:00:00Z</vt:filetime>
  </property>
</Properties>
</file>