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2EAC" w:rsidRPr="002906A0" w:rsidRDefault="003F05ED">
      <w:pPr>
        <w:rPr>
          <w:rFonts w:ascii="Tahoma" w:hAnsi="Tahoma" w:cs="Tahoma"/>
        </w:rPr>
      </w:pPr>
      <w:r w:rsidRPr="002906A0">
        <w:rPr>
          <w:rFonts w:ascii="Tahoma" w:hAnsi="Tahoma" w:cs="Tahoma"/>
        </w:rPr>
        <w:t xml:space="preserve">Guidance </w:t>
      </w:r>
      <w:r w:rsidR="00531F6B">
        <w:rPr>
          <w:rFonts w:ascii="Tahoma" w:hAnsi="Tahoma" w:cs="Tahoma"/>
        </w:rPr>
        <w:t>for</w:t>
      </w:r>
      <w:r w:rsidRPr="002906A0">
        <w:rPr>
          <w:rFonts w:ascii="Tahoma" w:hAnsi="Tahoma" w:cs="Tahoma"/>
        </w:rPr>
        <w:t xml:space="preserve"> submission of tribal CHANGE Tool </w:t>
      </w:r>
      <w:r w:rsidR="00531F6B">
        <w:rPr>
          <w:rFonts w:ascii="Tahoma" w:hAnsi="Tahoma" w:cs="Tahoma"/>
        </w:rPr>
        <w:t xml:space="preserve">assessment </w:t>
      </w:r>
      <w:r w:rsidRPr="002906A0">
        <w:rPr>
          <w:rFonts w:ascii="Tahoma" w:hAnsi="Tahoma" w:cs="Tahoma"/>
        </w:rPr>
        <w:t>data</w:t>
      </w:r>
    </w:p>
    <w:p w:rsidR="003F05ED" w:rsidRPr="002906A0" w:rsidRDefault="003F05ED">
      <w:pPr>
        <w:rPr>
          <w:rFonts w:ascii="Tahoma" w:hAnsi="Tahoma" w:cs="Tahoma"/>
        </w:rPr>
      </w:pPr>
      <w:r w:rsidRPr="002906A0">
        <w:rPr>
          <w:rFonts w:ascii="Tahoma" w:hAnsi="Tahoma" w:cs="Tahoma"/>
        </w:rPr>
        <w:t>May 9, 2011</w:t>
      </w:r>
    </w:p>
    <w:p w:rsidR="003F05ED" w:rsidRDefault="003F05ED"/>
    <w:p w:rsidR="003F05ED" w:rsidRDefault="00C05BFB">
      <w:r w:rsidRPr="00C05BFB">
        <w:t xml:space="preserve">This document provides </w:t>
      </w:r>
      <w:r w:rsidR="00531F6B">
        <w:t xml:space="preserve">guidance for </w:t>
      </w:r>
      <w:r w:rsidRPr="00C05BFB">
        <w:t xml:space="preserve">how </w:t>
      </w:r>
      <w:r w:rsidR="00470382">
        <w:t xml:space="preserve">tribal </w:t>
      </w:r>
      <w:proofErr w:type="spellStart"/>
      <w:r w:rsidR="00470382">
        <w:t>TPEP</w:t>
      </w:r>
      <w:proofErr w:type="spellEnd"/>
      <w:r w:rsidR="00470382">
        <w:t xml:space="preserve"> program</w:t>
      </w:r>
      <w:r w:rsidR="00531F6B">
        <w:t>s</w:t>
      </w:r>
      <w:r w:rsidR="00470382">
        <w:t xml:space="preserve"> </w:t>
      </w:r>
      <w:r w:rsidR="00531F6B">
        <w:t>are to provide</w:t>
      </w:r>
      <w:r w:rsidR="00470382">
        <w:t xml:space="preserve"> </w:t>
      </w:r>
      <w:r w:rsidR="00531F6B">
        <w:t xml:space="preserve">CHANGE Tool assessment </w:t>
      </w:r>
      <w:r w:rsidRPr="00C05BFB">
        <w:t xml:space="preserve">data </w:t>
      </w:r>
      <w:r w:rsidR="008A0283">
        <w:t>to</w:t>
      </w:r>
      <w:r w:rsidR="008A0283" w:rsidRPr="00C05BFB">
        <w:t xml:space="preserve"> </w:t>
      </w:r>
      <w:r w:rsidRPr="00C05BFB">
        <w:t>the</w:t>
      </w:r>
      <w:r w:rsidR="00531F6B">
        <w:t xml:space="preserve"> Northwest Portland Area Indian Health Board (</w:t>
      </w:r>
      <w:proofErr w:type="spellStart"/>
      <w:r w:rsidRPr="00C05BFB">
        <w:t>NPAIHB</w:t>
      </w:r>
      <w:proofErr w:type="spellEnd"/>
      <w:r w:rsidR="00531F6B">
        <w:t>)</w:t>
      </w:r>
      <w:r w:rsidRPr="00C05BFB">
        <w:t xml:space="preserve">. </w:t>
      </w:r>
      <w:r w:rsidR="003F05ED">
        <w:t>Please contact your Liaison with any questions.</w:t>
      </w:r>
    </w:p>
    <w:p w:rsidR="003F05ED" w:rsidRDefault="003F05ED"/>
    <w:p w:rsidR="003F05ED" w:rsidRPr="002906A0" w:rsidRDefault="002906A0">
      <w:pPr>
        <w:rPr>
          <w:rFonts w:ascii="Tahoma" w:hAnsi="Tahoma" w:cs="Tahoma"/>
        </w:rPr>
      </w:pPr>
      <w:r w:rsidRPr="002906A0">
        <w:rPr>
          <w:rFonts w:ascii="Tahoma" w:hAnsi="Tahoma" w:cs="Tahoma"/>
        </w:rPr>
        <w:t>Background</w:t>
      </w:r>
    </w:p>
    <w:p w:rsidR="003F05ED" w:rsidRDefault="004E35DE">
      <w:r w:rsidRPr="004E35DE">
        <w:t xml:space="preserve">The purpose of the </w:t>
      </w:r>
      <w:r w:rsidRPr="004E35DE">
        <w:rPr>
          <w:i/>
        </w:rPr>
        <w:t>Healthy Communities Building Capacity Best Practice Objective</w:t>
      </w:r>
      <w:r w:rsidRPr="004E35DE">
        <w:rPr>
          <w:i/>
          <w:vertAlign w:val="superscript"/>
        </w:rPr>
        <w:footnoteReference w:id="1"/>
      </w:r>
      <w:r w:rsidRPr="004E35DE">
        <w:rPr>
          <w:i/>
        </w:rPr>
        <w:t xml:space="preserve"> </w:t>
      </w:r>
      <w:r w:rsidRPr="004E35DE">
        <w:t>(HC-BC BPO)</w:t>
      </w:r>
      <w:r w:rsidRPr="004E35DE">
        <w:rPr>
          <w:i/>
        </w:rPr>
        <w:t xml:space="preserve"> </w:t>
      </w:r>
      <w:r w:rsidRPr="004E35DE">
        <w:t xml:space="preserve">is to </w:t>
      </w:r>
      <w:r w:rsidR="00531F6B">
        <w:t>support</w:t>
      </w:r>
      <w:r w:rsidRPr="004E35DE">
        <w:t xml:space="preserve"> tribal health authorities</w:t>
      </w:r>
      <w:r w:rsidR="00531F6B">
        <w:t xml:space="preserve"> with</w:t>
      </w:r>
      <w:r w:rsidRPr="004E35DE">
        <w:t xml:space="preserve"> plan</w:t>
      </w:r>
      <w:r w:rsidR="00531F6B">
        <w:t>ning</w:t>
      </w:r>
      <w:r w:rsidRPr="004E35DE">
        <w:t xml:space="preserve"> a population-based approach to reduce the burden of chronic diseases most closely linked to commercial tobacco use, physical </w:t>
      </w:r>
      <w:proofErr w:type="gramStart"/>
      <w:r w:rsidRPr="004E35DE">
        <w:t>inactivity,</w:t>
      </w:r>
      <w:proofErr w:type="gramEnd"/>
      <w:r w:rsidRPr="004E35DE">
        <w:t xml:space="preserve"> and poor nutrition. Such chronic diseases include: arthritis, asthma, cancer, diabetes, hear</w:t>
      </w:r>
      <w:r w:rsidR="00A415BA">
        <w:t xml:space="preserve">t disease, obesity and stroke. </w:t>
      </w:r>
      <w:r w:rsidRPr="004E35DE">
        <w:t>Commercial tobacco use is the single most preventable cause of death and disease in Oregon. Poor nutrition and physical inactivity together are the second leading cause of preventable death and disease in Oregon. The HC-BC BPO is a strategy within the Tribal Tobacco Prevention and Education Program (TPEP) Grant, Program Element 16.</w:t>
      </w:r>
    </w:p>
    <w:p w:rsidR="004E35DE" w:rsidRDefault="004E35DE"/>
    <w:p w:rsidR="004E35DE" w:rsidRPr="00685AC8" w:rsidRDefault="00C05BFB" w:rsidP="004E35DE">
      <w:r>
        <w:t>In FY 2011, t</w:t>
      </w:r>
      <w:r w:rsidR="004E35DE" w:rsidRPr="00685AC8">
        <w:t>he Health Promotion and Chronic Disease Prevention (HPCDP) Section provide</w:t>
      </w:r>
      <w:r w:rsidR="00D77129">
        <w:t>d</w:t>
      </w:r>
      <w:r w:rsidR="004E35DE" w:rsidRPr="00685AC8">
        <w:t xml:space="preserve"> </w:t>
      </w:r>
      <w:r w:rsidR="00F45B35">
        <w:t xml:space="preserve">one-time </w:t>
      </w:r>
      <w:r w:rsidR="004E35DE" w:rsidRPr="00685AC8">
        <w:t xml:space="preserve">funding to all interested federally-recognized tribes in Oregon to support community-based partnerships, assessment and planning for </w:t>
      </w:r>
      <w:proofErr w:type="gramStart"/>
      <w:r w:rsidR="004E35DE" w:rsidRPr="00685AC8">
        <w:t>priority</w:t>
      </w:r>
      <w:proofErr w:type="gramEnd"/>
      <w:r w:rsidR="004E35DE" w:rsidRPr="00685AC8">
        <w:t xml:space="preserve"> policy, system and environmental changes to support tobacco prevention and chronic disease prevention, early detection and self-management in tribal communities. </w:t>
      </w:r>
    </w:p>
    <w:p w:rsidR="004E35DE" w:rsidRDefault="004E35DE"/>
    <w:p w:rsidR="00531F6B" w:rsidRDefault="004E35DE" w:rsidP="004E35DE">
      <w:r>
        <w:t>Program requirement C</w:t>
      </w:r>
      <w:r w:rsidR="00D77129">
        <w:t xml:space="preserve"> of </w:t>
      </w:r>
      <w:r w:rsidR="00C05BFB">
        <w:t>the FY 2011</w:t>
      </w:r>
      <w:r w:rsidR="00D77129">
        <w:t xml:space="preserve"> one-time funding</w:t>
      </w:r>
      <w:r>
        <w:t xml:space="preserve"> is to</w:t>
      </w:r>
    </w:p>
    <w:p w:rsidR="004E35DE" w:rsidRPr="00685AC8" w:rsidRDefault="004E35DE" w:rsidP="00531F6B">
      <w:pPr>
        <w:ind w:left="720" w:firstLine="60"/>
      </w:pPr>
      <w:r w:rsidRPr="00685AC8">
        <w:rPr>
          <w:b/>
          <w:bCs/>
        </w:rPr>
        <w:t>Complete a Community Needs Assessment</w:t>
      </w:r>
      <w:r w:rsidR="00531F6B">
        <w:rPr>
          <w:b/>
          <w:bCs/>
        </w:rPr>
        <w:t>:</w:t>
      </w:r>
      <w:r w:rsidRPr="00685AC8">
        <w:rPr>
          <w:b/>
          <w:bCs/>
        </w:rPr>
        <w:t xml:space="preserve"> </w:t>
      </w:r>
      <w:r w:rsidRPr="00685AC8">
        <w:t xml:space="preserve">In collaboration with </w:t>
      </w:r>
      <w:r w:rsidRPr="00685AC8">
        <w:rPr>
          <w:bCs/>
        </w:rPr>
        <w:t>community</w:t>
      </w:r>
      <w:r w:rsidRPr="00685AC8">
        <w:t xml:space="preserve"> partners, use the CHANGE Tool provided through the Healthy Communities Institute to conduct a robu</w:t>
      </w:r>
      <w:r w:rsidR="00C45DEF">
        <w:t xml:space="preserve">st community needs assessment. </w:t>
      </w:r>
    </w:p>
    <w:p w:rsidR="004E35DE" w:rsidRPr="00685AC8" w:rsidRDefault="004E35DE" w:rsidP="004E35DE">
      <w:pPr>
        <w:ind w:left="720"/>
      </w:pPr>
    </w:p>
    <w:p w:rsidR="00531F6B" w:rsidRDefault="004E35DE" w:rsidP="004E35DE">
      <w:pPr>
        <w:tabs>
          <w:tab w:val="num" w:pos="1800"/>
        </w:tabs>
      </w:pPr>
      <w:r>
        <w:t>Item ii for deliverable C:</w:t>
      </w:r>
    </w:p>
    <w:p w:rsidR="00810254" w:rsidRPr="00685AC8" w:rsidRDefault="00531F6B" w:rsidP="00531F6B">
      <w:pPr>
        <w:tabs>
          <w:tab w:val="num" w:pos="810"/>
        </w:tabs>
        <w:ind w:left="720"/>
      </w:pPr>
      <w:r>
        <w:tab/>
      </w:r>
      <w:r w:rsidR="008A0283">
        <w:rPr>
          <w:b/>
        </w:rPr>
        <w:t>D</w:t>
      </w:r>
      <w:r w:rsidR="008A0283" w:rsidRPr="004E35DE">
        <w:rPr>
          <w:b/>
        </w:rPr>
        <w:t xml:space="preserve">ata </w:t>
      </w:r>
      <w:r w:rsidR="004E35DE" w:rsidRPr="004E35DE">
        <w:rPr>
          <w:b/>
        </w:rPr>
        <w:t xml:space="preserve">from tribal community assessments </w:t>
      </w:r>
      <w:proofErr w:type="gramStart"/>
      <w:r w:rsidR="004E35DE" w:rsidRPr="004E35DE">
        <w:rPr>
          <w:b/>
        </w:rPr>
        <w:t>will be shared</w:t>
      </w:r>
      <w:proofErr w:type="gramEnd"/>
      <w:r w:rsidR="004E35DE" w:rsidRPr="004E35DE">
        <w:rPr>
          <w:b/>
        </w:rPr>
        <w:t xml:space="preserve"> with the NPAIHB, who are contracted to provide an aggregate report to HPCDP. </w:t>
      </w:r>
      <w:r w:rsidR="00470382">
        <w:t>NPAIHB will return i</w:t>
      </w:r>
      <w:r w:rsidR="004E35DE" w:rsidRPr="00685AC8">
        <w:t xml:space="preserve">ndividual tribal data to tribes by NPAIHB under existing data sharing agreements/norms.  </w:t>
      </w:r>
    </w:p>
    <w:p w:rsidR="004E35DE" w:rsidRDefault="004E35DE"/>
    <w:p w:rsidR="003F05ED" w:rsidRPr="002906A0" w:rsidRDefault="002906A0">
      <w:pPr>
        <w:rPr>
          <w:rFonts w:ascii="Tahoma" w:hAnsi="Tahoma" w:cs="Tahoma"/>
        </w:rPr>
      </w:pPr>
      <w:r w:rsidRPr="002906A0">
        <w:rPr>
          <w:rFonts w:ascii="Tahoma" w:hAnsi="Tahoma" w:cs="Tahoma"/>
        </w:rPr>
        <w:t>Process</w:t>
      </w:r>
    </w:p>
    <w:p w:rsidR="003F05ED" w:rsidRDefault="00CA7088">
      <w:r>
        <w:lastRenderedPageBreak/>
        <w:t xml:space="preserve">Email your complete CHANGE Tool data to Kerri Lopez at the NPAIHB. Kerri’s email address is </w:t>
      </w:r>
      <w:hyperlink r:id="rId7" w:history="1">
        <w:r w:rsidRPr="002B004B">
          <w:rPr>
            <w:rStyle w:val="Hyperlink"/>
          </w:rPr>
          <w:t>klopez@npaihb.org</w:t>
        </w:r>
      </w:hyperlink>
      <w:r>
        <w:t xml:space="preserve">. </w:t>
      </w:r>
      <w:r w:rsidR="00D42872">
        <w:t>Please let your Liaison know in a separa</w:t>
      </w:r>
      <w:r w:rsidR="00F45B35">
        <w:t>te email that you’ve submitted your CHANGE data</w:t>
      </w:r>
      <w:r w:rsidR="00D42872">
        <w:t xml:space="preserve"> to the </w:t>
      </w:r>
      <w:proofErr w:type="spellStart"/>
      <w:r w:rsidR="00531F6B">
        <w:t>NPAIHB</w:t>
      </w:r>
      <w:proofErr w:type="spellEnd"/>
      <w:r w:rsidR="00D42872">
        <w:t>.</w:t>
      </w:r>
    </w:p>
    <w:p w:rsidR="009716BD" w:rsidRDefault="009716BD"/>
    <w:p w:rsidR="009716BD" w:rsidRDefault="002B4737">
      <w:r>
        <w:t xml:space="preserve">Staff at the </w:t>
      </w:r>
      <w:proofErr w:type="spellStart"/>
      <w:r w:rsidR="00531F6B">
        <w:t>NPAIHB</w:t>
      </w:r>
      <w:proofErr w:type="spellEnd"/>
      <w:r w:rsidR="009716BD">
        <w:t xml:space="preserve"> will review the submissions, and complete the following table for each tribe, which will be returned to your HPCDP Liaison for grant tracking purposes.</w:t>
      </w:r>
      <w:r w:rsidR="00164B5B">
        <w:t xml:space="preserve"> This table does not represent the aggregate report; it is only for grant tracking. </w:t>
      </w:r>
    </w:p>
    <w:p w:rsidR="009716BD" w:rsidRDefault="009716BD"/>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47"/>
        <w:gridCol w:w="2945"/>
        <w:gridCol w:w="984"/>
        <w:gridCol w:w="1122"/>
        <w:gridCol w:w="1278"/>
      </w:tblGrid>
      <w:tr w:rsidR="000B7C12" w:rsidTr="00E96820">
        <w:tc>
          <w:tcPr>
            <w:tcW w:w="9576" w:type="dxa"/>
            <w:gridSpan w:val="5"/>
          </w:tcPr>
          <w:p w:rsidR="000B7C12" w:rsidRPr="009716BD" w:rsidRDefault="000B7C12">
            <w:pPr>
              <w:rPr>
                <w:sz w:val="24"/>
              </w:rPr>
            </w:pPr>
            <w:r w:rsidRPr="009716BD">
              <w:rPr>
                <w:sz w:val="24"/>
              </w:rPr>
              <w:t>Tribe:</w:t>
            </w:r>
          </w:p>
        </w:tc>
      </w:tr>
      <w:tr w:rsidR="000B7C12" w:rsidTr="00E96820">
        <w:tc>
          <w:tcPr>
            <w:tcW w:w="9576" w:type="dxa"/>
            <w:gridSpan w:val="5"/>
          </w:tcPr>
          <w:p w:rsidR="000B7C12" w:rsidRPr="009716BD" w:rsidRDefault="000B7C12">
            <w:pPr>
              <w:rPr>
                <w:sz w:val="24"/>
              </w:rPr>
            </w:pPr>
            <w:r w:rsidRPr="009716BD">
              <w:rPr>
                <w:sz w:val="24"/>
              </w:rPr>
              <w:t>Submission Date:</w:t>
            </w:r>
          </w:p>
        </w:tc>
      </w:tr>
      <w:tr w:rsidR="000B7C12" w:rsidTr="000B7C12">
        <w:tc>
          <w:tcPr>
            <w:tcW w:w="3272" w:type="dxa"/>
          </w:tcPr>
          <w:p w:rsidR="000B7C12" w:rsidRPr="009716BD" w:rsidRDefault="000B7C12">
            <w:pPr>
              <w:rPr>
                <w:sz w:val="24"/>
              </w:rPr>
            </w:pPr>
            <w:r w:rsidRPr="009716BD">
              <w:rPr>
                <w:sz w:val="24"/>
              </w:rPr>
              <w:t>Tool Sector</w:t>
            </w:r>
          </w:p>
        </w:tc>
        <w:tc>
          <w:tcPr>
            <w:tcW w:w="3009" w:type="dxa"/>
          </w:tcPr>
          <w:p w:rsidR="000B7C12" w:rsidRPr="009716BD" w:rsidRDefault="000B7C12">
            <w:pPr>
              <w:rPr>
                <w:sz w:val="24"/>
              </w:rPr>
            </w:pPr>
            <w:r w:rsidRPr="009716BD">
              <w:rPr>
                <w:sz w:val="24"/>
              </w:rPr>
              <w:t>Submitted</w:t>
            </w:r>
          </w:p>
          <w:p w:rsidR="000B7C12" w:rsidRPr="009716BD" w:rsidRDefault="000B7C12">
            <w:pPr>
              <w:rPr>
                <w:sz w:val="24"/>
              </w:rPr>
            </w:pPr>
            <w:r w:rsidRPr="009716BD">
              <w:rPr>
                <w:sz w:val="24"/>
              </w:rPr>
              <w:t>(</w:t>
            </w:r>
            <w:r w:rsidR="004F196A" w:rsidRPr="009716BD">
              <w:rPr>
                <w:sz w:val="24"/>
              </w:rPr>
              <w:t>If</w:t>
            </w:r>
            <w:r w:rsidRPr="009716BD">
              <w:rPr>
                <w:sz w:val="24"/>
              </w:rPr>
              <w:t xml:space="preserve"> not, why?)</w:t>
            </w:r>
          </w:p>
        </w:tc>
        <w:tc>
          <w:tcPr>
            <w:tcW w:w="892" w:type="dxa"/>
          </w:tcPr>
          <w:p w:rsidR="000B7C12" w:rsidRPr="009716BD" w:rsidRDefault="000B7C12">
            <w:pPr>
              <w:rPr>
                <w:sz w:val="24"/>
              </w:rPr>
            </w:pPr>
            <w:r>
              <w:rPr>
                <w:sz w:val="24"/>
              </w:rPr>
              <w:t>#</w:t>
            </w:r>
            <w:r w:rsidR="00810254">
              <w:rPr>
                <w:sz w:val="24"/>
              </w:rPr>
              <w:t xml:space="preserve"> settings assessed</w:t>
            </w:r>
          </w:p>
        </w:tc>
        <w:tc>
          <w:tcPr>
            <w:tcW w:w="1124" w:type="dxa"/>
          </w:tcPr>
          <w:p w:rsidR="000B7C12" w:rsidRPr="009716BD" w:rsidRDefault="000B7C12" w:rsidP="00A41E3F">
            <w:pPr>
              <w:rPr>
                <w:sz w:val="24"/>
              </w:rPr>
            </w:pPr>
            <w:r>
              <w:rPr>
                <w:sz w:val="24"/>
              </w:rPr>
              <w:t xml:space="preserve"># </w:t>
            </w:r>
            <w:r w:rsidR="00A41E3F">
              <w:rPr>
                <w:sz w:val="24"/>
              </w:rPr>
              <w:t>c</w:t>
            </w:r>
            <w:r w:rsidRPr="009716BD">
              <w:rPr>
                <w:sz w:val="24"/>
              </w:rPr>
              <w:t>omplete</w:t>
            </w:r>
          </w:p>
        </w:tc>
        <w:tc>
          <w:tcPr>
            <w:tcW w:w="1279" w:type="dxa"/>
          </w:tcPr>
          <w:p w:rsidR="000B7C12" w:rsidRPr="009716BD" w:rsidRDefault="000B7C12" w:rsidP="00A41E3F">
            <w:pPr>
              <w:rPr>
                <w:sz w:val="24"/>
              </w:rPr>
            </w:pPr>
            <w:r>
              <w:rPr>
                <w:sz w:val="24"/>
              </w:rPr>
              <w:t xml:space="preserve"># </w:t>
            </w:r>
            <w:r w:rsidR="00A41E3F">
              <w:rPr>
                <w:sz w:val="24"/>
              </w:rPr>
              <w:t>i</w:t>
            </w:r>
            <w:r w:rsidRPr="009716BD">
              <w:rPr>
                <w:sz w:val="24"/>
              </w:rPr>
              <w:t>ncomplete</w:t>
            </w:r>
          </w:p>
        </w:tc>
      </w:tr>
      <w:tr w:rsidR="000B7C12" w:rsidTr="000B7C12">
        <w:tc>
          <w:tcPr>
            <w:tcW w:w="3272" w:type="dxa"/>
          </w:tcPr>
          <w:p w:rsidR="000B7C12" w:rsidRPr="009716BD" w:rsidRDefault="000B7C12">
            <w:pPr>
              <w:rPr>
                <w:sz w:val="24"/>
              </w:rPr>
            </w:pPr>
            <w:r w:rsidRPr="009716BD">
              <w:rPr>
                <w:sz w:val="24"/>
              </w:rPr>
              <w:t>Community At Large</w:t>
            </w:r>
          </w:p>
        </w:tc>
        <w:tc>
          <w:tcPr>
            <w:tcW w:w="3009" w:type="dxa"/>
          </w:tcPr>
          <w:p w:rsidR="000B7C12" w:rsidRPr="009716BD" w:rsidRDefault="000B7C12">
            <w:pPr>
              <w:rPr>
                <w:sz w:val="24"/>
              </w:rPr>
            </w:pPr>
          </w:p>
        </w:tc>
        <w:tc>
          <w:tcPr>
            <w:tcW w:w="892" w:type="dxa"/>
          </w:tcPr>
          <w:p w:rsidR="000B7C12" w:rsidRPr="009716BD" w:rsidRDefault="000B7C12">
            <w:pPr>
              <w:rPr>
                <w:sz w:val="24"/>
              </w:rPr>
            </w:pPr>
          </w:p>
        </w:tc>
        <w:tc>
          <w:tcPr>
            <w:tcW w:w="1124" w:type="dxa"/>
          </w:tcPr>
          <w:p w:rsidR="000B7C12" w:rsidRPr="009716BD" w:rsidRDefault="000B7C12">
            <w:pPr>
              <w:rPr>
                <w:sz w:val="24"/>
              </w:rPr>
            </w:pPr>
          </w:p>
        </w:tc>
        <w:tc>
          <w:tcPr>
            <w:tcW w:w="1279" w:type="dxa"/>
          </w:tcPr>
          <w:p w:rsidR="000B7C12" w:rsidRPr="009716BD" w:rsidRDefault="000B7C12">
            <w:pPr>
              <w:rPr>
                <w:sz w:val="24"/>
              </w:rPr>
            </w:pPr>
          </w:p>
        </w:tc>
      </w:tr>
      <w:tr w:rsidR="000B7C12" w:rsidTr="000B7C12">
        <w:tc>
          <w:tcPr>
            <w:tcW w:w="3272" w:type="dxa"/>
          </w:tcPr>
          <w:p w:rsidR="000B7C12" w:rsidRPr="009716BD" w:rsidRDefault="000B7C12">
            <w:pPr>
              <w:rPr>
                <w:sz w:val="24"/>
              </w:rPr>
            </w:pPr>
            <w:r w:rsidRPr="009716BD">
              <w:rPr>
                <w:sz w:val="24"/>
              </w:rPr>
              <w:t>Community Institution/Organization</w:t>
            </w:r>
          </w:p>
        </w:tc>
        <w:tc>
          <w:tcPr>
            <w:tcW w:w="3009" w:type="dxa"/>
          </w:tcPr>
          <w:p w:rsidR="000B7C12" w:rsidRPr="009716BD" w:rsidRDefault="000B7C12">
            <w:pPr>
              <w:rPr>
                <w:sz w:val="24"/>
              </w:rPr>
            </w:pPr>
          </w:p>
        </w:tc>
        <w:tc>
          <w:tcPr>
            <w:tcW w:w="892" w:type="dxa"/>
          </w:tcPr>
          <w:p w:rsidR="000B7C12" w:rsidRPr="009716BD" w:rsidRDefault="000B7C12">
            <w:pPr>
              <w:rPr>
                <w:sz w:val="24"/>
              </w:rPr>
            </w:pPr>
          </w:p>
        </w:tc>
        <w:tc>
          <w:tcPr>
            <w:tcW w:w="1124" w:type="dxa"/>
          </w:tcPr>
          <w:p w:rsidR="000B7C12" w:rsidRPr="009716BD" w:rsidRDefault="000B7C12">
            <w:pPr>
              <w:rPr>
                <w:sz w:val="24"/>
              </w:rPr>
            </w:pPr>
          </w:p>
        </w:tc>
        <w:tc>
          <w:tcPr>
            <w:tcW w:w="1279" w:type="dxa"/>
          </w:tcPr>
          <w:p w:rsidR="000B7C12" w:rsidRPr="009716BD" w:rsidRDefault="000B7C12">
            <w:pPr>
              <w:rPr>
                <w:sz w:val="24"/>
              </w:rPr>
            </w:pPr>
          </w:p>
        </w:tc>
      </w:tr>
      <w:tr w:rsidR="000B7C12" w:rsidTr="000B7C12">
        <w:tc>
          <w:tcPr>
            <w:tcW w:w="3272" w:type="dxa"/>
          </w:tcPr>
          <w:p w:rsidR="000B7C12" w:rsidRPr="009716BD" w:rsidRDefault="000B7C12">
            <w:pPr>
              <w:rPr>
                <w:sz w:val="24"/>
              </w:rPr>
            </w:pPr>
            <w:r w:rsidRPr="009716BD">
              <w:rPr>
                <w:sz w:val="24"/>
              </w:rPr>
              <w:t>School</w:t>
            </w:r>
          </w:p>
        </w:tc>
        <w:tc>
          <w:tcPr>
            <w:tcW w:w="3009" w:type="dxa"/>
          </w:tcPr>
          <w:p w:rsidR="000B7C12" w:rsidRPr="009716BD" w:rsidRDefault="000B7C12">
            <w:pPr>
              <w:rPr>
                <w:sz w:val="24"/>
              </w:rPr>
            </w:pPr>
          </w:p>
        </w:tc>
        <w:tc>
          <w:tcPr>
            <w:tcW w:w="892" w:type="dxa"/>
          </w:tcPr>
          <w:p w:rsidR="000B7C12" w:rsidRPr="009716BD" w:rsidRDefault="000B7C12">
            <w:pPr>
              <w:rPr>
                <w:sz w:val="24"/>
              </w:rPr>
            </w:pPr>
          </w:p>
        </w:tc>
        <w:tc>
          <w:tcPr>
            <w:tcW w:w="1124" w:type="dxa"/>
          </w:tcPr>
          <w:p w:rsidR="000B7C12" w:rsidRPr="009716BD" w:rsidRDefault="000B7C12">
            <w:pPr>
              <w:rPr>
                <w:sz w:val="24"/>
              </w:rPr>
            </w:pPr>
          </w:p>
        </w:tc>
        <w:tc>
          <w:tcPr>
            <w:tcW w:w="1279" w:type="dxa"/>
          </w:tcPr>
          <w:p w:rsidR="000B7C12" w:rsidRPr="009716BD" w:rsidRDefault="000B7C12">
            <w:pPr>
              <w:rPr>
                <w:sz w:val="24"/>
              </w:rPr>
            </w:pPr>
          </w:p>
        </w:tc>
      </w:tr>
      <w:tr w:rsidR="000B7C12" w:rsidTr="000B7C12">
        <w:tc>
          <w:tcPr>
            <w:tcW w:w="3272" w:type="dxa"/>
          </w:tcPr>
          <w:p w:rsidR="000B7C12" w:rsidRPr="009716BD" w:rsidRDefault="000B7C12">
            <w:pPr>
              <w:rPr>
                <w:sz w:val="24"/>
              </w:rPr>
            </w:pPr>
            <w:r w:rsidRPr="009716BD">
              <w:rPr>
                <w:sz w:val="24"/>
              </w:rPr>
              <w:t>Work Site</w:t>
            </w:r>
          </w:p>
        </w:tc>
        <w:tc>
          <w:tcPr>
            <w:tcW w:w="3009" w:type="dxa"/>
          </w:tcPr>
          <w:p w:rsidR="000B7C12" w:rsidRPr="009716BD" w:rsidRDefault="000B7C12">
            <w:pPr>
              <w:rPr>
                <w:sz w:val="24"/>
              </w:rPr>
            </w:pPr>
          </w:p>
        </w:tc>
        <w:tc>
          <w:tcPr>
            <w:tcW w:w="892" w:type="dxa"/>
          </w:tcPr>
          <w:p w:rsidR="000B7C12" w:rsidRPr="009716BD" w:rsidRDefault="000B7C12">
            <w:pPr>
              <w:rPr>
                <w:sz w:val="24"/>
              </w:rPr>
            </w:pPr>
          </w:p>
        </w:tc>
        <w:tc>
          <w:tcPr>
            <w:tcW w:w="1124" w:type="dxa"/>
          </w:tcPr>
          <w:p w:rsidR="000B7C12" w:rsidRPr="009716BD" w:rsidRDefault="000B7C12">
            <w:pPr>
              <w:rPr>
                <w:sz w:val="24"/>
              </w:rPr>
            </w:pPr>
          </w:p>
        </w:tc>
        <w:tc>
          <w:tcPr>
            <w:tcW w:w="1279" w:type="dxa"/>
          </w:tcPr>
          <w:p w:rsidR="000B7C12" w:rsidRPr="009716BD" w:rsidRDefault="000B7C12">
            <w:pPr>
              <w:rPr>
                <w:sz w:val="24"/>
              </w:rPr>
            </w:pPr>
          </w:p>
        </w:tc>
      </w:tr>
      <w:tr w:rsidR="000B7C12" w:rsidTr="000B7C12">
        <w:tc>
          <w:tcPr>
            <w:tcW w:w="3272" w:type="dxa"/>
          </w:tcPr>
          <w:p w:rsidR="000B7C12" w:rsidRPr="009716BD" w:rsidRDefault="000B7C12">
            <w:pPr>
              <w:rPr>
                <w:sz w:val="24"/>
              </w:rPr>
            </w:pPr>
            <w:r w:rsidRPr="009716BD">
              <w:rPr>
                <w:sz w:val="24"/>
              </w:rPr>
              <w:t>Health Care</w:t>
            </w:r>
          </w:p>
        </w:tc>
        <w:tc>
          <w:tcPr>
            <w:tcW w:w="3009" w:type="dxa"/>
          </w:tcPr>
          <w:p w:rsidR="000B7C12" w:rsidRPr="009716BD" w:rsidRDefault="000B7C12">
            <w:pPr>
              <w:rPr>
                <w:sz w:val="24"/>
              </w:rPr>
            </w:pPr>
          </w:p>
        </w:tc>
        <w:tc>
          <w:tcPr>
            <w:tcW w:w="892" w:type="dxa"/>
          </w:tcPr>
          <w:p w:rsidR="000B7C12" w:rsidRPr="009716BD" w:rsidRDefault="000B7C12">
            <w:pPr>
              <w:rPr>
                <w:sz w:val="24"/>
              </w:rPr>
            </w:pPr>
          </w:p>
        </w:tc>
        <w:tc>
          <w:tcPr>
            <w:tcW w:w="1124" w:type="dxa"/>
          </w:tcPr>
          <w:p w:rsidR="000B7C12" w:rsidRPr="009716BD" w:rsidRDefault="000B7C12">
            <w:pPr>
              <w:rPr>
                <w:sz w:val="24"/>
              </w:rPr>
            </w:pPr>
          </w:p>
        </w:tc>
        <w:tc>
          <w:tcPr>
            <w:tcW w:w="1279" w:type="dxa"/>
          </w:tcPr>
          <w:p w:rsidR="000B7C12" w:rsidRPr="009716BD" w:rsidRDefault="000B7C12">
            <w:pPr>
              <w:rPr>
                <w:sz w:val="24"/>
              </w:rPr>
            </w:pPr>
          </w:p>
        </w:tc>
      </w:tr>
    </w:tbl>
    <w:p w:rsidR="009716BD" w:rsidRDefault="009716BD"/>
    <w:p w:rsidR="003F05ED" w:rsidRPr="002906A0" w:rsidRDefault="002906A0">
      <w:pPr>
        <w:rPr>
          <w:rFonts w:ascii="Tahoma" w:hAnsi="Tahoma" w:cs="Tahoma"/>
        </w:rPr>
      </w:pPr>
      <w:r w:rsidRPr="002906A0">
        <w:rPr>
          <w:rFonts w:ascii="Tahoma" w:hAnsi="Tahoma" w:cs="Tahoma"/>
        </w:rPr>
        <w:t>Next Steps</w:t>
      </w:r>
    </w:p>
    <w:p w:rsidR="003F05ED" w:rsidRDefault="00D93229">
      <w:r>
        <w:t xml:space="preserve">Each tribe is in a different stage of completion of its CHANGE data collection. </w:t>
      </w:r>
      <w:r w:rsidR="00D42872">
        <w:t>As the NPAIHB receives data</w:t>
      </w:r>
      <w:r w:rsidR="00891D0E">
        <w:t>, they will aggregate the data into a report for HPCDP and tribes.</w:t>
      </w:r>
      <w:r w:rsidR="000E5968">
        <w:t xml:space="preserve"> </w:t>
      </w:r>
      <w:r w:rsidR="000B7C12">
        <w:t xml:space="preserve"> </w:t>
      </w:r>
    </w:p>
    <w:p w:rsidR="00C05BFB" w:rsidRDefault="00C05BFB"/>
    <w:p w:rsidR="00C05BFB" w:rsidRDefault="00C05BFB">
      <w:r>
        <w:t xml:space="preserve">Tribes should submit CHANGE tool data as soon as it is complete. All tribes who receive FY 2011 one-time funding should </w:t>
      </w:r>
      <w:r w:rsidR="006722B5">
        <w:t xml:space="preserve">strive to </w:t>
      </w:r>
      <w:r>
        <w:t xml:space="preserve">submit their CHANGE data to NPAIHB by the end of the first quarter FY 2012 grant year (September 30, 2011). </w:t>
      </w:r>
      <w:r w:rsidR="00470382">
        <w:t xml:space="preserve">The </w:t>
      </w:r>
      <w:proofErr w:type="spellStart"/>
      <w:r w:rsidR="00531F6B">
        <w:t>NPAIHB</w:t>
      </w:r>
      <w:proofErr w:type="spellEnd"/>
      <w:r w:rsidR="00470382">
        <w:t xml:space="preserve"> will develop the</w:t>
      </w:r>
      <w:r>
        <w:t xml:space="preserve"> aggregate report </w:t>
      </w:r>
      <w:r w:rsidR="00531F6B">
        <w:t xml:space="preserve">in </w:t>
      </w:r>
      <w:r>
        <w:t>October</w:t>
      </w:r>
      <w:r w:rsidR="00531F6B">
        <w:t xml:space="preserve"> 2011</w:t>
      </w:r>
      <w:r>
        <w:t xml:space="preserve">. </w:t>
      </w:r>
    </w:p>
    <w:p w:rsidR="00810254" w:rsidRDefault="00810254"/>
    <w:p w:rsidR="00810254" w:rsidRDefault="00810254">
      <w:r>
        <w:t xml:space="preserve">By submitting data for inclusion in the aggregate report, tribes will </w:t>
      </w:r>
      <w:r w:rsidR="00A859CF">
        <w:t>help HPCDP include tribal</w:t>
      </w:r>
      <w:r>
        <w:t xml:space="preserve"> community priorities </w:t>
      </w:r>
      <w:r w:rsidR="00A859CF">
        <w:t>in any</w:t>
      </w:r>
      <w:r>
        <w:t xml:space="preserve"> strategic planning and grant opportunities that HPCDP m</w:t>
      </w:r>
      <w:r w:rsidR="00531F6B">
        <w:t xml:space="preserve">ay </w:t>
      </w:r>
      <w:r>
        <w:t xml:space="preserve">seek </w:t>
      </w:r>
      <w:r w:rsidR="00531F6B">
        <w:t xml:space="preserve">for future tribal Healthy Communities and TPEP efforts. </w:t>
      </w:r>
    </w:p>
    <w:p w:rsidR="003F05ED" w:rsidRDefault="003F05ED"/>
    <w:sectPr w:rsidR="003F05ED" w:rsidSect="00B22EA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24F8" w:rsidRDefault="000524F8" w:rsidP="004E35DE">
      <w:r>
        <w:separator/>
      </w:r>
    </w:p>
  </w:endnote>
  <w:endnote w:type="continuationSeparator" w:id="0">
    <w:p w:rsidR="000524F8" w:rsidRDefault="000524F8" w:rsidP="004E35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1B2" w:rsidRDefault="009671B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1B2" w:rsidRDefault="009671B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1B2" w:rsidRDefault="009671B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24F8" w:rsidRDefault="000524F8" w:rsidP="004E35DE">
      <w:r>
        <w:separator/>
      </w:r>
    </w:p>
  </w:footnote>
  <w:footnote w:type="continuationSeparator" w:id="0">
    <w:p w:rsidR="000524F8" w:rsidRDefault="000524F8" w:rsidP="004E35DE">
      <w:r>
        <w:continuationSeparator/>
      </w:r>
    </w:p>
  </w:footnote>
  <w:footnote w:id="1">
    <w:p w:rsidR="004E35DE" w:rsidRDefault="004E35DE" w:rsidP="004E35DE">
      <w:pPr>
        <w:pStyle w:val="FootnoteText"/>
      </w:pPr>
      <w:r>
        <w:rPr>
          <w:rStyle w:val="FootnoteReference"/>
        </w:rPr>
        <w:footnoteRef/>
      </w:r>
      <w:r>
        <w:t xml:space="preserve"> The Healthy Communities Capacity Building Best Practice Objective is the first BPO in the 2010-2011 Tribal TPEP RFA.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1B2" w:rsidRDefault="009671B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1B2" w:rsidRDefault="009671B2">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1B2" w:rsidRDefault="009671B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9E0101"/>
    <w:multiLevelType w:val="hybridMultilevel"/>
    <w:tmpl w:val="717282FC"/>
    <w:lvl w:ilvl="0" w:tplc="8F02AAFA">
      <w:start w:val="1"/>
      <w:numFmt w:val="low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6"/>
  <w:displayBackgroundShape/>
  <w:proofState w:spelling="clean" w:grammar="clean"/>
  <w:trackRevisions/>
  <w:doNotTrackMoves/>
  <w:defaultTabStop w:val="720"/>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F05ED"/>
    <w:rsid w:val="000275E4"/>
    <w:rsid w:val="000524F8"/>
    <w:rsid w:val="000B7C12"/>
    <w:rsid w:val="000E5968"/>
    <w:rsid w:val="00104DAB"/>
    <w:rsid w:val="00164B5B"/>
    <w:rsid w:val="00172260"/>
    <w:rsid w:val="001E7DA5"/>
    <w:rsid w:val="002906A0"/>
    <w:rsid w:val="002B4737"/>
    <w:rsid w:val="00333985"/>
    <w:rsid w:val="003E1713"/>
    <w:rsid w:val="003F05ED"/>
    <w:rsid w:val="003F3840"/>
    <w:rsid w:val="00470382"/>
    <w:rsid w:val="004C7805"/>
    <w:rsid w:val="004E35DE"/>
    <w:rsid w:val="004F196A"/>
    <w:rsid w:val="004F2BBD"/>
    <w:rsid w:val="00511B71"/>
    <w:rsid w:val="00531F6B"/>
    <w:rsid w:val="006722B5"/>
    <w:rsid w:val="00810254"/>
    <w:rsid w:val="0082773F"/>
    <w:rsid w:val="00841428"/>
    <w:rsid w:val="00891D0E"/>
    <w:rsid w:val="008958AA"/>
    <w:rsid w:val="008A0283"/>
    <w:rsid w:val="008B4057"/>
    <w:rsid w:val="00965A3D"/>
    <w:rsid w:val="009671B2"/>
    <w:rsid w:val="009716BD"/>
    <w:rsid w:val="00A415BA"/>
    <w:rsid w:val="00A41E3F"/>
    <w:rsid w:val="00A84CE2"/>
    <w:rsid w:val="00A859CF"/>
    <w:rsid w:val="00AC26CA"/>
    <w:rsid w:val="00B22EAC"/>
    <w:rsid w:val="00C05BFB"/>
    <w:rsid w:val="00C45DEF"/>
    <w:rsid w:val="00CA7088"/>
    <w:rsid w:val="00D42872"/>
    <w:rsid w:val="00D77129"/>
    <w:rsid w:val="00D93229"/>
    <w:rsid w:val="00DC266B"/>
    <w:rsid w:val="00DE66EE"/>
    <w:rsid w:val="00E95E16"/>
    <w:rsid w:val="00E96820"/>
    <w:rsid w:val="00F45B35"/>
    <w:rsid w:val="00F73F3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aramond" w:eastAsia="Calibri" w:hAnsi="Garamond"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4057"/>
    <w:rPr>
      <w:sz w:val="28"/>
      <w:szCs w:val="24"/>
    </w:rPr>
  </w:style>
  <w:style w:type="paragraph" w:styleId="Heading1">
    <w:name w:val="heading 1"/>
    <w:basedOn w:val="Normal"/>
    <w:next w:val="Normal"/>
    <w:link w:val="Heading1Char"/>
    <w:autoRedefine/>
    <w:uiPriority w:val="9"/>
    <w:qFormat/>
    <w:rsid w:val="008B4057"/>
    <w:pPr>
      <w:keepNext/>
      <w:outlineLvl w:val="0"/>
    </w:pPr>
    <w:rPr>
      <w:rFonts w:ascii="Tahoma" w:eastAsia="Times New Roman" w:hAnsi="Tahoma"/>
      <w:b/>
      <w:bCs/>
      <w:kern w:val="32"/>
      <w:szCs w:val="32"/>
    </w:rPr>
  </w:style>
  <w:style w:type="paragraph" w:styleId="Heading2">
    <w:name w:val="heading 2"/>
    <w:basedOn w:val="Normal"/>
    <w:next w:val="Normal"/>
    <w:link w:val="Heading2Char"/>
    <w:autoRedefine/>
    <w:uiPriority w:val="9"/>
    <w:unhideWhenUsed/>
    <w:qFormat/>
    <w:rsid w:val="008B4057"/>
    <w:pPr>
      <w:keepNext/>
      <w:outlineLvl w:val="1"/>
    </w:pPr>
    <w:rPr>
      <w:rFonts w:ascii="Tahoma" w:eastAsia="Times New Roman" w:hAnsi="Tahoma"/>
      <w:b/>
      <w:bCs/>
      <w:i/>
      <w:i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4057"/>
    <w:rPr>
      <w:rFonts w:ascii="Tahoma" w:eastAsia="Times New Roman" w:hAnsi="Tahoma" w:cs="Times New Roman"/>
      <w:b/>
      <w:bCs/>
      <w:kern w:val="32"/>
      <w:sz w:val="28"/>
      <w:szCs w:val="32"/>
    </w:rPr>
  </w:style>
  <w:style w:type="paragraph" w:styleId="Title">
    <w:name w:val="Title"/>
    <w:basedOn w:val="Normal"/>
    <w:next w:val="Normal"/>
    <w:link w:val="TitleChar"/>
    <w:autoRedefine/>
    <w:uiPriority w:val="10"/>
    <w:qFormat/>
    <w:rsid w:val="008B4057"/>
    <w:pPr>
      <w:jc w:val="center"/>
      <w:outlineLvl w:val="0"/>
    </w:pPr>
    <w:rPr>
      <w:rFonts w:ascii="Tahoma" w:eastAsia="Times New Roman" w:hAnsi="Tahoma"/>
      <w:b/>
      <w:bCs/>
      <w:kern w:val="28"/>
      <w:szCs w:val="32"/>
    </w:rPr>
  </w:style>
  <w:style w:type="character" w:customStyle="1" w:styleId="TitleChar">
    <w:name w:val="Title Char"/>
    <w:basedOn w:val="DefaultParagraphFont"/>
    <w:link w:val="Title"/>
    <w:uiPriority w:val="10"/>
    <w:rsid w:val="008B4057"/>
    <w:rPr>
      <w:rFonts w:ascii="Tahoma" w:eastAsia="Times New Roman" w:hAnsi="Tahoma" w:cs="Times New Roman"/>
      <w:b/>
      <w:bCs/>
      <w:kern w:val="28"/>
      <w:sz w:val="28"/>
      <w:szCs w:val="32"/>
    </w:rPr>
  </w:style>
  <w:style w:type="character" w:customStyle="1" w:styleId="Heading2Char">
    <w:name w:val="Heading 2 Char"/>
    <w:basedOn w:val="DefaultParagraphFont"/>
    <w:link w:val="Heading2"/>
    <w:uiPriority w:val="9"/>
    <w:rsid w:val="008B4057"/>
    <w:rPr>
      <w:rFonts w:ascii="Tahoma" w:eastAsia="Times New Roman" w:hAnsi="Tahoma" w:cs="Times New Roman"/>
      <w:b/>
      <w:bCs/>
      <w:i/>
      <w:iCs/>
      <w:sz w:val="28"/>
      <w:szCs w:val="28"/>
    </w:rPr>
  </w:style>
  <w:style w:type="paragraph" w:styleId="FootnoteText">
    <w:name w:val="footnote text"/>
    <w:basedOn w:val="Normal"/>
    <w:link w:val="FootnoteTextChar"/>
    <w:semiHidden/>
    <w:rsid w:val="004E35DE"/>
    <w:rPr>
      <w:rFonts w:ascii="Book Antiqua" w:eastAsia="Times New Roman" w:hAnsi="Book Antiqua"/>
      <w:sz w:val="20"/>
      <w:szCs w:val="20"/>
    </w:rPr>
  </w:style>
  <w:style w:type="character" w:customStyle="1" w:styleId="FootnoteTextChar">
    <w:name w:val="Footnote Text Char"/>
    <w:basedOn w:val="DefaultParagraphFont"/>
    <w:link w:val="FootnoteText"/>
    <w:semiHidden/>
    <w:rsid w:val="004E35DE"/>
    <w:rPr>
      <w:rFonts w:ascii="Book Antiqua" w:eastAsia="Times New Roman" w:hAnsi="Book Antiqua" w:cs="Times New Roman"/>
      <w:sz w:val="20"/>
      <w:szCs w:val="20"/>
    </w:rPr>
  </w:style>
  <w:style w:type="character" w:styleId="FootnoteReference">
    <w:name w:val="footnote reference"/>
    <w:basedOn w:val="DefaultParagraphFont"/>
    <w:semiHidden/>
    <w:rsid w:val="004E35DE"/>
    <w:rPr>
      <w:vertAlign w:val="superscript"/>
    </w:rPr>
  </w:style>
  <w:style w:type="paragraph" w:styleId="Header">
    <w:name w:val="header"/>
    <w:basedOn w:val="Normal"/>
    <w:link w:val="HeaderChar"/>
    <w:uiPriority w:val="99"/>
    <w:semiHidden/>
    <w:unhideWhenUsed/>
    <w:rsid w:val="009671B2"/>
    <w:pPr>
      <w:tabs>
        <w:tab w:val="center" w:pos="4680"/>
        <w:tab w:val="right" w:pos="9360"/>
      </w:tabs>
    </w:pPr>
  </w:style>
  <w:style w:type="character" w:customStyle="1" w:styleId="HeaderChar">
    <w:name w:val="Header Char"/>
    <w:basedOn w:val="DefaultParagraphFont"/>
    <w:link w:val="Header"/>
    <w:uiPriority w:val="99"/>
    <w:semiHidden/>
    <w:rsid w:val="009671B2"/>
    <w:rPr>
      <w:sz w:val="28"/>
    </w:rPr>
  </w:style>
  <w:style w:type="paragraph" w:styleId="Footer">
    <w:name w:val="footer"/>
    <w:basedOn w:val="Normal"/>
    <w:link w:val="FooterChar"/>
    <w:uiPriority w:val="99"/>
    <w:semiHidden/>
    <w:unhideWhenUsed/>
    <w:rsid w:val="009671B2"/>
    <w:pPr>
      <w:tabs>
        <w:tab w:val="center" w:pos="4680"/>
        <w:tab w:val="right" w:pos="9360"/>
      </w:tabs>
    </w:pPr>
  </w:style>
  <w:style w:type="character" w:customStyle="1" w:styleId="FooterChar">
    <w:name w:val="Footer Char"/>
    <w:basedOn w:val="DefaultParagraphFont"/>
    <w:link w:val="Footer"/>
    <w:uiPriority w:val="99"/>
    <w:semiHidden/>
    <w:rsid w:val="009671B2"/>
    <w:rPr>
      <w:sz w:val="28"/>
    </w:rPr>
  </w:style>
  <w:style w:type="character" w:styleId="Hyperlink">
    <w:name w:val="Hyperlink"/>
    <w:basedOn w:val="DefaultParagraphFont"/>
    <w:uiPriority w:val="99"/>
    <w:unhideWhenUsed/>
    <w:rsid w:val="00CA7088"/>
    <w:rPr>
      <w:color w:val="0000FF"/>
      <w:u w:val="single"/>
    </w:rPr>
  </w:style>
  <w:style w:type="table" w:styleId="TableGrid">
    <w:name w:val="Table Grid"/>
    <w:basedOn w:val="TableNormal"/>
    <w:uiPriority w:val="59"/>
    <w:rsid w:val="009716B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33985"/>
    <w:rPr>
      <w:rFonts w:ascii="Tahoma" w:hAnsi="Tahoma" w:cs="Tahoma"/>
      <w:sz w:val="16"/>
      <w:szCs w:val="16"/>
    </w:rPr>
  </w:style>
  <w:style w:type="character" w:customStyle="1" w:styleId="BalloonTextChar">
    <w:name w:val="Balloon Text Char"/>
    <w:basedOn w:val="DefaultParagraphFont"/>
    <w:link w:val="BalloonText"/>
    <w:uiPriority w:val="99"/>
    <w:semiHidden/>
    <w:rsid w:val="0033398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klopez@npaihb.or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8D0C8"/>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515</Words>
  <Characters>2938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DHS</Company>
  <LinksUpToDate>false</LinksUpToDate>
  <CharactersWithSpaces>3447</CharactersWithSpaces>
  <SharedDoc>false</SharedDoc>
  <HLinks>
    <vt:vector size="6" baseType="variant">
      <vt:variant>
        <vt:i4>3145751</vt:i4>
      </vt:variant>
      <vt:variant>
        <vt:i4>0</vt:i4>
      </vt:variant>
      <vt:variant>
        <vt:i4>0</vt:i4>
      </vt:variant>
      <vt:variant>
        <vt:i4>5</vt:i4>
      </vt:variant>
      <vt:variant>
        <vt:lpwstr>mailto:klopez@npaihb.org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 Moseley</dc:creator>
  <cp:keywords/>
  <dc:description/>
  <cp:lastModifiedBy>Kati Moseley</cp:lastModifiedBy>
  <cp:revision>2</cp:revision>
  <cp:lastPrinted>2011-05-09T19:41:00Z</cp:lastPrinted>
  <dcterms:created xsi:type="dcterms:W3CDTF">2011-05-12T16:28:00Z</dcterms:created>
  <dcterms:modified xsi:type="dcterms:W3CDTF">2011-05-12T16:28:00Z</dcterms:modified>
</cp:coreProperties>
</file>