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CC3" w:rsidRPr="00AB4996" w:rsidRDefault="00AA5CC3" w:rsidP="00AA5CC3">
      <w:pPr>
        <w:rPr>
          <w:szCs w:val="24"/>
        </w:rPr>
      </w:pPr>
    </w:p>
    <w:p w:rsidR="00AA5CC3" w:rsidRDefault="00AA5CC3" w:rsidP="00AA5CC3">
      <w:pPr>
        <w:widowControl w:val="0"/>
        <w:autoSpaceDE w:val="0"/>
        <w:autoSpaceDN w:val="0"/>
        <w:adjustRightInd w:val="0"/>
        <w:rPr>
          <w:rFonts w:cs="Helvetica"/>
          <w:szCs w:val="28"/>
        </w:rPr>
      </w:pPr>
      <w:r>
        <w:rPr>
          <w:rFonts w:cs="Helvetica"/>
          <w:szCs w:val="28"/>
        </w:rPr>
        <w:t>Healthy Communities grantees, TPEP grantees and tribes:</w:t>
      </w:r>
    </w:p>
    <w:p w:rsidR="00AA5CC3" w:rsidRDefault="00AA5CC3" w:rsidP="00AA5CC3">
      <w:pPr>
        <w:widowControl w:val="0"/>
        <w:autoSpaceDE w:val="0"/>
        <w:autoSpaceDN w:val="0"/>
        <w:adjustRightInd w:val="0"/>
        <w:rPr>
          <w:rFonts w:cs="Helvetica"/>
          <w:szCs w:val="28"/>
        </w:rPr>
      </w:pPr>
    </w:p>
    <w:p w:rsidR="00AA5CC3" w:rsidRDefault="00AA5CC3" w:rsidP="00AA5CC3">
      <w:pPr>
        <w:widowControl w:val="0"/>
        <w:autoSpaceDE w:val="0"/>
        <w:autoSpaceDN w:val="0"/>
        <w:adjustRightInd w:val="0"/>
        <w:rPr>
          <w:rFonts w:cs="Helvetica"/>
          <w:szCs w:val="28"/>
        </w:rPr>
      </w:pPr>
      <w:r>
        <w:rPr>
          <w:rFonts w:cs="Helvetica"/>
          <w:szCs w:val="28"/>
        </w:rPr>
        <w:t>Here’s an opportunity to leverage a national event to gain local visibility for your work.</w:t>
      </w:r>
    </w:p>
    <w:p w:rsidR="00AA5CC3" w:rsidRDefault="00AA5CC3" w:rsidP="00AA5CC3">
      <w:pPr>
        <w:widowControl w:val="0"/>
        <w:autoSpaceDE w:val="0"/>
        <w:autoSpaceDN w:val="0"/>
        <w:adjustRightInd w:val="0"/>
        <w:rPr>
          <w:rFonts w:cs="Helvetica"/>
          <w:szCs w:val="28"/>
        </w:rPr>
      </w:pPr>
    </w:p>
    <w:p w:rsidR="00AA5CC3" w:rsidRDefault="00AA5CC3" w:rsidP="00AA5CC3">
      <w:pPr>
        <w:widowControl w:val="0"/>
        <w:autoSpaceDE w:val="0"/>
        <w:autoSpaceDN w:val="0"/>
        <w:adjustRightInd w:val="0"/>
        <w:rPr>
          <w:rFonts w:cs="Helvetica"/>
          <w:szCs w:val="28"/>
        </w:rPr>
      </w:pPr>
      <w:r w:rsidRPr="00AB4996">
        <w:rPr>
          <w:rFonts w:cs="Helvetica"/>
          <w:szCs w:val="28"/>
        </w:rPr>
        <w:t xml:space="preserve">The Center for Science in the Public Interest </w:t>
      </w:r>
      <w:r>
        <w:rPr>
          <w:rFonts w:cs="Helvetica"/>
          <w:szCs w:val="28"/>
        </w:rPr>
        <w:t xml:space="preserve">has </w:t>
      </w:r>
      <w:r w:rsidRPr="00AB4996">
        <w:rPr>
          <w:rFonts w:cs="Helvetica"/>
          <w:szCs w:val="28"/>
        </w:rPr>
        <w:t>created Food Day, an Earth-Day-style event on October 24 designed to increase demand for healthy, affordable food produced in a sustainable, humane way. Communities across Oregon and the United States are hosting local events in homes, schools, churches, farmers markets, city halls, and state capitals to raise awareness and create change.</w:t>
      </w:r>
      <w:r>
        <w:rPr>
          <w:rFonts w:cs="Helvetica"/>
          <w:szCs w:val="28"/>
        </w:rPr>
        <w:t xml:space="preserve"> For more information: </w:t>
      </w:r>
      <w:r w:rsidRPr="00AB4996">
        <w:rPr>
          <w:rFonts w:cs="Helvetica"/>
          <w:szCs w:val="28"/>
        </w:rPr>
        <w:t>http://foodday.org/</w:t>
      </w:r>
    </w:p>
    <w:p w:rsidR="00AA5CC3" w:rsidRDefault="00AA5CC3" w:rsidP="00AA5CC3">
      <w:pPr>
        <w:widowControl w:val="0"/>
        <w:autoSpaceDE w:val="0"/>
        <w:autoSpaceDN w:val="0"/>
        <w:adjustRightInd w:val="0"/>
        <w:rPr>
          <w:rFonts w:cs="Helvetica"/>
          <w:szCs w:val="28"/>
        </w:rPr>
      </w:pPr>
    </w:p>
    <w:p w:rsidR="00AA5CC3" w:rsidRDefault="00AA5CC3" w:rsidP="00AA5CC3">
      <w:pPr>
        <w:widowControl w:val="0"/>
        <w:autoSpaceDE w:val="0"/>
        <w:autoSpaceDN w:val="0"/>
        <w:adjustRightInd w:val="0"/>
        <w:rPr>
          <w:rFonts w:cs="Helvetica"/>
          <w:szCs w:val="28"/>
        </w:rPr>
      </w:pPr>
      <w:r>
        <w:rPr>
          <w:rFonts w:cs="Helvetica"/>
          <w:szCs w:val="28"/>
        </w:rPr>
        <w:t>Specifically, here are two links on the Food Day page that relate directly to our work:</w:t>
      </w:r>
    </w:p>
    <w:p w:rsidR="00AA5CC3" w:rsidRDefault="00AA5CC3" w:rsidP="00AA5CC3">
      <w:pPr>
        <w:widowControl w:val="0"/>
        <w:numPr>
          <w:ilvl w:val="0"/>
          <w:numId w:val="4"/>
        </w:numPr>
        <w:autoSpaceDE w:val="0"/>
        <w:autoSpaceDN w:val="0"/>
        <w:adjustRightInd w:val="0"/>
        <w:rPr>
          <w:rFonts w:cs="Helvetica"/>
          <w:szCs w:val="28"/>
        </w:rPr>
      </w:pPr>
      <w:r>
        <w:rPr>
          <w:rFonts w:cs="Helvetica"/>
          <w:szCs w:val="28"/>
        </w:rPr>
        <w:t xml:space="preserve">“Reduce diet-related chronic disease by promoting safe, healthy foods:” </w:t>
      </w:r>
      <w:r w:rsidRPr="00746F0D">
        <w:rPr>
          <w:rFonts w:cs="Helvetica"/>
          <w:szCs w:val="28"/>
        </w:rPr>
        <w:t>http://foodday.org/why-eat-real/six-principles-reduce-disease.php</w:t>
      </w:r>
    </w:p>
    <w:p w:rsidR="00AA5CC3" w:rsidRDefault="00AA5CC3" w:rsidP="00AA5CC3">
      <w:pPr>
        <w:widowControl w:val="0"/>
        <w:numPr>
          <w:ilvl w:val="0"/>
          <w:numId w:val="4"/>
        </w:numPr>
        <w:autoSpaceDE w:val="0"/>
        <w:autoSpaceDN w:val="0"/>
        <w:adjustRightInd w:val="0"/>
        <w:rPr>
          <w:rFonts w:cs="Helvetica"/>
          <w:szCs w:val="28"/>
        </w:rPr>
      </w:pPr>
      <w:r>
        <w:rPr>
          <w:rFonts w:cs="Helvetica"/>
          <w:szCs w:val="28"/>
        </w:rPr>
        <w:t xml:space="preserve">“Promote health by reducing junk food marketing to kids:” </w:t>
      </w:r>
      <w:r w:rsidRPr="00746F0D">
        <w:rPr>
          <w:rFonts w:cs="Helvetica"/>
          <w:szCs w:val="28"/>
        </w:rPr>
        <w:t>http://foodday.org/why-eat-real/six-principles-promote-health.php</w:t>
      </w:r>
    </w:p>
    <w:p w:rsidR="00AA5CC3" w:rsidRDefault="00AA5CC3" w:rsidP="00AA5CC3">
      <w:pPr>
        <w:widowControl w:val="0"/>
        <w:autoSpaceDE w:val="0"/>
        <w:autoSpaceDN w:val="0"/>
        <w:adjustRightInd w:val="0"/>
        <w:rPr>
          <w:rFonts w:cs="Helvetica"/>
          <w:szCs w:val="28"/>
        </w:rPr>
      </w:pPr>
    </w:p>
    <w:p w:rsidR="00AA5CC3" w:rsidRDefault="00AA5CC3" w:rsidP="00AA5CC3">
      <w:pPr>
        <w:widowControl w:val="0"/>
        <w:autoSpaceDE w:val="0"/>
        <w:autoSpaceDN w:val="0"/>
        <w:adjustRightInd w:val="0"/>
        <w:rPr>
          <w:rFonts w:cs="Helvetica"/>
          <w:szCs w:val="28"/>
        </w:rPr>
      </w:pPr>
      <w:r>
        <w:rPr>
          <w:rFonts w:cs="Helvetica"/>
          <w:szCs w:val="28"/>
        </w:rPr>
        <w:t xml:space="preserve">If your community is hosting an event it’s a great opportunity to integrate public health messages and make the point that increasing access to healthy food is one important part of creating communities where all Oregonians can be healthy (we also need tobacco prevention, opportunities for physical activity and access to screening and self-management!). You can sign up to attend local events and talk about your policy work and other priorities. Also, reach out to media to offer public health data and expert interviews. </w:t>
      </w:r>
    </w:p>
    <w:p w:rsidR="00AA5CC3" w:rsidRDefault="00AA5CC3" w:rsidP="00AA5CC3">
      <w:pPr>
        <w:widowControl w:val="0"/>
        <w:autoSpaceDE w:val="0"/>
        <w:autoSpaceDN w:val="0"/>
        <w:adjustRightInd w:val="0"/>
        <w:rPr>
          <w:rFonts w:cs="Helvetica"/>
          <w:szCs w:val="28"/>
        </w:rPr>
      </w:pPr>
    </w:p>
    <w:p w:rsidR="00AA5CC3" w:rsidRDefault="00AA5CC3" w:rsidP="00AA5CC3">
      <w:pPr>
        <w:widowControl w:val="0"/>
        <w:autoSpaceDE w:val="0"/>
        <w:autoSpaceDN w:val="0"/>
        <w:adjustRightInd w:val="0"/>
        <w:rPr>
          <w:rFonts w:cs="Helvetica"/>
          <w:szCs w:val="28"/>
        </w:rPr>
      </w:pPr>
      <w:r>
        <w:rPr>
          <w:rFonts w:cs="Helvetica"/>
          <w:szCs w:val="28"/>
        </w:rPr>
        <w:t xml:space="preserve">If you don’t have a local event, you can still use the national attention on Food Day to talk with media and other influencers about the role of healthy food in preventing chronic disease, and the need to increase access to all kinds of healthy options. </w:t>
      </w:r>
    </w:p>
    <w:p w:rsidR="00AA5CC3" w:rsidRDefault="00AA5CC3" w:rsidP="00AA5CC3">
      <w:pPr>
        <w:widowControl w:val="0"/>
        <w:autoSpaceDE w:val="0"/>
        <w:autoSpaceDN w:val="0"/>
        <w:adjustRightInd w:val="0"/>
        <w:rPr>
          <w:rFonts w:cs="Helvetica"/>
          <w:szCs w:val="28"/>
        </w:rPr>
      </w:pPr>
    </w:p>
    <w:p w:rsidR="00AA5CC3" w:rsidRDefault="00AA5CC3" w:rsidP="00AA5CC3">
      <w:pPr>
        <w:widowControl w:val="0"/>
        <w:autoSpaceDE w:val="0"/>
        <w:autoSpaceDN w:val="0"/>
        <w:adjustRightInd w:val="0"/>
        <w:rPr>
          <w:rFonts w:cs="Helvetica"/>
          <w:szCs w:val="28"/>
        </w:rPr>
      </w:pPr>
      <w:r>
        <w:rPr>
          <w:rFonts w:cs="Helvetica"/>
          <w:szCs w:val="28"/>
        </w:rPr>
        <w:t>Attached are several things that can help you:</w:t>
      </w:r>
    </w:p>
    <w:p w:rsidR="00AA5CC3" w:rsidRPr="00AB4996" w:rsidRDefault="00AA5CC3" w:rsidP="00AA5CC3">
      <w:pPr>
        <w:pStyle w:val="ColorfulList-Accent11"/>
        <w:widowControl w:val="0"/>
        <w:numPr>
          <w:ilvl w:val="0"/>
          <w:numId w:val="2"/>
        </w:numPr>
        <w:autoSpaceDE w:val="0"/>
        <w:autoSpaceDN w:val="0"/>
        <w:adjustRightInd w:val="0"/>
        <w:rPr>
          <w:rFonts w:cs="Helvetica"/>
          <w:szCs w:val="28"/>
        </w:rPr>
      </w:pPr>
      <w:r w:rsidRPr="00AB4996">
        <w:rPr>
          <w:rFonts w:cs="Helvetica"/>
          <w:szCs w:val="28"/>
        </w:rPr>
        <w:t>A fact sheet on the link between food and chronic diseases. You can provide this to local Food Day event promoters and also use it with media and other outreach.</w:t>
      </w:r>
    </w:p>
    <w:p w:rsidR="00AA5CC3" w:rsidRPr="00AB4996" w:rsidRDefault="00AA5CC3" w:rsidP="00AA5CC3">
      <w:pPr>
        <w:pStyle w:val="ColorfulList-Accent11"/>
        <w:widowControl w:val="0"/>
        <w:numPr>
          <w:ilvl w:val="0"/>
          <w:numId w:val="2"/>
        </w:numPr>
        <w:autoSpaceDE w:val="0"/>
        <w:autoSpaceDN w:val="0"/>
        <w:adjustRightInd w:val="0"/>
        <w:rPr>
          <w:rFonts w:cs="Helvetica"/>
          <w:szCs w:val="28"/>
        </w:rPr>
      </w:pPr>
      <w:r w:rsidRPr="00AB4996">
        <w:rPr>
          <w:rFonts w:cs="Helvetica"/>
          <w:szCs w:val="28"/>
        </w:rPr>
        <w:t>A list of Oregon food day events, so you can connect to any near you.</w:t>
      </w:r>
    </w:p>
    <w:p w:rsidR="00AA5CC3" w:rsidRPr="00AB4996" w:rsidRDefault="00AA5CC3" w:rsidP="00AA5CC3">
      <w:pPr>
        <w:pStyle w:val="ColorfulList-Accent11"/>
        <w:widowControl w:val="0"/>
        <w:numPr>
          <w:ilvl w:val="0"/>
          <w:numId w:val="2"/>
        </w:numPr>
        <w:autoSpaceDE w:val="0"/>
        <w:autoSpaceDN w:val="0"/>
        <w:adjustRightInd w:val="0"/>
        <w:rPr>
          <w:rFonts w:cs="Helvetica"/>
          <w:szCs w:val="28"/>
        </w:rPr>
      </w:pPr>
      <w:r w:rsidRPr="00AB4996">
        <w:rPr>
          <w:rFonts w:cs="Helvetica"/>
          <w:szCs w:val="28"/>
        </w:rPr>
        <w:t>A letter to the editor you can quickly customize and submit, or ask someone else from your community to submit.</w:t>
      </w:r>
    </w:p>
    <w:p w:rsidR="00AA5CC3" w:rsidRDefault="00AA5CC3" w:rsidP="00AA5CC3">
      <w:pPr>
        <w:widowControl w:val="0"/>
        <w:autoSpaceDE w:val="0"/>
        <w:autoSpaceDN w:val="0"/>
        <w:adjustRightInd w:val="0"/>
        <w:rPr>
          <w:rFonts w:cs="Helvetica"/>
          <w:szCs w:val="28"/>
        </w:rPr>
      </w:pPr>
    </w:p>
    <w:p w:rsidR="00AA5CC3" w:rsidRDefault="00AA5CC3" w:rsidP="00AA5CC3">
      <w:pPr>
        <w:widowControl w:val="0"/>
        <w:autoSpaceDE w:val="0"/>
        <w:autoSpaceDN w:val="0"/>
        <w:adjustRightInd w:val="0"/>
        <w:rPr>
          <w:rFonts w:cs="Helvetica"/>
          <w:szCs w:val="28"/>
        </w:rPr>
      </w:pPr>
      <w:r>
        <w:rPr>
          <w:rFonts w:cs="Helvetica"/>
          <w:szCs w:val="28"/>
        </w:rPr>
        <w:t>Metropolitan Group is also available for TA consults on how to leverage Food Day in your community. Just speak with your HPCDP liaison or MG contact.</w:t>
      </w:r>
    </w:p>
    <w:p w:rsidR="00AA5CC3" w:rsidRDefault="00AA5CC3" w:rsidP="00AA5CC3">
      <w:pPr>
        <w:widowControl w:val="0"/>
        <w:autoSpaceDE w:val="0"/>
        <w:autoSpaceDN w:val="0"/>
        <w:adjustRightInd w:val="0"/>
        <w:rPr>
          <w:rFonts w:cs="Helvetica"/>
          <w:szCs w:val="28"/>
        </w:rPr>
      </w:pPr>
    </w:p>
    <w:p w:rsidR="00AA5CC3" w:rsidRDefault="00AA5CC3" w:rsidP="00AA5CC3">
      <w:pPr>
        <w:widowControl w:val="0"/>
        <w:autoSpaceDE w:val="0"/>
        <w:autoSpaceDN w:val="0"/>
        <w:adjustRightInd w:val="0"/>
        <w:rPr>
          <w:rFonts w:cs="Helvetica"/>
          <w:szCs w:val="28"/>
        </w:rPr>
      </w:pPr>
      <w:r>
        <w:rPr>
          <w:rFonts w:cs="Helvetica"/>
          <w:szCs w:val="28"/>
        </w:rPr>
        <w:t>Thanks and good luck!</w:t>
      </w:r>
    </w:p>
    <w:p w:rsidR="00AA5CC3" w:rsidRPr="00AB4996" w:rsidRDefault="00AA5CC3" w:rsidP="00AA5CC3">
      <w:pPr>
        <w:widowControl w:val="0"/>
        <w:autoSpaceDE w:val="0"/>
        <w:autoSpaceDN w:val="0"/>
        <w:adjustRightInd w:val="0"/>
        <w:rPr>
          <w:rFonts w:cs="Helvetica"/>
          <w:szCs w:val="28"/>
        </w:rPr>
      </w:pPr>
      <w:r>
        <w:rPr>
          <w:rFonts w:cs="Helvetica"/>
          <w:szCs w:val="28"/>
        </w:rPr>
        <w:t>The MG TA team</w:t>
      </w:r>
    </w:p>
    <w:p w:rsidR="00AA5CC3" w:rsidRPr="00AB4996" w:rsidRDefault="00AA5CC3" w:rsidP="00AA5CC3">
      <w:pPr>
        <w:widowControl w:val="0"/>
        <w:autoSpaceDE w:val="0"/>
        <w:autoSpaceDN w:val="0"/>
        <w:adjustRightInd w:val="0"/>
        <w:rPr>
          <w:rFonts w:cs="Helvetica"/>
          <w:szCs w:val="28"/>
        </w:rPr>
      </w:pPr>
    </w:p>
    <w:p w:rsidR="00AA5CC3" w:rsidRDefault="00AA5CC3" w:rsidP="00AA5CC3">
      <w:pPr>
        <w:rPr>
          <w:szCs w:val="24"/>
        </w:rPr>
      </w:pPr>
    </w:p>
    <w:p w:rsidR="00AA5CC3" w:rsidRDefault="00AA5CC3" w:rsidP="00AA5CC3">
      <w:pPr>
        <w:rPr>
          <w:szCs w:val="24"/>
        </w:rPr>
      </w:pPr>
    </w:p>
    <w:p w:rsidR="00AA5CC3" w:rsidRDefault="00AA5CC3" w:rsidP="00AA5CC3">
      <w:pPr>
        <w:rPr>
          <w:szCs w:val="24"/>
        </w:rPr>
      </w:pPr>
    </w:p>
    <w:p w:rsidR="00AA5CC3" w:rsidRPr="00032172" w:rsidRDefault="00AA5CC3" w:rsidP="00AA5CC3">
      <w:pPr>
        <w:rPr>
          <w:b/>
          <w:szCs w:val="24"/>
          <w:u w:val="single"/>
        </w:rPr>
      </w:pPr>
      <w:r>
        <w:rPr>
          <w:szCs w:val="24"/>
        </w:rPr>
        <w:lastRenderedPageBreak/>
        <w:br w:type="page"/>
      </w:r>
    </w:p>
    <w:p w:rsidR="00AA5CC3" w:rsidRPr="00737291" w:rsidRDefault="00AA5CC3" w:rsidP="00AA5CC3">
      <w:pPr>
        <w:jc w:val="center"/>
        <w:rPr>
          <w:b/>
          <w:szCs w:val="24"/>
        </w:rPr>
      </w:pPr>
      <w:r>
        <w:rPr>
          <w:b/>
          <w:szCs w:val="24"/>
        </w:rPr>
        <w:t>Diet-Related Chronic Disease in Oregon</w:t>
      </w:r>
    </w:p>
    <w:p w:rsidR="00AA5CC3" w:rsidRDefault="00AA5CC3" w:rsidP="00AA5CC3">
      <w:pPr>
        <w:rPr>
          <w:szCs w:val="24"/>
        </w:rPr>
      </w:pPr>
    </w:p>
    <w:p w:rsidR="00AA5CC3" w:rsidRPr="00091045" w:rsidRDefault="00AA5CC3" w:rsidP="00AA5CC3">
      <w:pPr>
        <w:rPr>
          <w:sz w:val="24"/>
          <w:szCs w:val="24"/>
        </w:rPr>
      </w:pPr>
      <w:r w:rsidRPr="00091045">
        <w:rPr>
          <w:sz w:val="24"/>
          <w:szCs w:val="24"/>
        </w:rPr>
        <w:t xml:space="preserve">Eating better, moving more and living tobacco-free lets Oregonians live healthier lives and do the things they love. But today in Oregon, healthy options are out of reach for too many people. As a result, chronic diseases like asthma, heart disease, </w:t>
      </w:r>
      <w:r w:rsidR="00E9211A">
        <w:rPr>
          <w:sz w:val="24"/>
          <w:szCs w:val="24"/>
        </w:rPr>
        <w:t xml:space="preserve">stroke, </w:t>
      </w:r>
      <w:r w:rsidRPr="00091045">
        <w:rPr>
          <w:sz w:val="24"/>
          <w:szCs w:val="24"/>
        </w:rPr>
        <w:t xml:space="preserve">diabetes, arthritis and cancer are on the rise. </w:t>
      </w:r>
    </w:p>
    <w:p w:rsidR="00AA5CC3" w:rsidRPr="00091045" w:rsidRDefault="00AA5CC3" w:rsidP="00AA5CC3">
      <w:pPr>
        <w:rPr>
          <w:sz w:val="24"/>
          <w:szCs w:val="24"/>
        </w:rPr>
      </w:pPr>
    </w:p>
    <w:p w:rsidR="00AA5CC3" w:rsidRPr="00091045" w:rsidRDefault="00AA5CC3" w:rsidP="00AA5CC3">
      <w:pPr>
        <w:rPr>
          <w:b/>
          <w:sz w:val="24"/>
          <w:szCs w:val="24"/>
        </w:rPr>
      </w:pPr>
      <w:r w:rsidRPr="00091045">
        <w:rPr>
          <w:b/>
          <w:sz w:val="24"/>
          <w:szCs w:val="24"/>
        </w:rPr>
        <w:t>Links between diet and chronic disease</w:t>
      </w:r>
    </w:p>
    <w:p w:rsidR="00AA5CC3" w:rsidRPr="00091045" w:rsidRDefault="00AA5CC3" w:rsidP="00AA5CC3">
      <w:pPr>
        <w:rPr>
          <w:sz w:val="24"/>
          <w:szCs w:val="24"/>
        </w:rPr>
      </w:pPr>
    </w:p>
    <w:p w:rsidR="00AA5CC3" w:rsidRPr="00091045" w:rsidRDefault="00AA5CC3" w:rsidP="00AA5CC3">
      <w:pPr>
        <w:widowControl w:val="0"/>
        <w:autoSpaceDE w:val="0"/>
        <w:autoSpaceDN w:val="0"/>
        <w:adjustRightInd w:val="0"/>
        <w:rPr>
          <w:b/>
          <w:i/>
          <w:sz w:val="24"/>
          <w:szCs w:val="24"/>
        </w:rPr>
      </w:pPr>
      <w:r w:rsidRPr="00091045">
        <w:rPr>
          <w:b/>
          <w:i/>
          <w:sz w:val="24"/>
          <w:szCs w:val="24"/>
        </w:rPr>
        <w:t>Rising rates and impact of obesity and overweight</w:t>
      </w:r>
    </w:p>
    <w:p w:rsidR="00AA5CC3" w:rsidRPr="00AE4999" w:rsidRDefault="00AA5CC3" w:rsidP="00AA5CC3">
      <w:pPr>
        <w:pStyle w:val="ColorfulList-Accent110"/>
        <w:numPr>
          <w:ilvl w:val="0"/>
          <w:numId w:val="9"/>
        </w:numPr>
        <w:spacing w:after="0"/>
        <w:rPr>
          <w:rFonts w:cs="Arial"/>
          <w:sz w:val="24"/>
        </w:rPr>
      </w:pPr>
      <w:r w:rsidRPr="00091045">
        <w:rPr>
          <w:sz w:val="24"/>
        </w:rPr>
        <w:t>Nearly two-thirds of Oregon adults are overweight or obese</w:t>
      </w:r>
      <w:r w:rsidRPr="00AE4999">
        <w:rPr>
          <w:rFonts w:cs="Arial"/>
          <w:sz w:val="24"/>
        </w:rPr>
        <w:t>.</w:t>
      </w:r>
      <w:r w:rsidRPr="00AE4999">
        <w:rPr>
          <w:rStyle w:val="EndnoteReference"/>
          <w:sz w:val="24"/>
        </w:rPr>
        <w:endnoteReference w:id="1"/>
      </w:r>
    </w:p>
    <w:p w:rsidR="00AA5CC3" w:rsidRDefault="00AA5CC3" w:rsidP="00AA5CC3">
      <w:pPr>
        <w:pStyle w:val="ColorfulList-Accent110"/>
        <w:numPr>
          <w:ilvl w:val="0"/>
          <w:numId w:val="9"/>
        </w:numPr>
        <w:spacing w:after="0"/>
        <w:rPr>
          <w:rFonts w:cs="Arial"/>
          <w:bCs/>
          <w:sz w:val="24"/>
        </w:rPr>
      </w:pPr>
      <w:r w:rsidRPr="00AE4999">
        <w:rPr>
          <w:rFonts w:cs="Arial"/>
          <w:bCs/>
          <w:sz w:val="24"/>
        </w:rPr>
        <w:t>Obesity costs Oregon more than $781 million in direct medical costs and more than $1 billion</w:t>
      </w:r>
      <w:r>
        <w:rPr>
          <w:rFonts w:cs="Arial"/>
          <w:bCs/>
          <w:sz w:val="24"/>
        </w:rPr>
        <w:t xml:space="preserve"> altogether</w:t>
      </w:r>
      <w:r w:rsidRPr="00AE4999">
        <w:rPr>
          <w:rFonts w:cs="Arial"/>
          <w:bCs/>
          <w:sz w:val="24"/>
        </w:rPr>
        <w:t>, when including lost productivity and other health conditions that result from or exacerbate the disease.</w:t>
      </w:r>
      <w:r w:rsidRPr="00AE4999">
        <w:rPr>
          <w:rStyle w:val="EndnoteReference"/>
          <w:bCs/>
          <w:sz w:val="24"/>
        </w:rPr>
        <w:endnoteReference w:id="2"/>
      </w:r>
      <w:r w:rsidRPr="00AE4999">
        <w:rPr>
          <w:rFonts w:cs="Arial"/>
          <w:bCs/>
          <w:sz w:val="24"/>
        </w:rPr>
        <w:t xml:space="preserve"> </w:t>
      </w:r>
      <w:r w:rsidRPr="00AE4999">
        <w:rPr>
          <w:rStyle w:val="EndnoteReference"/>
          <w:bCs/>
          <w:sz w:val="24"/>
        </w:rPr>
        <w:endnoteReference w:id="3"/>
      </w:r>
    </w:p>
    <w:p w:rsidR="00AA5CC3" w:rsidRPr="00091045" w:rsidRDefault="00AA5CC3" w:rsidP="00AA5CC3">
      <w:pPr>
        <w:pStyle w:val="ColorfulList-Accent110"/>
        <w:numPr>
          <w:ilvl w:val="0"/>
          <w:numId w:val="9"/>
        </w:numPr>
        <w:spacing w:after="0"/>
        <w:rPr>
          <w:rFonts w:cs="Arial"/>
          <w:sz w:val="24"/>
        </w:rPr>
      </w:pPr>
      <w:r w:rsidRPr="00AE4999">
        <w:rPr>
          <w:rFonts w:cs="Arial"/>
          <w:bCs/>
          <w:sz w:val="24"/>
        </w:rPr>
        <w:t>One-third of the increase in Oregon’s health care spending between 1998 and 2005 was due to the obesity epidemic, according to a recent study for the Northwest Health Foundation by Emory University.</w:t>
      </w:r>
      <w:r w:rsidRPr="00AE4999">
        <w:rPr>
          <w:rStyle w:val="EndnoteReference"/>
          <w:bCs/>
          <w:sz w:val="24"/>
        </w:rPr>
        <w:endnoteReference w:id="4"/>
      </w:r>
    </w:p>
    <w:p w:rsidR="00AA5CC3" w:rsidRPr="00091045" w:rsidRDefault="00AA5CC3" w:rsidP="00AA5CC3">
      <w:pPr>
        <w:pStyle w:val="ColorfulList-Accent110"/>
        <w:numPr>
          <w:ilvl w:val="0"/>
          <w:numId w:val="9"/>
        </w:numPr>
        <w:spacing w:after="0"/>
        <w:rPr>
          <w:rFonts w:cs="Arial"/>
          <w:sz w:val="24"/>
        </w:rPr>
      </w:pPr>
      <w:r w:rsidRPr="00AE4999">
        <w:rPr>
          <w:rFonts w:cs="Arial"/>
          <w:bCs/>
          <w:sz w:val="24"/>
        </w:rPr>
        <w:t>Obesity drives up workers’ compensation costs: Obese workers, compared with average workers, file twice as many workers’ compensation claims; the cost of the average claim is five times greater; and lost workdays are 13 times higher, according to a recent study by Duke University Medical Center.</w:t>
      </w:r>
      <w:r w:rsidRPr="00AE4999">
        <w:rPr>
          <w:rStyle w:val="EndnoteReference"/>
          <w:bCs/>
          <w:sz w:val="24"/>
        </w:rPr>
        <w:endnoteReference w:id="5"/>
      </w:r>
    </w:p>
    <w:p w:rsidR="00AA5CC3" w:rsidRDefault="00AA5CC3" w:rsidP="00AA5CC3">
      <w:pPr>
        <w:widowControl w:val="0"/>
        <w:autoSpaceDE w:val="0"/>
        <w:autoSpaceDN w:val="0"/>
        <w:adjustRightInd w:val="0"/>
        <w:rPr>
          <w:szCs w:val="24"/>
        </w:rPr>
      </w:pPr>
    </w:p>
    <w:p w:rsidR="00AA5CC3" w:rsidRPr="001A6C25" w:rsidRDefault="00AA5CC3" w:rsidP="00AA5CC3">
      <w:pPr>
        <w:widowControl w:val="0"/>
        <w:autoSpaceDE w:val="0"/>
        <w:autoSpaceDN w:val="0"/>
        <w:adjustRightInd w:val="0"/>
        <w:rPr>
          <w:b/>
          <w:i/>
          <w:sz w:val="24"/>
          <w:szCs w:val="24"/>
        </w:rPr>
      </w:pPr>
      <w:r w:rsidRPr="001A6C25">
        <w:rPr>
          <w:b/>
          <w:i/>
          <w:sz w:val="24"/>
          <w:szCs w:val="24"/>
        </w:rPr>
        <w:t>Increased risk of chronic disease</w:t>
      </w:r>
    </w:p>
    <w:p w:rsidR="00AA5CC3" w:rsidRDefault="00AA5CC3" w:rsidP="00AA5CC3">
      <w:pPr>
        <w:widowControl w:val="0"/>
        <w:numPr>
          <w:ilvl w:val="0"/>
          <w:numId w:val="10"/>
        </w:numPr>
        <w:autoSpaceDE w:val="0"/>
        <w:autoSpaceDN w:val="0"/>
        <w:adjustRightInd w:val="0"/>
        <w:rPr>
          <w:szCs w:val="24"/>
        </w:rPr>
      </w:pPr>
      <w:r w:rsidRPr="00091045">
        <w:rPr>
          <w:sz w:val="24"/>
          <w:szCs w:val="24"/>
        </w:rPr>
        <w:t xml:space="preserve">According to the Centers for Disease Control and prevention, this puts them at risk of heart disease, type </w:t>
      </w:r>
      <w:proofErr w:type="gramStart"/>
      <w:r w:rsidRPr="00091045">
        <w:rPr>
          <w:sz w:val="24"/>
          <w:szCs w:val="24"/>
        </w:rPr>
        <w:t>2 diabetes, cancer, high blood pressure, stroke and other life-long health problems</w:t>
      </w:r>
      <w:proofErr w:type="gramEnd"/>
      <w:r w:rsidRPr="00032172">
        <w:rPr>
          <w:szCs w:val="24"/>
        </w:rPr>
        <w:t>.</w:t>
      </w:r>
      <w:r>
        <w:rPr>
          <w:rStyle w:val="EndnoteReference"/>
          <w:szCs w:val="24"/>
        </w:rPr>
        <w:endnoteReference w:id="6"/>
      </w:r>
    </w:p>
    <w:p w:rsidR="00AA5CC3" w:rsidRPr="00091045" w:rsidRDefault="00AA5CC3" w:rsidP="00AA5CC3">
      <w:pPr>
        <w:numPr>
          <w:ilvl w:val="0"/>
          <w:numId w:val="10"/>
        </w:numPr>
        <w:rPr>
          <w:sz w:val="24"/>
          <w:szCs w:val="24"/>
        </w:rPr>
      </w:pPr>
      <w:r w:rsidRPr="00091045">
        <w:rPr>
          <w:sz w:val="24"/>
          <w:szCs w:val="24"/>
        </w:rPr>
        <w:t>One in seven Oregonians is living with diabetes, heart disease or stroke</w:t>
      </w:r>
      <w:r>
        <w:rPr>
          <w:sz w:val="24"/>
          <w:szCs w:val="24"/>
        </w:rPr>
        <w:t>.</w:t>
      </w:r>
    </w:p>
    <w:p w:rsidR="00AA5CC3" w:rsidRDefault="00AA5CC3" w:rsidP="00AA5CC3">
      <w:pPr>
        <w:numPr>
          <w:ilvl w:val="0"/>
          <w:numId w:val="10"/>
        </w:numPr>
        <w:rPr>
          <w:rFonts w:cs="Arial"/>
          <w:sz w:val="24"/>
        </w:rPr>
      </w:pPr>
      <w:r w:rsidRPr="00AE4999">
        <w:rPr>
          <w:rFonts w:cs="Arial"/>
          <w:sz w:val="24"/>
        </w:rPr>
        <w:t>Every year, the toll of chronic disease in Oregon is about 19,000 lives,</w:t>
      </w:r>
      <w:r w:rsidRPr="00AE4999">
        <w:rPr>
          <w:rStyle w:val="EndnoteReference"/>
          <w:sz w:val="24"/>
        </w:rPr>
        <w:endnoteReference w:id="7"/>
      </w:r>
      <w:r w:rsidRPr="00AE4999">
        <w:rPr>
          <w:rFonts w:cs="Arial"/>
          <w:sz w:val="24"/>
        </w:rPr>
        <w:t xml:space="preserve"> $16 billion</w:t>
      </w:r>
      <w:r w:rsidRPr="00AE4999">
        <w:rPr>
          <w:rStyle w:val="EndnoteReference"/>
          <w:sz w:val="24"/>
        </w:rPr>
        <w:endnoteReference w:id="8"/>
      </w:r>
      <w:r w:rsidRPr="00AE4999">
        <w:rPr>
          <w:rFonts w:cs="Arial"/>
          <w:sz w:val="24"/>
        </w:rPr>
        <w:t xml:space="preserve"> </w:t>
      </w:r>
      <w:r w:rsidRPr="00AE4999">
        <w:rPr>
          <w:rStyle w:val="EndnoteReference"/>
          <w:sz w:val="24"/>
        </w:rPr>
        <w:endnoteReference w:id="9"/>
      </w:r>
      <w:r w:rsidRPr="00AE4999">
        <w:rPr>
          <w:rFonts w:cs="Arial"/>
          <w:sz w:val="24"/>
        </w:rPr>
        <w:t xml:space="preserve"> in health care costs, and countless hours of missed work.</w:t>
      </w:r>
    </w:p>
    <w:p w:rsidR="00AA5CC3" w:rsidRPr="00AE4999" w:rsidRDefault="00AA5CC3" w:rsidP="00AA5CC3">
      <w:pPr>
        <w:pStyle w:val="ColorfulList-Accent110"/>
        <w:numPr>
          <w:ilvl w:val="0"/>
          <w:numId w:val="10"/>
        </w:numPr>
        <w:spacing w:after="0"/>
        <w:rPr>
          <w:rFonts w:cs="Arial"/>
          <w:sz w:val="24"/>
        </w:rPr>
      </w:pPr>
      <w:r>
        <w:rPr>
          <w:rFonts w:cs="Arial"/>
          <w:sz w:val="24"/>
        </w:rPr>
        <w:t>The cost of d</w:t>
      </w:r>
      <w:r w:rsidRPr="00AE4999">
        <w:rPr>
          <w:rFonts w:cs="Arial"/>
          <w:sz w:val="24"/>
        </w:rPr>
        <w:t xml:space="preserve">iabetes treatment </w:t>
      </w:r>
      <w:r>
        <w:rPr>
          <w:rFonts w:cs="Arial"/>
          <w:sz w:val="24"/>
        </w:rPr>
        <w:t xml:space="preserve">alone </w:t>
      </w:r>
      <w:r w:rsidRPr="00AE4999">
        <w:rPr>
          <w:rFonts w:cs="Arial"/>
          <w:sz w:val="24"/>
        </w:rPr>
        <w:t xml:space="preserve">in Oregon </w:t>
      </w:r>
      <w:r>
        <w:rPr>
          <w:rFonts w:cs="Arial"/>
          <w:sz w:val="24"/>
        </w:rPr>
        <w:t xml:space="preserve">is </w:t>
      </w:r>
      <w:r w:rsidRPr="00AE4999">
        <w:rPr>
          <w:rFonts w:cs="Arial"/>
          <w:sz w:val="24"/>
        </w:rPr>
        <w:t>$1.4 billion per year—and that number is rising, according to state data.</w:t>
      </w:r>
      <w:r w:rsidRPr="00AE4999">
        <w:rPr>
          <w:rStyle w:val="EndnoteReference"/>
          <w:sz w:val="24"/>
        </w:rPr>
        <w:endnoteReference w:id="10"/>
      </w:r>
    </w:p>
    <w:p w:rsidR="00AA5CC3" w:rsidRDefault="00AA5CC3" w:rsidP="00AA5CC3">
      <w:pPr>
        <w:rPr>
          <w:szCs w:val="24"/>
        </w:rPr>
      </w:pPr>
    </w:p>
    <w:p w:rsidR="00AA5CC3" w:rsidRPr="00091045" w:rsidRDefault="00AA5CC3" w:rsidP="00AA5CC3">
      <w:pPr>
        <w:widowControl w:val="0"/>
        <w:autoSpaceDE w:val="0"/>
        <w:autoSpaceDN w:val="0"/>
        <w:adjustRightInd w:val="0"/>
        <w:rPr>
          <w:rFonts w:cs="Adobe Garamond Pro"/>
          <w:b/>
          <w:color w:val="000000"/>
          <w:sz w:val="24"/>
        </w:rPr>
      </w:pPr>
      <w:r w:rsidRPr="00091045">
        <w:rPr>
          <w:rFonts w:cs="Adobe Garamond Pro"/>
          <w:b/>
          <w:color w:val="000000"/>
          <w:sz w:val="24"/>
        </w:rPr>
        <w:t>Addressing the Obesity Epidemic in Oregon</w:t>
      </w:r>
    </w:p>
    <w:p w:rsidR="00AA5CC3" w:rsidRPr="00091045" w:rsidRDefault="00AA5CC3" w:rsidP="00AA5CC3">
      <w:pPr>
        <w:widowControl w:val="0"/>
        <w:autoSpaceDE w:val="0"/>
        <w:autoSpaceDN w:val="0"/>
        <w:adjustRightInd w:val="0"/>
        <w:rPr>
          <w:rFonts w:cs="Adobe Garamond Pro"/>
          <w:color w:val="000000"/>
          <w:sz w:val="24"/>
        </w:rPr>
      </w:pPr>
    </w:p>
    <w:p w:rsidR="00AA5CC3" w:rsidRDefault="00AA5CC3" w:rsidP="00AA5CC3">
      <w:pPr>
        <w:widowControl w:val="0"/>
        <w:autoSpaceDE w:val="0"/>
        <w:autoSpaceDN w:val="0"/>
        <w:adjustRightInd w:val="0"/>
        <w:rPr>
          <w:rFonts w:cs="Adobe Garamond Pro"/>
          <w:color w:val="000000"/>
          <w:sz w:val="24"/>
        </w:rPr>
      </w:pPr>
      <w:r w:rsidRPr="00091045">
        <w:rPr>
          <w:rFonts w:cs="Adobe Garamond Pro"/>
          <w:color w:val="000000"/>
          <w:sz w:val="24"/>
        </w:rPr>
        <w:t>The causes of obesity are complex and varied</w:t>
      </w:r>
      <w:r>
        <w:rPr>
          <w:rFonts w:cs="Adobe Garamond Pro"/>
          <w:color w:val="000000"/>
          <w:sz w:val="24"/>
        </w:rPr>
        <w:t>, including behavior, genetics and environment</w:t>
      </w:r>
      <w:r w:rsidRPr="00091045">
        <w:rPr>
          <w:rFonts w:cs="Adobe Garamond Pro"/>
          <w:color w:val="000000"/>
          <w:sz w:val="24"/>
        </w:rPr>
        <w:t xml:space="preserve">. </w:t>
      </w:r>
    </w:p>
    <w:p w:rsidR="00AA5CC3" w:rsidRDefault="00AA5CC3" w:rsidP="00AA5CC3">
      <w:pPr>
        <w:widowControl w:val="0"/>
        <w:autoSpaceDE w:val="0"/>
        <w:autoSpaceDN w:val="0"/>
        <w:adjustRightInd w:val="0"/>
        <w:rPr>
          <w:rFonts w:cs="Adobe Garamond Pro"/>
          <w:color w:val="000000"/>
          <w:sz w:val="24"/>
        </w:rPr>
      </w:pPr>
    </w:p>
    <w:p w:rsidR="00AA5CC3" w:rsidRDefault="00AA5CC3" w:rsidP="00AA5CC3">
      <w:pPr>
        <w:widowControl w:val="0"/>
        <w:autoSpaceDE w:val="0"/>
        <w:autoSpaceDN w:val="0"/>
        <w:adjustRightInd w:val="0"/>
        <w:rPr>
          <w:rStyle w:val="supscript"/>
          <w:vertAlign w:val="superscript"/>
        </w:rPr>
      </w:pPr>
      <w:r w:rsidRPr="00091045">
        <w:rPr>
          <w:rFonts w:cs="Adobe Garamond Pro"/>
          <w:color w:val="000000"/>
          <w:sz w:val="24"/>
        </w:rPr>
        <w:t xml:space="preserve">Overall, though, obesity and related chronic diseases are largely preventable. </w:t>
      </w:r>
      <w:r w:rsidRPr="00091045">
        <w:rPr>
          <w:sz w:val="24"/>
        </w:rPr>
        <w:t xml:space="preserve">According to the USDA, </w:t>
      </w:r>
      <w:r w:rsidRPr="00091045">
        <w:rPr>
          <w:b/>
          <w:bCs/>
          <w:sz w:val="24"/>
        </w:rPr>
        <w:t>healthier diets could prevent at least $71 billion per year</w:t>
      </w:r>
      <w:r w:rsidRPr="00091045">
        <w:rPr>
          <w:sz w:val="24"/>
        </w:rPr>
        <w:t xml:space="preserve"> in medical costs, lost productivity, and lost lives</w:t>
      </w:r>
      <w:r>
        <w:t>.</w:t>
      </w:r>
      <w:r>
        <w:rPr>
          <w:rStyle w:val="EndnoteReference"/>
        </w:rPr>
        <w:endnoteReference w:id="11"/>
      </w:r>
      <w:r>
        <w:t xml:space="preserve"> </w:t>
      </w:r>
      <w:r w:rsidRPr="001A6C25">
        <w:rPr>
          <w:sz w:val="24"/>
        </w:rPr>
        <w:t>The challenge is making sure everyone has access to a healthy diet.</w:t>
      </w:r>
    </w:p>
    <w:p w:rsidR="00AA5CC3" w:rsidRDefault="00AA5CC3" w:rsidP="00AA5CC3">
      <w:pPr>
        <w:widowControl w:val="0"/>
        <w:autoSpaceDE w:val="0"/>
        <w:autoSpaceDN w:val="0"/>
        <w:adjustRightInd w:val="0"/>
        <w:rPr>
          <w:rStyle w:val="supscript"/>
          <w:vertAlign w:val="superscript"/>
        </w:rPr>
      </w:pPr>
    </w:p>
    <w:p w:rsidR="00AA5CC3" w:rsidRPr="00091045" w:rsidRDefault="00AA5CC3" w:rsidP="00AA5CC3">
      <w:pPr>
        <w:widowControl w:val="0"/>
        <w:autoSpaceDE w:val="0"/>
        <w:autoSpaceDN w:val="0"/>
        <w:adjustRightInd w:val="0"/>
        <w:rPr>
          <w:sz w:val="24"/>
          <w:szCs w:val="24"/>
        </w:rPr>
      </w:pPr>
      <w:r w:rsidRPr="00091045">
        <w:rPr>
          <w:rFonts w:cs="Adobe Garamond Pro"/>
          <w:color w:val="000000"/>
          <w:sz w:val="24"/>
        </w:rPr>
        <w:t xml:space="preserve">Yet </w:t>
      </w:r>
      <w:r w:rsidRPr="00091045">
        <w:rPr>
          <w:sz w:val="24"/>
          <w:szCs w:val="24"/>
        </w:rPr>
        <w:t xml:space="preserve">according to the CDC, state and federal governments spend </w:t>
      </w:r>
      <w:r w:rsidRPr="001A6C25">
        <w:rPr>
          <w:b/>
          <w:sz w:val="24"/>
          <w:szCs w:val="24"/>
        </w:rPr>
        <w:t>one thousand times more money to treat chronic diseases than to prevent them</w:t>
      </w:r>
      <w:r w:rsidRPr="00091045">
        <w:rPr>
          <w:sz w:val="24"/>
          <w:szCs w:val="24"/>
        </w:rPr>
        <w:t xml:space="preserve"> ($1,390.00 to treat vs. $1.21 to prevent, per person each year).</w:t>
      </w:r>
    </w:p>
    <w:p w:rsidR="00AA5CC3" w:rsidRDefault="00AA5CC3" w:rsidP="00AA5CC3">
      <w:pPr>
        <w:widowControl w:val="0"/>
        <w:autoSpaceDE w:val="0"/>
        <w:autoSpaceDN w:val="0"/>
        <w:adjustRightInd w:val="0"/>
        <w:rPr>
          <w:rFonts w:cs="Adobe Garamond Pro"/>
          <w:color w:val="000000"/>
        </w:rPr>
      </w:pPr>
    </w:p>
    <w:p w:rsidR="00AA5CC3" w:rsidRPr="00091045" w:rsidRDefault="00AA5CC3" w:rsidP="00AA5CC3">
      <w:pPr>
        <w:widowControl w:val="0"/>
        <w:autoSpaceDE w:val="0"/>
        <w:autoSpaceDN w:val="0"/>
        <w:adjustRightInd w:val="0"/>
        <w:rPr>
          <w:rFonts w:cs="Adobe Garamond Pro"/>
          <w:b/>
          <w:i/>
          <w:color w:val="000000"/>
          <w:sz w:val="24"/>
        </w:rPr>
      </w:pPr>
      <w:r w:rsidRPr="00091045">
        <w:rPr>
          <w:rFonts w:cs="Adobe Garamond Pro"/>
          <w:b/>
          <w:i/>
          <w:color w:val="000000"/>
          <w:sz w:val="24"/>
        </w:rPr>
        <w:t>Creating access to healthy options</w:t>
      </w:r>
    </w:p>
    <w:p w:rsidR="00AA5CC3" w:rsidRPr="00091045" w:rsidRDefault="00AA5CC3" w:rsidP="00AA5CC3">
      <w:pPr>
        <w:widowControl w:val="0"/>
        <w:autoSpaceDE w:val="0"/>
        <w:autoSpaceDN w:val="0"/>
        <w:adjustRightInd w:val="0"/>
        <w:rPr>
          <w:rFonts w:cs="Adobe Garamond Pro"/>
          <w:color w:val="000000"/>
          <w:sz w:val="24"/>
        </w:rPr>
      </w:pPr>
      <w:r w:rsidRPr="00091045">
        <w:rPr>
          <w:rFonts w:cs="Adobe Garamond Pro"/>
          <w:color w:val="000000"/>
          <w:sz w:val="24"/>
        </w:rPr>
        <w:t xml:space="preserve">Public health professionals are zeroing in on the places where people live, work and play, knowing that changing those environments can have a major impact on health. The goal is to make healthy food readily available to all Oregonians, not something people struggle to find or afford. </w:t>
      </w:r>
    </w:p>
    <w:p w:rsidR="00AA5CC3" w:rsidRPr="00091045" w:rsidRDefault="00AA5CC3" w:rsidP="00AA5CC3">
      <w:pPr>
        <w:widowControl w:val="0"/>
        <w:autoSpaceDE w:val="0"/>
        <w:autoSpaceDN w:val="0"/>
        <w:adjustRightInd w:val="0"/>
        <w:rPr>
          <w:rFonts w:cs="Adobe Garamond Pro"/>
          <w:color w:val="000000"/>
          <w:sz w:val="24"/>
        </w:rPr>
      </w:pPr>
    </w:p>
    <w:p w:rsidR="00AA5CC3" w:rsidRPr="00091045" w:rsidRDefault="00AA5CC3" w:rsidP="00AA5CC3">
      <w:pPr>
        <w:widowControl w:val="0"/>
        <w:autoSpaceDE w:val="0"/>
        <w:autoSpaceDN w:val="0"/>
        <w:adjustRightInd w:val="0"/>
        <w:rPr>
          <w:rFonts w:cs="Adobe Garamond Pro"/>
          <w:color w:val="000000"/>
          <w:sz w:val="24"/>
        </w:rPr>
      </w:pPr>
      <w:r w:rsidRPr="00091045">
        <w:rPr>
          <w:rFonts w:cs="Adobe Garamond Pro"/>
          <w:color w:val="000000"/>
          <w:sz w:val="24"/>
        </w:rPr>
        <w:t>For example, in Oregon:</w:t>
      </w:r>
    </w:p>
    <w:p w:rsidR="00AA5CC3" w:rsidRPr="00091045" w:rsidRDefault="00AA5CC3" w:rsidP="00AA5CC3">
      <w:pPr>
        <w:widowControl w:val="0"/>
        <w:numPr>
          <w:ilvl w:val="0"/>
          <w:numId w:val="11"/>
        </w:numPr>
        <w:autoSpaceDE w:val="0"/>
        <w:autoSpaceDN w:val="0"/>
        <w:adjustRightInd w:val="0"/>
        <w:rPr>
          <w:rFonts w:cs="Arial"/>
          <w:sz w:val="24"/>
        </w:rPr>
      </w:pPr>
      <w:r w:rsidRPr="00091045">
        <w:rPr>
          <w:rFonts w:cs="Arial"/>
          <w:sz w:val="24"/>
        </w:rPr>
        <w:t>Fifty-nine percent of Oregon worksites now provide easy access to healthy food choices for employees.</w:t>
      </w:r>
      <w:r w:rsidRPr="00091045">
        <w:rPr>
          <w:rStyle w:val="EndnoteReference"/>
          <w:sz w:val="24"/>
        </w:rPr>
        <w:endnoteReference w:id="12"/>
      </w:r>
    </w:p>
    <w:p w:rsidR="00AA5CC3" w:rsidRDefault="00AA5CC3" w:rsidP="00AA5CC3">
      <w:pPr>
        <w:widowControl w:val="0"/>
        <w:numPr>
          <w:ilvl w:val="0"/>
          <w:numId w:val="11"/>
        </w:numPr>
        <w:autoSpaceDE w:val="0"/>
        <w:autoSpaceDN w:val="0"/>
        <w:adjustRightInd w:val="0"/>
        <w:rPr>
          <w:rFonts w:cs="Adobe Garamond Pro"/>
          <w:color w:val="000000"/>
          <w:sz w:val="24"/>
        </w:rPr>
      </w:pPr>
      <w:r w:rsidRPr="00091045">
        <w:rPr>
          <w:rFonts w:cs="Adobe Garamond Pro"/>
          <w:color w:val="000000"/>
          <w:sz w:val="24"/>
        </w:rPr>
        <w:t>Schools are adopting healthy foods policies for cafeterias and vending machines.</w:t>
      </w:r>
    </w:p>
    <w:p w:rsidR="00E9211A" w:rsidRDefault="00E9211A" w:rsidP="00AA5CC3">
      <w:pPr>
        <w:widowControl w:val="0"/>
        <w:numPr>
          <w:ilvl w:val="0"/>
          <w:numId w:val="11"/>
        </w:numPr>
        <w:autoSpaceDE w:val="0"/>
        <w:autoSpaceDN w:val="0"/>
        <w:adjustRightInd w:val="0"/>
        <w:rPr>
          <w:rFonts w:cs="Adobe Garamond Pro"/>
          <w:color w:val="000000"/>
          <w:sz w:val="24"/>
        </w:rPr>
      </w:pPr>
      <w:r>
        <w:rPr>
          <w:rFonts w:cs="Adobe Garamond Pro"/>
          <w:color w:val="000000"/>
          <w:sz w:val="24"/>
        </w:rPr>
        <w:t>Schools districts across Oregon are participating in Farm to School activities</w:t>
      </w:r>
    </w:p>
    <w:p w:rsidR="00E9211A" w:rsidRPr="00E9211A" w:rsidRDefault="00E9211A" w:rsidP="00E9211A">
      <w:pPr>
        <w:widowControl w:val="0"/>
        <w:numPr>
          <w:ilvl w:val="0"/>
          <w:numId w:val="11"/>
        </w:numPr>
        <w:autoSpaceDE w:val="0"/>
        <w:autoSpaceDN w:val="0"/>
        <w:adjustRightInd w:val="0"/>
        <w:rPr>
          <w:rFonts w:cs="Adobe Garamond Pro"/>
          <w:color w:val="000000"/>
          <w:sz w:val="24"/>
        </w:rPr>
      </w:pPr>
      <w:r>
        <w:rPr>
          <w:rFonts w:cs="Adobe Garamond Pro"/>
          <w:color w:val="000000"/>
          <w:sz w:val="24"/>
        </w:rPr>
        <w:t xml:space="preserve">The number of Farmers Markets continues to increase. Many markets accept WIC fruit and veggie vouchers, WIC and Seniors Farmers Market coupons and SNAP benefits (EBT). </w:t>
      </w:r>
    </w:p>
    <w:p w:rsidR="00AA5CC3" w:rsidRPr="00091045" w:rsidRDefault="00AA5CC3" w:rsidP="00AA5CC3">
      <w:pPr>
        <w:widowControl w:val="0"/>
        <w:numPr>
          <w:ilvl w:val="0"/>
          <w:numId w:val="11"/>
        </w:numPr>
        <w:autoSpaceDE w:val="0"/>
        <w:autoSpaceDN w:val="0"/>
        <w:adjustRightInd w:val="0"/>
        <w:rPr>
          <w:rFonts w:cs="Adobe Garamond Pro"/>
          <w:color w:val="000000"/>
          <w:sz w:val="24"/>
        </w:rPr>
      </w:pPr>
      <w:r w:rsidRPr="00091045">
        <w:rPr>
          <w:sz w:val="24"/>
        </w:rPr>
        <w:t xml:space="preserve">The City of Woodburn adopted a healthy foods option for park vendors and is expanding into other events in Marion County. </w:t>
      </w:r>
    </w:p>
    <w:p w:rsidR="00AA5CC3" w:rsidRPr="001A6C25" w:rsidRDefault="00AA5CC3" w:rsidP="00AA5CC3">
      <w:pPr>
        <w:numPr>
          <w:ilvl w:val="0"/>
          <w:numId w:val="11"/>
        </w:numPr>
        <w:rPr>
          <w:sz w:val="24"/>
        </w:rPr>
      </w:pPr>
      <w:r w:rsidRPr="00091045">
        <w:rPr>
          <w:rFonts w:cs="Arial"/>
          <w:sz w:val="24"/>
        </w:rPr>
        <w:t xml:space="preserve">Over the past two years, roughly 4,000 state workers enrolled in the </w:t>
      </w:r>
      <w:proofErr w:type="spellStart"/>
      <w:r w:rsidRPr="00091045">
        <w:rPr>
          <w:rFonts w:cs="Arial"/>
          <w:sz w:val="24"/>
        </w:rPr>
        <w:t>WeightWatchers</w:t>
      </w:r>
      <w:proofErr w:type="spellEnd"/>
      <w:r w:rsidRPr="00091045">
        <w:rPr>
          <w:rFonts w:cs="Arial"/>
          <w:sz w:val="24"/>
        </w:rPr>
        <w:t>-at-Work program have tallied a total weight loss of more than 100,000 pounds.</w:t>
      </w:r>
      <w:r w:rsidRPr="00091045">
        <w:rPr>
          <w:rStyle w:val="EndnoteReference"/>
          <w:sz w:val="24"/>
        </w:rPr>
        <w:endnoteReference w:id="13"/>
      </w:r>
    </w:p>
    <w:p w:rsidR="00AA5CC3" w:rsidRPr="001A6C25" w:rsidRDefault="00AA5CC3" w:rsidP="00AA5CC3">
      <w:pPr>
        <w:numPr>
          <w:ilvl w:val="0"/>
          <w:numId w:val="11"/>
        </w:numPr>
        <w:rPr>
          <w:sz w:val="24"/>
        </w:rPr>
      </w:pPr>
      <w:r>
        <w:rPr>
          <w:rFonts w:cs="Arial"/>
          <w:sz w:val="24"/>
        </w:rPr>
        <w:t xml:space="preserve">Multnomah </w:t>
      </w:r>
      <w:r w:rsidR="00E9211A">
        <w:rPr>
          <w:rFonts w:cs="Arial"/>
          <w:sz w:val="24"/>
        </w:rPr>
        <w:t xml:space="preserve">and Lane </w:t>
      </w:r>
      <w:r>
        <w:rPr>
          <w:rFonts w:cs="Arial"/>
          <w:sz w:val="24"/>
        </w:rPr>
        <w:t xml:space="preserve">County’s </w:t>
      </w:r>
      <w:r w:rsidRPr="001A6C25">
        <w:rPr>
          <w:rFonts w:cs="Arial"/>
          <w:sz w:val="24"/>
        </w:rPr>
        <w:t>Healthy Retail Initiative</w:t>
      </w:r>
      <w:r w:rsidR="00E9211A">
        <w:rPr>
          <w:rFonts w:cs="Arial"/>
          <w:sz w:val="24"/>
        </w:rPr>
        <w:t>s</w:t>
      </w:r>
      <w:r w:rsidRPr="001A6C25">
        <w:rPr>
          <w:rFonts w:cs="Arial"/>
          <w:sz w:val="24"/>
        </w:rPr>
        <w:t xml:space="preserve"> </w:t>
      </w:r>
      <w:r w:rsidR="00E9211A">
        <w:rPr>
          <w:rFonts w:cs="Arial"/>
          <w:sz w:val="24"/>
        </w:rPr>
        <w:t>are</w:t>
      </w:r>
      <w:r w:rsidRPr="001A6C25">
        <w:rPr>
          <w:rFonts w:cs="Arial"/>
          <w:sz w:val="24"/>
        </w:rPr>
        <w:t xml:space="preserve"> increasing access to healthy, affordable food through neighborhood-based convenience stores. </w:t>
      </w:r>
    </w:p>
    <w:p w:rsidR="00000000" w:rsidRDefault="00CE2F73" w:rsidP="00CE2F73">
      <w:pPr>
        <w:ind w:left="720"/>
        <w:rPr>
          <w:sz w:val="24"/>
        </w:rPr>
      </w:pPr>
    </w:p>
    <w:p w:rsidR="00AA5CC3" w:rsidRPr="00032172" w:rsidRDefault="00AA5CC3" w:rsidP="00AA5CC3">
      <w:pPr>
        <w:rPr>
          <w:szCs w:val="24"/>
        </w:rPr>
      </w:pPr>
    </w:p>
    <w:p w:rsidR="00AA5CC3" w:rsidRDefault="00AA5CC3" w:rsidP="00AA5CC3">
      <w:pPr>
        <w:rPr>
          <w:rStyle w:val="supscript"/>
        </w:rPr>
      </w:pPr>
    </w:p>
    <w:p w:rsidR="00AA5CC3" w:rsidRDefault="00AA5CC3" w:rsidP="00AA5CC3">
      <w:pPr>
        <w:rPr>
          <w:rStyle w:val="supscript"/>
        </w:rPr>
      </w:pPr>
    </w:p>
    <w:p w:rsidR="00AA5CC3" w:rsidRDefault="00AA5CC3" w:rsidP="00AA5CC3">
      <w:pPr>
        <w:rPr>
          <w:rStyle w:val="supscript"/>
        </w:rPr>
      </w:pPr>
    </w:p>
    <w:p w:rsidR="00AA5CC3" w:rsidRDefault="00AA5CC3" w:rsidP="00AA5CC3"/>
    <w:p w:rsidR="00AA5CC3" w:rsidRDefault="00AA5CC3" w:rsidP="00AA5CC3">
      <w:pPr>
        <w:pStyle w:val="ColorfulList-Accent11"/>
      </w:pPr>
    </w:p>
    <w:p w:rsidR="00AA5CC3" w:rsidRDefault="00AA5CC3" w:rsidP="00AA5CC3">
      <w:pPr>
        <w:pStyle w:val="ColorfulList-Accent11"/>
      </w:pPr>
    </w:p>
    <w:p w:rsidR="00AA5CC3" w:rsidRDefault="00AA5CC3" w:rsidP="00AA5CC3">
      <w:pPr>
        <w:pStyle w:val="ColorfulList-Accent11"/>
        <w:ind w:left="0"/>
      </w:pPr>
    </w:p>
    <w:p w:rsidR="00AA5CC3" w:rsidRDefault="00AA5CC3" w:rsidP="00AA5CC3">
      <w:pPr>
        <w:pStyle w:val="ColorfulList-Accent11"/>
      </w:pPr>
    </w:p>
    <w:p w:rsidR="00AA5CC3" w:rsidRDefault="00AA5CC3" w:rsidP="00AA5CC3">
      <w:pPr>
        <w:pStyle w:val="ColorfulList-Accent11"/>
      </w:pPr>
    </w:p>
    <w:p w:rsidR="00AA5CC3" w:rsidRDefault="00AA5CC3" w:rsidP="00AA5CC3">
      <w:r>
        <w:br w:type="page"/>
        <w:t>Letter to the Editor</w:t>
      </w:r>
    </w:p>
    <w:p w:rsidR="00AA5CC3" w:rsidRDefault="00AA5CC3" w:rsidP="00AA5CC3"/>
    <w:p w:rsidR="00AA5CC3" w:rsidRDefault="00AA5CC3" w:rsidP="00AA5CC3">
      <w:proofErr w:type="gramStart"/>
      <w:r w:rsidRPr="00B919B0">
        <w:rPr>
          <w:highlight w:val="yellow"/>
        </w:rPr>
        <w:t>To customize and submit.</w:t>
      </w:r>
      <w:proofErr w:type="gramEnd"/>
      <w:r w:rsidRPr="00B919B0">
        <w:rPr>
          <w:highlight w:val="yellow"/>
        </w:rPr>
        <w:t xml:space="preserve"> Possible authors might be someone from the health department, a community partner, an employer who is embracing healthy food policies at work, etc.</w:t>
      </w:r>
    </w:p>
    <w:p w:rsidR="00AA5CC3" w:rsidRDefault="00AA5CC3" w:rsidP="00AA5CC3"/>
    <w:p w:rsidR="00AA5CC3" w:rsidRDefault="00AA5CC3" w:rsidP="00AA5CC3">
      <w:r>
        <w:t xml:space="preserve">This October 24 is the first Food Day, a national observance that shines Earth Day-like attention on healthy food. Ensuring that everyone in (xxx county/city) has access to healthy, affordable food is one of our key priorities. </w:t>
      </w:r>
    </w:p>
    <w:p w:rsidR="00AA5CC3" w:rsidRDefault="00AA5CC3" w:rsidP="00AA5CC3"/>
    <w:p w:rsidR="00AA5CC3" w:rsidRDefault="00AA5CC3" w:rsidP="00AA5CC3">
      <w:r>
        <w:t xml:space="preserve">Where people live has a major impact on their access to healthy food. If people can’t get to a grocery store, or can’t afford healthy food once they’re there, they can’t eat well. If the vending machines at work stock only candy and soda, that’s what </w:t>
      </w:r>
      <w:proofErr w:type="gramStart"/>
      <w:r>
        <w:t>workers</w:t>
      </w:r>
      <w:proofErr w:type="gramEnd"/>
      <w:r>
        <w:t xml:space="preserve"> eat. If healthy food costs substantially more than fast food, kids eat burgers and soda. </w:t>
      </w:r>
    </w:p>
    <w:p w:rsidR="00AA5CC3" w:rsidRDefault="00AA5CC3" w:rsidP="00AA5CC3"/>
    <w:p w:rsidR="00AA5CC3" w:rsidRDefault="00AA5CC3" w:rsidP="00AA5CC3">
      <w:r>
        <w:t>We have an opportunity to make our community a place where healthy options are the norm, not something we have to seek out. For example, (insert details about what’s happening in the county—worksite wellness, school policies, park food vendors, healthy retail, etc.).</w:t>
      </w:r>
    </w:p>
    <w:p w:rsidR="00AA5CC3" w:rsidRDefault="00AA5CC3" w:rsidP="00AA5CC3"/>
    <w:p w:rsidR="00AA5CC3" w:rsidRDefault="00AA5CC3" w:rsidP="00AA5CC3">
      <w:proofErr w:type="gramStart"/>
      <w:r>
        <w:t>Continuing this work, ensuring that we all have access to healthy options, is a vital priority for our county, state and country.</w:t>
      </w:r>
      <w:proofErr w:type="gramEnd"/>
    </w:p>
    <w:p w:rsidR="00AA5CC3" w:rsidRDefault="00AA5CC3" w:rsidP="00AA5CC3"/>
    <w:p w:rsidR="00AA5CC3" w:rsidRDefault="00AA5CC3" w:rsidP="00AA5CC3">
      <w:r w:rsidRPr="00B919B0">
        <w:rPr>
          <w:highlight w:val="yellow"/>
        </w:rPr>
        <w:t>(Name)</w:t>
      </w:r>
      <w:r w:rsidRPr="00B919B0">
        <w:rPr>
          <w:highlight w:val="yellow"/>
        </w:rPr>
        <w:br/>
        <w:t>(XX County Health Department</w:t>
      </w:r>
      <w:r>
        <w:rPr>
          <w:highlight w:val="yellow"/>
        </w:rPr>
        <w:t xml:space="preserve"> or other organization</w:t>
      </w:r>
      <w:r w:rsidRPr="00B919B0">
        <w:rPr>
          <w:highlight w:val="yellow"/>
        </w:rPr>
        <w:t>)</w:t>
      </w:r>
    </w:p>
    <w:p w:rsidR="00AA5CC3" w:rsidRDefault="00AA5CC3" w:rsidP="00AA5CC3"/>
    <w:p w:rsidR="00AA5CC3" w:rsidRDefault="00AA5CC3" w:rsidP="00AA5CC3"/>
    <w:p w:rsidR="00AA5CC3" w:rsidRDefault="00AA5CC3" w:rsidP="00AA5CC3"/>
    <w:p w:rsidR="00AA5CC3" w:rsidRPr="00AB4996" w:rsidRDefault="00AA5CC3" w:rsidP="00AA5CC3"/>
    <w:sectPr w:rsidR="00AA5CC3" w:rsidRPr="00AB4996" w:rsidSect="00AA5CC3">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FC0" w:rsidRDefault="00243590" w:rsidP="008E5E62">
      <w:r>
        <w:separator/>
      </w:r>
    </w:p>
  </w:endnote>
  <w:endnote w:type="continuationSeparator" w:id="0">
    <w:p w:rsidR="009D2FC0" w:rsidRDefault="00243590" w:rsidP="008E5E62">
      <w:r>
        <w:continuationSeparator/>
      </w:r>
    </w:p>
  </w:endnote>
  <w:endnote w:id="1">
    <w:p w:rsidR="00AA5CC3" w:rsidRDefault="00AA5CC3" w:rsidP="00AA5CC3">
      <w:pPr>
        <w:pStyle w:val="EndnoteText"/>
        <w:rPr>
          <w:rFonts w:ascii="Palatino" w:hAnsi="Palatino"/>
        </w:rPr>
      </w:pPr>
      <w:r>
        <w:rPr>
          <w:rStyle w:val="EndnoteReference"/>
          <w:rFonts w:ascii="Palatino" w:hAnsi="Palatino"/>
        </w:rPr>
        <w:endnoteRef/>
      </w:r>
      <w:r>
        <w:rPr>
          <w:rFonts w:ascii="Palatino" w:hAnsi="Palatino"/>
        </w:rPr>
        <w:t xml:space="preserve"> </w:t>
      </w:r>
      <w:proofErr w:type="gramStart"/>
      <w:r>
        <w:rPr>
          <w:rFonts w:ascii="Palatino" w:hAnsi="Palatino"/>
        </w:rPr>
        <w:t>Oregon Behavioral Risk Factor Surveillance System, 2009.</w:t>
      </w:r>
      <w:proofErr w:type="gramEnd"/>
      <w:r>
        <w:rPr>
          <w:rFonts w:ascii="Palatino" w:hAnsi="Palatino"/>
        </w:rPr>
        <w:t xml:space="preserve"> </w:t>
      </w:r>
      <w:proofErr w:type="gramStart"/>
      <w:r>
        <w:rPr>
          <w:rFonts w:ascii="Palatino" w:hAnsi="Palatino"/>
        </w:rPr>
        <w:t>(Actual number 60.2 percent.)</w:t>
      </w:r>
      <w:proofErr w:type="gramEnd"/>
    </w:p>
  </w:endnote>
  <w:endnote w:id="2">
    <w:p w:rsidR="00AA5CC3" w:rsidRDefault="00AA5CC3" w:rsidP="00AA5CC3">
      <w:pPr>
        <w:pStyle w:val="EndnoteText"/>
        <w:rPr>
          <w:rFonts w:ascii="Palatino" w:hAnsi="Palatino"/>
        </w:rPr>
      </w:pPr>
      <w:r>
        <w:rPr>
          <w:rStyle w:val="EndnoteReference"/>
          <w:rFonts w:ascii="Palatino" w:hAnsi="Palatino"/>
        </w:rPr>
        <w:endnoteRef/>
      </w:r>
      <w:r>
        <w:rPr>
          <w:rFonts w:ascii="Palatino" w:hAnsi="Palatino"/>
        </w:rPr>
        <w:t xml:space="preserve"> Finkelstein E, </w:t>
      </w:r>
      <w:proofErr w:type="spellStart"/>
      <w:r>
        <w:rPr>
          <w:rFonts w:ascii="Palatino" w:hAnsi="Palatino"/>
        </w:rPr>
        <w:t>Fiebelkorn</w:t>
      </w:r>
      <w:proofErr w:type="spellEnd"/>
      <w:r>
        <w:rPr>
          <w:rFonts w:ascii="Palatino" w:hAnsi="Palatino"/>
        </w:rPr>
        <w:t xml:space="preserve"> I, Wang G. “State-level estimates of annual medical expenditures attributable to obesity.” </w:t>
      </w:r>
      <w:r>
        <w:rPr>
          <w:rFonts w:ascii="Palatino" w:hAnsi="Palatino"/>
          <w:i/>
          <w:iCs/>
        </w:rPr>
        <w:t>Obesity Research</w:t>
      </w:r>
      <w:r>
        <w:rPr>
          <w:rFonts w:ascii="Palatino" w:hAnsi="Palatino"/>
        </w:rPr>
        <w:t>, 2004</w:t>
      </w:r>
      <w:proofErr w:type="gramStart"/>
      <w:r>
        <w:rPr>
          <w:rFonts w:ascii="Palatino" w:hAnsi="Palatino"/>
        </w:rPr>
        <w:t>;12:18</w:t>
      </w:r>
      <w:proofErr w:type="gramEnd"/>
      <w:r>
        <w:rPr>
          <w:rFonts w:ascii="Palatino" w:hAnsi="Palatino"/>
        </w:rPr>
        <w:t>-24.</w:t>
      </w:r>
    </w:p>
  </w:endnote>
  <w:endnote w:id="3">
    <w:p w:rsidR="00AA5CC3" w:rsidRDefault="00AA5CC3" w:rsidP="00AA5CC3">
      <w:pPr>
        <w:pStyle w:val="EndnoteText"/>
      </w:pPr>
      <w:r>
        <w:rPr>
          <w:rStyle w:val="EndnoteReference"/>
        </w:rPr>
        <w:endnoteRef/>
      </w:r>
      <w:r>
        <w:t xml:space="preserve"> </w:t>
      </w:r>
      <w:r>
        <w:rPr>
          <w:rFonts w:ascii="Palatino" w:hAnsi="Palatino"/>
        </w:rPr>
        <w:t>http://nwhf.org/focus_areas/background/PAN/</w:t>
      </w:r>
    </w:p>
  </w:endnote>
  <w:endnote w:id="4">
    <w:p w:rsidR="00AA5CC3" w:rsidRDefault="00AA5CC3" w:rsidP="00AA5CC3">
      <w:pPr>
        <w:pStyle w:val="EndnoteText"/>
        <w:rPr>
          <w:rFonts w:ascii="Palatino" w:hAnsi="Palatino"/>
        </w:rPr>
      </w:pPr>
      <w:r>
        <w:rPr>
          <w:rStyle w:val="EndnoteReference"/>
          <w:rFonts w:ascii="Palatino" w:hAnsi="Palatino"/>
        </w:rPr>
        <w:endnoteRef/>
      </w:r>
      <w:r>
        <w:rPr>
          <w:rFonts w:ascii="Palatino" w:hAnsi="Palatino"/>
        </w:rPr>
        <w:t xml:space="preserve"> Northwest Health Foundation Press Release: http://nwhf.org/images/files/Obesity_Report_Press_Release.pdf</w:t>
      </w:r>
    </w:p>
  </w:endnote>
  <w:endnote w:id="5">
    <w:p w:rsidR="00AA5CC3" w:rsidRDefault="00AA5CC3" w:rsidP="00AA5CC3">
      <w:pPr>
        <w:pStyle w:val="EndnoteText"/>
        <w:rPr>
          <w:rFonts w:ascii="Palatino" w:hAnsi="Palatino"/>
        </w:rPr>
      </w:pPr>
      <w:r>
        <w:rPr>
          <w:rStyle w:val="EndnoteReference"/>
          <w:rFonts w:ascii="Palatino" w:hAnsi="Palatino"/>
        </w:rPr>
        <w:endnoteRef/>
      </w:r>
      <w:r>
        <w:rPr>
          <w:rFonts w:ascii="Palatino" w:hAnsi="Palatino"/>
        </w:rPr>
        <w:t xml:space="preserve"> </w:t>
      </w:r>
      <w:proofErr w:type="spellStart"/>
      <w:r>
        <w:rPr>
          <w:rFonts w:ascii="Palatino" w:hAnsi="Palatino"/>
        </w:rPr>
        <w:t>Ostbye</w:t>
      </w:r>
      <w:proofErr w:type="spellEnd"/>
      <w:r>
        <w:rPr>
          <w:rFonts w:ascii="Palatino" w:hAnsi="Palatino"/>
        </w:rPr>
        <w:t xml:space="preserve"> T, Dement JM, Krause KM. “Obesity and workers’ compensation: results from the Duke Health and Safety Surveillance System.”</w:t>
      </w:r>
      <w:r>
        <w:rPr>
          <w:rFonts w:ascii="Palatino" w:hAnsi="Palatino"/>
          <w:b/>
        </w:rPr>
        <w:t xml:space="preserve"> </w:t>
      </w:r>
      <w:r>
        <w:rPr>
          <w:rStyle w:val="jrnl"/>
          <w:rFonts w:ascii="Palatino" w:hAnsi="Palatino"/>
          <w:i/>
          <w:iCs/>
        </w:rPr>
        <w:t>Arch Intern Med</w:t>
      </w:r>
      <w:r>
        <w:rPr>
          <w:rFonts w:ascii="Palatino" w:hAnsi="Palatino"/>
          <w:i/>
          <w:iCs/>
        </w:rPr>
        <w:t>.</w:t>
      </w:r>
      <w:r>
        <w:rPr>
          <w:rFonts w:ascii="Palatino" w:hAnsi="Palatino"/>
        </w:rPr>
        <w:t xml:space="preserve"> 2007 Apr 23</w:t>
      </w:r>
      <w:proofErr w:type="gramStart"/>
      <w:r>
        <w:rPr>
          <w:rFonts w:ascii="Palatino" w:hAnsi="Palatino"/>
        </w:rPr>
        <w:t>;167</w:t>
      </w:r>
      <w:proofErr w:type="gramEnd"/>
      <w:r>
        <w:rPr>
          <w:rFonts w:ascii="Palatino" w:hAnsi="Palatino"/>
        </w:rPr>
        <w:t>(8):766-73.</w:t>
      </w:r>
    </w:p>
  </w:endnote>
  <w:endnote w:id="6">
    <w:p w:rsidR="00AA5CC3" w:rsidRDefault="00AA5CC3">
      <w:pPr>
        <w:pStyle w:val="EndnoteText"/>
      </w:pPr>
      <w:r>
        <w:rPr>
          <w:rStyle w:val="EndnoteReference"/>
        </w:rPr>
        <w:endnoteRef/>
      </w:r>
      <w:r>
        <w:t xml:space="preserve"> </w:t>
      </w:r>
      <w:r w:rsidRPr="001A6C25">
        <w:rPr>
          <w:rFonts w:ascii="Palatino" w:hAnsi="Palatino"/>
        </w:rPr>
        <w:t>Overweight and Obesity: Health Consequences, CDC, http://www.cdc.gov/obesity/causes/health.html (accessed Oct 12, 2011)</w:t>
      </w:r>
    </w:p>
  </w:endnote>
  <w:endnote w:id="7">
    <w:p w:rsidR="00AA5CC3" w:rsidRDefault="00AA5CC3" w:rsidP="00AA5CC3">
      <w:pPr>
        <w:pStyle w:val="EndnoteText"/>
        <w:spacing w:after="0" w:line="240" w:lineRule="auto"/>
        <w:rPr>
          <w:rFonts w:ascii="Palatino" w:hAnsi="Palatino"/>
        </w:rPr>
      </w:pPr>
      <w:r>
        <w:rPr>
          <w:rStyle w:val="EndnoteReference"/>
          <w:rFonts w:ascii="Cambria" w:hAnsi="Cambria"/>
          <w:sz w:val="22"/>
        </w:rPr>
        <w:endnoteRef/>
      </w:r>
      <w:r>
        <w:rPr>
          <w:rFonts w:ascii="Cambria" w:hAnsi="Cambria"/>
          <w:sz w:val="22"/>
        </w:rPr>
        <w:t xml:space="preserve"> </w:t>
      </w:r>
      <w:proofErr w:type="gramStart"/>
      <w:r>
        <w:rPr>
          <w:rFonts w:ascii="Palatino" w:hAnsi="Palatino"/>
        </w:rPr>
        <w:t>Oregon Health Promotion and Chronic Disease Prevention.</w:t>
      </w:r>
      <w:proofErr w:type="gramEnd"/>
      <w:r>
        <w:rPr>
          <w:rFonts w:ascii="Palatino" w:hAnsi="Palatino"/>
        </w:rPr>
        <w:t xml:space="preserve"> </w:t>
      </w:r>
      <w:proofErr w:type="gramStart"/>
      <w:r>
        <w:rPr>
          <w:rFonts w:ascii="Palatino" w:hAnsi="Palatino"/>
          <w:i/>
        </w:rPr>
        <w:t>Keeping Oregonians Healthy, 2007.</w:t>
      </w:r>
      <w:proofErr w:type="gramEnd"/>
      <w:r>
        <w:rPr>
          <w:rFonts w:ascii="Palatino" w:hAnsi="Palatino"/>
        </w:rPr>
        <w:t xml:space="preserve"> Portland, Oregon: Oregon Department of Human Services, Oregon Public Health Division, 2008.</w:t>
      </w:r>
    </w:p>
    <w:p w:rsidR="00AA5CC3" w:rsidRDefault="00AA5CC3" w:rsidP="00AA5CC3">
      <w:pPr>
        <w:pStyle w:val="EndnoteText"/>
        <w:spacing w:after="0" w:line="240" w:lineRule="auto"/>
        <w:rPr>
          <w:rFonts w:ascii="Palatino" w:hAnsi="Palatino"/>
        </w:rPr>
      </w:pPr>
    </w:p>
  </w:endnote>
  <w:endnote w:id="8">
    <w:p w:rsidR="00AA5CC3" w:rsidRDefault="00AA5CC3" w:rsidP="00AA5CC3">
      <w:pPr>
        <w:autoSpaceDE w:val="0"/>
        <w:autoSpaceDN w:val="0"/>
        <w:adjustRightInd w:val="0"/>
        <w:rPr>
          <w:sz w:val="20"/>
        </w:rPr>
      </w:pPr>
      <w:r>
        <w:rPr>
          <w:rStyle w:val="EndnoteReference"/>
          <w:sz w:val="20"/>
        </w:rPr>
        <w:endnoteRef/>
      </w:r>
      <w:r>
        <w:rPr>
          <w:sz w:val="20"/>
        </w:rPr>
        <w:t xml:space="preserve"> </w:t>
      </w:r>
      <w:r>
        <w:rPr>
          <w:rFonts w:cs="BookAntiqua"/>
          <w:sz w:val="20"/>
        </w:rPr>
        <w:t xml:space="preserve">Total health care spending in the state for all payers—public, private and </w:t>
      </w:r>
      <w:r>
        <w:rPr>
          <w:sz w:val="20"/>
        </w:rPr>
        <w:t>individuals—projected to be $19.3 billion in 2008. Office of Health Policy &amp; Research, Trends in Oregon’s Health Care Market and the Oregon Health Plan, February 2009. Accessed April 7, 2011: http://www.oregon.gov/OHPPR/RSCH/docs/Trends/Trends_in_Oregons_Health_Care3.pdf</w:t>
      </w:r>
    </w:p>
    <w:p w:rsidR="00AA5CC3" w:rsidRDefault="00AA5CC3" w:rsidP="00AA5CC3">
      <w:pPr>
        <w:autoSpaceDE w:val="0"/>
        <w:autoSpaceDN w:val="0"/>
        <w:adjustRightInd w:val="0"/>
      </w:pPr>
    </w:p>
  </w:endnote>
  <w:endnote w:id="9">
    <w:p w:rsidR="00AA5CC3" w:rsidRDefault="00AA5CC3" w:rsidP="00AA5CC3">
      <w:pPr>
        <w:pStyle w:val="EndnoteText"/>
        <w:spacing w:line="240" w:lineRule="auto"/>
        <w:rPr>
          <w:rFonts w:ascii="Palatino" w:hAnsi="Palatino"/>
        </w:rPr>
      </w:pPr>
      <w:r>
        <w:rPr>
          <w:rStyle w:val="EndnoteReference"/>
          <w:rFonts w:ascii="Palatino" w:hAnsi="Palatino"/>
        </w:rPr>
        <w:endnoteRef/>
      </w:r>
      <w:r>
        <w:rPr>
          <w:rFonts w:ascii="Palatino" w:hAnsi="Palatino"/>
        </w:rPr>
        <w:t xml:space="preserve"> </w:t>
      </w:r>
      <w:r>
        <w:rPr>
          <w:rFonts w:ascii="Palatino" w:hAnsi="Palatino" w:cs="Arial"/>
          <w:color w:val="000000"/>
        </w:rPr>
        <w:t xml:space="preserve">Anderson G. </w:t>
      </w:r>
      <w:r>
        <w:rPr>
          <w:rFonts w:ascii="Palatino" w:hAnsi="Palatino" w:cs="Arial"/>
          <w:i/>
          <w:iCs/>
          <w:color w:val="000000"/>
        </w:rPr>
        <w:t xml:space="preserve">Chronic conditions: making the case for ongoing care. </w:t>
      </w:r>
      <w:r>
        <w:rPr>
          <w:rFonts w:ascii="Palatino" w:hAnsi="Palatino" w:cs="Arial"/>
          <w:color w:val="000000"/>
        </w:rPr>
        <w:t xml:space="preserve">Princeton, NJ: Robert Wood Johnson Foundation. </w:t>
      </w:r>
      <w:proofErr w:type="gramStart"/>
      <w:r>
        <w:rPr>
          <w:rFonts w:ascii="Palatino" w:hAnsi="Palatino" w:cs="Arial"/>
          <w:color w:val="000000"/>
        </w:rPr>
        <w:t>2010; 16.</w:t>
      </w:r>
      <w:proofErr w:type="gramEnd"/>
      <w:r>
        <w:rPr>
          <w:rFonts w:ascii="Palatino" w:hAnsi="Palatino" w:cs="Arial"/>
          <w:color w:val="000000"/>
        </w:rPr>
        <w:t xml:space="preserve"> </w:t>
      </w:r>
      <w:proofErr w:type="gramStart"/>
      <w:r>
        <w:rPr>
          <w:rFonts w:ascii="Palatino" w:hAnsi="Palatino" w:cs="Arial"/>
          <w:color w:val="000000"/>
        </w:rPr>
        <w:t xml:space="preserve">At </w:t>
      </w:r>
      <w:r>
        <w:rPr>
          <w:rFonts w:ascii="Palatino" w:hAnsi="Palatino" w:cs="Arial"/>
          <w:i/>
          <w:iCs/>
        </w:rPr>
        <w:t xml:space="preserve"> </w:t>
      </w:r>
      <w:r>
        <w:rPr>
          <w:rFonts w:ascii="Palatino" w:hAnsi="Palatino" w:cs="Arial"/>
        </w:rPr>
        <w:t>www.rwjf.org</w:t>
      </w:r>
      <w:proofErr w:type="gramEnd"/>
      <w:r>
        <w:rPr>
          <w:rFonts w:ascii="Palatino" w:hAnsi="Palatino" w:cs="Arial"/>
        </w:rPr>
        <w:t>/pr/product.jsp?id=50968</w:t>
      </w:r>
      <w:r>
        <w:rPr>
          <w:rFonts w:ascii="Palatino" w:hAnsi="Palatino" w:cs="Arial"/>
          <w:iCs/>
        </w:rPr>
        <w:t xml:space="preserve">. </w:t>
      </w:r>
      <w:proofErr w:type="gramStart"/>
      <w:r>
        <w:rPr>
          <w:rFonts w:ascii="Palatino" w:hAnsi="Palatino" w:cs="Arial"/>
          <w:iCs/>
        </w:rPr>
        <w:t>Accessed on Jan. 24, 2011.</w:t>
      </w:r>
      <w:proofErr w:type="gramEnd"/>
      <w:r>
        <w:rPr>
          <w:rFonts w:ascii="Palatino" w:hAnsi="Palatino" w:cs="Arial"/>
          <w:iCs/>
        </w:rPr>
        <w:t xml:space="preserve"> (Health care spending for people with chronic conditions amounts to 84 percent of total health care spending.) </w:t>
      </w:r>
    </w:p>
  </w:endnote>
  <w:endnote w:id="10">
    <w:p w:rsidR="00AA5CC3" w:rsidRDefault="00AA5CC3" w:rsidP="00AA5CC3">
      <w:pPr>
        <w:pStyle w:val="EndnoteText"/>
        <w:rPr>
          <w:rFonts w:ascii="Palatino" w:hAnsi="Palatino"/>
        </w:rPr>
      </w:pPr>
      <w:r>
        <w:rPr>
          <w:rStyle w:val="EndnoteReference"/>
          <w:rFonts w:ascii="Palatino" w:hAnsi="Palatino"/>
        </w:rPr>
        <w:endnoteRef/>
      </w:r>
      <w:r>
        <w:rPr>
          <w:rFonts w:ascii="Palatino" w:hAnsi="Palatino"/>
        </w:rPr>
        <w:t xml:space="preserve"> </w:t>
      </w:r>
      <w:proofErr w:type="gramStart"/>
      <w:r>
        <w:rPr>
          <w:rFonts w:ascii="Palatino" w:hAnsi="Palatino"/>
        </w:rPr>
        <w:t>Oregon Health Policy Board or the Oregon Health Authority.</w:t>
      </w:r>
      <w:proofErr w:type="gramEnd"/>
      <w:r>
        <w:rPr>
          <w:rFonts w:ascii="Palatino" w:hAnsi="Palatino"/>
        </w:rPr>
        <w:t xml:space="preserve"> </w:t>
      </w:r>
      <w:proofErr w:type="gramStart"/>
      <w:r>
        <w:rPr>
          <w:rFonts w:ascii="Palatino" w:hAnsi="Palatino"/>
        </w:rPr>
        <w:t>Oregon Health Improvement Plan.</w:t>
      </w:r>
      <w:proofErr w:type="gramEnd"/>
      <w:r>
        <w:rPr>
          <w:rFonts w:ascii="Palatino" w:hAnsi="Palatino"/>
        </w:rPr>
        <w:t xml:space="preserve"> December 2010.</w:t>
      </w:r>
    </w:p>
  </w:endnote>
  <w:endnote w:id="11">
    <w:p w:rsidR="00AA5CC3" w:rsidRDefault="00AA5CC3">
      <w:pPr>
        <w:pStyle w:val="EndnoteText"/>
      </w:pPr>
      <w:r>
        <w:rPr>
          <w:rStyle w:val="EndnoteReference"/>
        </w:rPr>
        <w:endnoteRef/>
      </w:r>
      <w:r>
        <w:t xml:space="preserve"> </w:t>
      </w:r>
      <w:r w:rsidRPr="001A6C25">
        <w:rPr>
          <w:rFonts w:ascii="Palatino" w:hAnsi="Palatino"/>
        </w:rPr>
        <w:t xml:space="preserve">Elizabeth </w:t>
      </w:r>
      <w:proofErr w:type="spellStart"/>
      <w:r w:rsidRPr="001A6C25">
        <w:rPr>
          <w:rFonts w:ascii="Palatino" w:hAnsi="Palatino"/>
        </w:rPr>
        <w:t>Frazao</w:t>
      </w:r>
      <w:proofErr w:type="spellEnd"/>
      <w:r w:rsidRPr="001A6C25">
        <w:rPr>
          <w:rFonts w:ascii="Palatino" w:hAnsi="Palatino"/>
        </w:rPr>
        <w:t xml:space="preserve">. </w:t>
      </w:r>
      <w:proofErr w:type="gramStart"/>
      <w:r w:rsidRPr="001A6C25">
        <w:rPr>
          <w:rFonts w:ascii="Palatino" w:hAnsi="Palatino"/>
        </w:rPr>
        <w:t>“High Costs of Poor Eating Patterns in the United States.”</w:t>
      </w:r>
      <w:proofErr w:type="gramEnd"/>
      <w:r w:rsidRPr="001A6C25">
        <w:rPr>
          <w:rFonts w:ascii="Palatino" w:hAnsi="Palatino"/>
        </w:rPr>
        <w:t xml:space="preserve"> In America’s Eating Habits: Changes and Consequences. </w:t>
      </w:r>
      <w:proofErr w:type="gramStart"/>
      <w:r w:rsidRPr="001A6C25">
        <w:rPr>
          <w:rFonts w:ascii="Palatino" w:hAnsi="Palatino"/>
        </w:rPr>
        <w:t xml:space="preserve">Edited by Elizabeth </w:t>
      </w:r>
      <w:proofErr w:type="spellStart"/>
      <w:r w:rsidRPr="001A6C25">
        <w:rPr>
          <w:rFonts w:ascii="Palatino" w:hAnsi="Palatino"/>
        </w:rPr>
        <w:t>Frazao</w:t>
      </w:r>
      <w:proofErr w:type="spellEnd"/>
      <w:r w:rsidRPr="001A6C25">
        <w:rPr>
          <w:rFonts w:ascii="Palatino" w:hAnsi="Palatino"/>
        </w:rPr>
        <w:t>.</w:t>
      </w:r>
      <w:proofErr w:type="gramEnd"/>
      <w:r w:rsidRPr="001A6C25">
        <w:rPr>
          <w:rFonts w:ascii="Palatino" w:hAnsi="Palatino"/>
        </w:rPr>
        <w:t xml:space="preserve"> </w:t>
      </w:r>
      <w:proofErr w:type="gramStart"/>
      <w:r w:rsidRPr="001A6C25">
        <w:rPr>
          <w:rFonts w:ascii="Palatino" w:hAnsi="Palatino"/>
        </w:rPr>
        <w:t>Economic Research Service, U.S. Department of Agriculture.</w:t>
      </w:r>
      <w:proofErr w:type="gramEnd"/>
      <w:r w:rsidRPr="001A6C25">
        <w:rPr>
          <w:rFonts w:ascii="Palatino" w:hAnsi="Palatino"/>
        </w:rPr>
        <w:t xml:space="preserve"> Washington, DC: USDA, 1999. Agriculture Information Bulletin No. 750, pp. 5-32.</w:t>
      </w:r>
    </w:p>
  </w:endnote>
  <w:endnote w:id="12">
    <w:p w:rsidR="00AA5CC3" w:rsidRDefault="00AA5CC3" w:rsidP="00AA5CC3">
      <w:pPr>
        <w:pStyle w:val="EndnoteText"/>
        <w:rPr>
          <w:rFonts w:ascii="Palatino" w:hAnsi="Palatino"/>
        </w:rPr>
      </w:pPr>
      <w:r>
        <w:rPr>
          <w:rStyle w:val="EndnoteReference"/>
          <w:rFonts w:ascii="Palatino" w:hAnsi="Palatino"/>
        </w:rPr>
        <w:endnoteRef/>
      </w:r>
      <w:r>
        <w:rPr>
          <w:rFonts w:ascii="Palatino" w:hAnsi="Palatino"/>
        </w:rPr>
        <w:t xml:space="preserve"> </w:t>
      </w:r>
      <w:proofErr w:type="gramStart"/>
      <w:r>
        <w:rPr>
          <w:rFonts w:ascii="Palatino" w:hAnsi="Palatino"/>
        </w:rPr>
        <w:t>Oregon Healthy Worksite Initiative.</w:t>
      </w:r>
      <w:proofErr w:type="gramEnd"/>
      <w:r>
        <w:rPr>
          <w:rFonts w:ascii="Palatino" w:hAnsi="Palatino"/>
        </w:rPr>
        <w:t xml:space="preserve"> </w:t>
      </w:r>
      <w:r>
        <w:rPr>
          <w:rFonts w:ascii="Palatino" w:hAnsi="Palatino"/>
          <w:i/>
        </w:rPr>
        <w:t>Healthy Worksite Initiative Fact Sheet: 2008 Oregon Employer Survey</w:t>
      </w:r>
      <w:r>
        <w:rPr>
          <w:rFonts w:ascii="Palatino" w:hAnsi="Palatino"/>
        </w:rPr>
        <w:t xml:space="preserve">. Portland, Oregon: Oregon Department of Human Services, Oregon Public Health Division, 2009. </w:t>
      </w:r>
    </w:p>
  </w:endnote>
  <w:endnote w:id="13">
    <w:p w:rsidR="00AA5CC3" w:rsidRDefault="00AA5CC3" w:rsidP="00AA5CC3">
      <w:pPr>
        <w:pStyle w:val="Heading1"/>
        <w:rPr>
          <w:rFonts w:ascii="Palatino" w:hAnsi="Palatino"/>
          <w:b w:val="0"/>
          <w:sz w:val="20"/>
          <w:szCs w:val="20"/>
        </w:rPr>
      </w:pPr>
      <w:r>
        <w:rPr>
          <w:rStyle w:val="EndnoteReference"/>
          <w:rFonts w:ascii="Palatino" w:hAnsi="Palatino"/>
          <w:sz w:val="20"/>
          <w:szCs w:val="20"/>
        </w:rPr>
        <w:endnoteRef/>
      </w:r>
      <w:r>
        <w:rPr>
          <w:rFonts w:ascii="Palatino" w:hAnsi="Palatino"/>
          <w:sz w:val="20"/>
          <w:szCs w:val="20"/>
        </w:rPr>
        <w:t xml:space="preserve"> </w:t>
      </w:r>
      <w:proofErr w:type="gramStart"/>
      <w:r>
        <w:rPr>
          <w:rFonts w:ascii="Palatino" w:hAnsi="Palatino"/>
          <w:b w:val="0"/>
          <w:sz w:val="20"/>
          <w:szCs w:val="20"/>
        </w:rPr>
        <w:t xml:space="preserve">PEBB data from </w:t>
      </w:r>
      <w:proofErr w:type="spellStart"/>
      <w:r>
        <w:rPr>
          <w:rFonts w:ascii="Palatino" w:hAnsi="Palatino"/>
          <w:b w:val="0"/>
          <w:sz w:val="20"/>
          <w:szCs w:val="20"/>
        </w:rPr>
        <w:t>WeightWatchers</w:t>
      </w:r>
      <w:proofErr w:type="spellEnd"/>
      <w:r>
        <w:rPr>
          <w:rFonts w:ascii="Palatino" w:hAnsi="Palatino"/>
          <w:b w:val="0"/>
          <w:sz w:val="20"/>
          <w:szCs w:val="20"/>
        </w:rPr>
        <w:t>, March 2011.</w:t>
      </w:r>
      <w:proofErr w:type="gramEnd"/>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BookAntiqua">
    <w:altName w:val="Book Antiqua"/>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FC0" w:rsidRDefault="00243590" w:rsidP="008E5E62">
      <w:r>
        <w:separator/>
      </w:r>
    </w:p>
  </w:footnote>
  <w:footnote w:type="continuationSeparator" w:id="0">
    <w:p w:rsidR="009D2FC0" w:rsidRDefault="00243590" w:rsidP="008E5E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CB759F"/>
    <w:multiLevelType w:val="hybridMultilevel"/>
    <w:tmpl w:val="3F4A4B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56E50"/>
    <w:multiLevelType w:val="hybridMultilevel"/>
    <w:tmpl w:val="92DEE7B6"/>
    <w:lvl w:ilvl="0" w:tplc="7576A038">
      <w:start w:val="1"/>
      <w:numFmt w:val="bullet"/>
      <w:lvlText w:val=""/>
      <w:lvlJc w:val="left"/>
      <w:pPr>
        <w:tabs>
          <w:tab w:val="num" w:pos="180"/>
        </w:tabs>
        <w:ind w:left="180" w:hanging="180"/>
      </w:pPr>
      <w:rPr>
        <w:rFonts w:ascii="Symbol" w:hAnsi="Symbol" w:hint="default"/>
      </w:rPr>
    </w:lvl>
    <w:lvl w:ilvl="1" w:tplc="04090003">
      <w:start w:val="1"/>
      <w:numFmt w:val="bullet"/>
      <w:lvlText w:val="●"/>
      <w:lvlJc w:val="left"/>
      <w:pPr>
        <w:ind w:left="1440" w:hanging="360"/>
      </w:pPr>
      <w:rPr>
        <w:rFonts w:ascii="Verdana" w:hAnsi="Verdana"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653F4"/>
    <w:multiLevelType w:val="hybridMultilevel"/>
    <w:tmpl w:val="F9607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767AF"/>
    <w:multiLevelType w:val="multilevel"/>
    <w:tmpl w:val="6310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C60C6F"/>
    <w:multiLevelType w:val="hybridMultilevel"/>
    <w:tmpl w:val="7AF443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177D59"/>
    <w:multiLevelType w:val="hybridMultilevel"/>
    <w:tmpl w:val="4A061E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725CC5"/>
    <w:multiLevelType w:val="hybridMultilevel"/>
    <w:tmpl w:val="DBD89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4010C1"/>
    <w:multiLevelType w:val="hybridMultilevel"/>
    <w:tmpl w:val="C8C82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5F1621"/>
    <w:multiLevelType w:val="hybridMultilevel"/>
    <w:tmpl w:val="46DCF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EB018B"/>
    <w:multiLevelType w:val="hybridMultilevel"/>
    <w:tmpl w:val="3E3297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7"/>
  </w:num>
  <w:num w:numId="4">
    <w:abstractNumId w:val="5"/>
  </w:num>
  <w:num w:numId="5">
    <w:abstractNumId w:val="0"/>
  </w:num>
  <w:num w:numId="6">
    <w:abstractNumId w:val="6"/>
  </w:num>
  <w:num w:numId="7">
    <w:abstractNumId w:val="2"/>
  </w:num>
  <w:num w:numId="8">
    <w:abstractNumId w:val="10"/>
  </w:num>
  <w:num w:numId="9">
    <w:abstractNumId w:val="8"/>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rsids>
    <w:rsidRoot w:val="00AB4996"/>
    <w:rsid w:val="00243590"/>
    <w:rsid w:val="009D2FC0"/>
    <w:rsid w:val="00AA5CC3"/>
    <w:rsid w:val="00AB4996"/>
    <w:rsid w:val="00CE2F73"/>
    <w:rsid w:val="00E9211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268A3"/>
    <w:rPr>
      <w:rFonts w:ascii="Palatino" w:hAnsi="Palatino"/>
      <w:sz w:val="22"/>
    </w:rPr>
  </w:style>
  <w:style w:type="paragraph" w:styleId="Heading1">
    <w:name w:val="heading 1"/>
    <w:basedOn w:val="Normal"/>
    <w:link w:val="Heading1Char"/>
    <w:qFormat/>
    <w:rsid w:val="00091045"/>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B4996"/>
    <w:pPr>
      <w:ind w:left="720"/>
      <w:contextualSpacing/>
    </w:pPr>
  </w:style>
  <w:style w:type="character" w:customStyle="1" w:styleId="supscript">
    <w:name w:val="supscript"/>
    <w:basedOn w:val="DefaultParagraphFont"/>
    <w:rsid w:val="00737291"/>
  </w:style>
  <w:style w:type="paragraph" w:styleId="FootnoteText">
    <w:name w:val="footnote text"/>
    <w:basedOn w:val="Normal"/>
    <w:link w:val="FootnoteTextChar"/>
    <w:uiPriority w:val="99"/>
    <w:semiHidden/>
    <w:unhideWhenUsed/>
    <w:rsid w:val="00A11B2C"/>
    <w:rPr>
      <w:sz w:val="24"/>
      <w:szCs w:val="24"/>
    </w:rPr>
  </w:style>
  <w:style w:type="character" w:customStyle="1" w:styleId="FootnoteTextChar">
    <w:name w:val="Footnote Text Char"/>
    <w:basedOn w:val="DefaultParagraphFont"/>
    <w:link w:val="FootnoteText"/>
    <w:uiPriority w:val="99"/>
    <w:semiHidden/>
    <w:rsid w:val="00A11B2C"/>
    <w:rPr>
      <w:rFonts w:ascii="Palatino" w:hAnsi="Palatino"/>
      <w:sz w:val="24"/>
      <w:szCs w:val="24"/>
    </w:rPr>
  </w:style>
  <w:style w:type="character" w:styleId="FootnoteReference">
    <w:name w:val="footnote reference"/>
    <w:basedOn w:val="DefaultParagraphFont"/>
    <w:uiPriority w:val="99"/>
    <w:semiHidden/>
    <w:unhideWhenUsed/>
    <w:rsid w:val="00A11B2C"/>
    <w:rPr>
      <w:vertAlign w:val="superscript"/>
    </w:rPr>
  </w:style>
  <w:style w:type="paragraph" w:customStyle="1" w:styleId="ColorfulList-Accent110">
    <w:name w:val="Colorful List - Accent 11"/>
    <w:basedOn w:val="Normal"/>
    <w:rsid w:val="00C32BDF"/>
    <w:pPr>
      <w:spacing w:after="200"/>
      <w:ind w:left="720"/>
      <w:contextualSpacing/>
    </w:pPr>
    <w:rPr>
      <w:szCs w:val="24"/>
    </w:rPr>
  </w:style>
  <w:style w:type="paragraph" w:styleId="CommentText">
    <w:name w:val="annotation text"/>
    <w:basedOn w:val="Normal"/>
    <w:link w:val="CommentTextChar"/>
    <w:rsid w:val="00C32BDF"/>
    <w:pPr>
      <w:spacing w:after="200"/>
    </w:pPr>
    <w:rPr>
      <w:sz w:val="20"/>
    </w:rPr>
  </w:style>
  <w:style w:type="character" w:customStyle="1" w:styleId="CommentTextChar">
    <w:name w:val="Comment Text Char"/>
    <w:basedOn w:val="DefaultParagraphFont"/>
    <w:link w:val="CommentText"/>
    <w:rsid w:val="00C32BDF"/>
    <w:rPr>
      <w:rFonts w:ascii="Palatino" w:hAnsi="Palatino"/>
    </w:rPr>
  </w:style>
  <w:style w:type="paragraph" w:styleId="EndnoteText">
    <w:name w:val="endnote text"/>
    <w:basedOn w:val="Normal"/>
    <w:link w:val="EndnoteTextChar"/>
    <w:semiHidden/>
    <w:rsid w:val="00C32BDF"/>
    <w:pPr>
      <w:spacing w:after="200" w:line="276" w:lineRule="auto"/>
    </w:pPr>
    <w:rPr>
      <w:rFonts w:ascii="Calibri" w:hAnsi="Calibri"/>
      <w:sz w:val="20"/>
    </w:rPr>
  </w:style>
  <w:style w:type="character" w:customStyle="1" w:styleId="EndnoteTextChar">
    <w:name w:val="Endnote Text Char"/>
    <w:basedOn w:val="DefaultParagraphFont"/>
    <w:link w:val="EndnoteText"/>
    <w:semiHidden/>
    <w:rsid w:val="00C32BDF"/>
    <w:rPr>
      <w:rFonts w:ascii="Calibri" w:hAnsi="Calibri"/>
    </w:rPr>
  </w:style>
  <w:style w:type="character" w:styleId="EndnoteReference">
    <w:name w:val="endnote reference"/>
    <w:basedOn w:val="DefaultParagraphFont"/>
    <w:semiHidden/>
    <w:rsid w:val="00C32BDF"/>
    <w:rPr>
      <w:rFonts w:cs="Times New Roman"/>
      <w:vertAlign w:val="superscript"/>
    </w:rPr>
  </w:style>
  <w:style w:type="character" w:customStyle="1" w:styleId="Heading1Char">
    <w:name w:val="Heading 1 Char"/>
    <w:basedOn w:val="DefaultParagraphFont"/>
    <w:link w:val="Heading1"/>
    <w:rsid w:val="00091045"/>
    <w:rPr>
      <w:rFonts w:ascii="Times New Roman" w:eastAsia="Times New Roman" w:hAnsi="Times New Roman"/>
      <w:b/>
      <w:bCs/>
      <w:kern w:val="36"/>
      <w:sz w:val="48"/>
      <w:szCs w:val="48"/>
    </w:rPr>
  </w:style>
  <w:style w:type="character" w:customStyle="1" w:styleId="jrnl">
    <w:name w:val="jrnl"/>
    <w:basedOn w:val="DefaultParagraphFont"/>
    <w:rsid w:val="00091045"/>
  </w:style>
  <w:style w:type="paragraph" w:styleId="BalloonText">
    <w:name w:val="Balloon Text"/>
    <w:basedOn w:val="Normal"/>
    <w:link w:val="BalloonTextChar"/>
    <w:uiPriority w:val="99"/>
    <w:semiHidden/>
    <w:unhideWhenUsed/>
    <w:rsid w:val="00E9211A"/>
    <w:rPr>
      <w:rFonts w:ascii="Tahoma" w:hAnsi="Tahoma" w:cs="Tahoma"/>
      <w:sz w:val="16"/>
      <w:szCs w:val="16"/>
    </w:rPr>
  </w:style>
  <w:style w:type="character" w:customStyle="1" w:styleId="BalloonTextChar">
    <w:name w:val="Balloon Text Char"/>
    <w:basedOn w:val="DefaultParagraphFont"/>
    <w:link w:val="BalloonText"/>
    <w:uiPriority w:val="99"/>
    <w:semiHidden/>
    <w:rsid w:val="00E921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649657">
      <w:bodyDiv w:val="1"/>
      <w:marLeft w:val="0"/>
      <w:marRight w:val="0"/>
      <w:marTop w:val="0"/>
      <w:marBottom w:val="0"/>
      <w:divBdr>
        <w:top w:val="none" w:sz="0" w:space="0" w:color="auto"/>
        <w:left w:val="none" w:sz="0" w:space="0" w:color="auto"/>
        <w:bottom w:val="none" w:sz="0" w:space="0" w:color="auto"/>
        <w:right w:val="none" w:sz="0" w:space="0" w:color="auto"/>
      </w:divBdr>
      <w:divsChild>
        <w:div w:id="174224486">
          <w:marLeft w:val="547"/>
          <w:marRight w:val="0"/>
          <w:marTop w:val="0"/>
          <w:marBottom w:val="0"/>
          <w:divBdr>
            <w:top w:val="none" w:sz="0" w:space="0" w:color="auto"/>
            <w:left w:val="none" w:sz="0" w:space="0" w:color="auto"/>
            <w:bottom w:val="none" w:sz="0" w:space="0" w:color="auto"/>
            <w:right w:val="none" w:sz="0" w:space="0" w:color="auto"/>
          </w:divBdr>
        </w:div>
        <w:div w:id="413859935">
          <w:marLeft w:val="547"/>
          <w:marRight w:val="0"/>
          <w:marTop w:val="0"/>
          <w:marBottom w:val="0"/>
          <w:divBdr>
            <w:top w:val="none" w:sz="0" w:space="0" w:color="auto"/>
            <w:left w:val="none" w:sz="0" w:space="0" w:color="auto"/>
            <w:bottom w:val="none" w:sz="0" w:space="0" w:color="auto"/>
            <w:right w:val="none" w:sz="0" w:space="0" w:color="auto"/>
          </w:divBdr>
        </w:div>
        <w:div w:id="724257830">
          <w:marLeft w:val="547"/>
          <w:marRight w:val="0"/>
          <w:marTop w:val="0"/>
          <w:marBottom w:val="0"/>
          <w:divBdr>
            <w:top w:val="none" w:sz="0" w:space="0" w:color="auto"/>
            <w:left w:val="none" w:sz="0" w:space="0" w:color="auto"/>
            <w:bottom w:val="none" w:sz="0" w:space="0" w:color="auto"/>
            <w:right w:val="none" w:sz="0" w:space="0" w:color="auto"/>
          </w:divBdr>
        </w:div>
        <w:div w:id="857159068">
          <w:marLeft w:val="547"/>
          <w:marRight w:val="0"/>
          <w:marTop w:val="0"/>
          <w:marBottom w:val="0"/>
          <w:divBdr>
            <w:top w:val="none" w:sz="0" w:space="0" w:color="auto"/>
            <w:left w:val="none" w:sz="0" w:space="0" w:color="auto"/>
            <w:bottom w:val="none" w:sz="0" w:space="0" w:color="auto"/>
            <w:right w:val="none" w:sz="0" w:space="0" w:color="auto"/>
          </w:divBdr>
        </w:div>
        <w:div w:id="1091005321">
          <w:marLeft w:val="547"/>
          <w:marRight w:val="0"/>
          <w:marTop w:val="0"/>
          <w:marBottom w:val="0"/>
          <w:divBdr>
            <w:top w:val="none" w:sz="0" w:space="0" w:color="auto"/>
            <w:left w:val="none" w:sz="0" w:space="0" w:color="auto"/>
            <w:bottom w:val="none" w:sz="0" w:space="0" w:color="auto"/>
            <w:right w:val="none" w:sz="0" w:space="0" w:color="auto"/>
          </w:divBdr>
        </w:div>
        <w:div w:id="2002662028">
          <w:marLeft w:val="547"/>
          <w:marRight w:val="0"/>
          <w:marTop w:val="0"/>
          <w:marBottom w:val="0"/>
          <w:divBdr>
            <w:top w:val="none" w:sz="0" w:space="0" w:color="auto"/>
            <w:left w:val="none" w:sz="0" w:space="0" w:color="auto"/>
            <w:bottom w:val="none" w:sz="0" w:space="0" w:color="auto"/>
            <w:right w:val="none" w:sz="0" w:space="0" w:color="auto"/>
          </w:divBdr>
        </w:div>
        <w:div w:id="2040205250">
          <w:marLeft w:val="547"/>
          <w:marRight w:val="0"/>
          <w:marTop w:val="0"/>
          <w:marBottom w:val="0"/>
          <w:divBdr>
            <w:top w:val="none" w:sz="0" w:space="0" w:color="auto"/>
            <w:left w:val="none" w:sz="0" w:space="0" w:color="auto"/>
            <w:bottom w:val="none" w:sz="0" w:space="0" w:color="auto"/>
            <w:right w:val="none" w:sz="0" w:space="0" w:color="auto"/>
          </w:divBdr>
        </w:div>
        <w:div w:id="2138718390">
          <w:marLeft w:val="547"/>
          <w:marRight w:val="0"/>
          <w:marTop w:val="0"/>
          <w:marBottom w:val="0"/>
          <w:divBdr>
            <w:top w:val="none" w:sz="0" w:space="0" w:color="auto"/>
            <w:left w:val="none" w:sz="0" w:space="0" w:color="auto"/>
            <w:bottom w:val="none" w:sz="0" w:space="0" w:color="auto"/>
            <w:right w:val="none" w:sz="0" w:space="0" w:color="auto"/>
          </w:divBdr>
        </w:div>
      </w:divsChild>
    </w:div>
    <w:div w:id="161174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1145</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Metropolitan Group</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Messenger Heilbronner</dc:creator>
  <cp:keywords/>
  <cp:lastModifiedBy>LaCroix Kimberly W</cp:lastModifiedBy>
  <cp:revision>2</cp:revision>
  <dcterms:created xsi:type="dcterms:W3CDTF">2011-10-17T17:02:00Z</dcterms:created>
  <dcterms:modified xsi:type="dcterms:W3CDTF">2011-10-17T17:02:00Z</dcterms:modified>
</cp:coreProperties>
</file>