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360"/>
      </w:tblGrid>
      <w:tr w:rsidR="0080080F" w:rsidTr="0080080F">
        <w:tc>
          <w:tcPr>
            <w:tcW w:w="10200" w:type="dxa"/>
            <w:tcBorders>
              <w:top w:val="nil"/>
              <w:left w:val="nil"/>
              <w:bottom w:val="single" w:sz="8" w:space="0" w:color="auto"/>
              <w:right w:val="nil"/>
            </w:tcBorders>
            <w:hideMark/>
          </w:tcPr>
          <w:p w:rsidR="0080080F" w:rsidRDefault="00AF17BD" w:rsidP="0023649D">
            <w:r>
              <w:rPr>
                <w:noProof/>
              </w:rPr>
              <w:drawing>
                <wp:inline distT="0" distB="0" distL="0" distR="0">
                  <wp:extent cx="5943600" cy="1409700"/>
                  <wp:effectExtent l="0" t="0" r="0" b="0"/>
                  <wp:docPr id="2" name="Picture 2" descr="C:\Users\abocian\Desktop\SCH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cian\Desktop\SCH 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09700"/>
                          </a:xfrm>
                          <a:prstGeom prst="rect">
                            <a:avLst/>
                          </a:prstGeom>
                          <a:noFill/>
                          <a:ln>
                            <a:noFill/>
                          </a:ln>
                        </pic:spPr>
                      </pic:pic>
                    </a:graphicData>
                  </a:graphic>
                </wp:inline>
              </w:drawing>
            </w:r>
          </w:p>
        </w:tc>
      </w:tr>
      <w:tr w:rsidR="0080080F" w:rsidTr="0080080F">
        <w:tc>
          <w:tcPr>
            <w:tcW w:w="10200" w:type="dxa"/>
            <w:tcBorders>
              <w:top w:val="nil"/>
              <w:left w:val="single" w:sz="8" w:space="0" w:color="auto"/>
              <w:bottom w:val="nil"/>
              <w:right w:val="single" w:sz="8" w:space="0" w:color="auto"/>
            </w:tcBorders>
            <w:shd w:val="clear" w:color="auto" w:fill="F79646"/>
            <w:tcMar>
              <w:top w:w="0" w:type="dxa"/>
              <w:left w:w="108" w:type="dxa"/>
              <w:bottom w:w="0" w:type="dxa"/>
              <w:right w:w="108" w:type="dxa"/>
            </w:tcMar>
            <w:hideMark/>
          </w:tcPr>
          <w:p w:rsidR="005B0EB7" w:rsidRPr="00BA468A" w:rsidRDefault="005B0EB7" w:rsidP="008229BF">
            <w:pPr>
              <w:pStyle w:val="NormalWeb"/>
              <w:spacing w:after="0"/>
              <w:jc w:val="both"/>
              <w:rPr>
                <w:rFonts w:asciiTheme="minorHAnsi" w:hAnsiTheme="minorHAnsi" w:cstheme="minorHAnsi"/>
                <w:sz w:val="12"/>
                <w:szCs w:val="22"/>
              </w:rPr>
            </w:pPr>
          </w:p>
          <w:p w:rsidR="00C675F1" w:rsidRPr="000330D3" w:rsidRDefault="008229BF" w:rsidP="000330D3">
            <w:pPr>
              <w:jc w:val="both"/>
              <w:rPr>
                <w:rFonts w:eastAsia="Times New Roman"/>
              </w:rPr>
            </w:pPr>
            <w:r w:rsidRPr="005B0EB7">
              <w:rPr>
                <w:rFonts w:asciiTheme="minorHAnsi" w:hAnsiTheme="minorHAnsi" w:cstheme="minorHAnsi"/>
              </w:rPr>
              <w:t xml:space="preserve">The </w:t>
            </w:r>
            <w:hyperlink r:id="rId6" w:history="1">
              <w:r w:rsidRPr="005B0EB7">
                <w:rPr>
                  <w:rStyle w:val="Hyperlink"/>
                  <w:rFonts w:asciiTheme="minorHAnsi" w:hAnsiTheme="minorHAnsi" w:cstheme="minorHAnsi"/>
                  <w:b/>
                </w:rPr>
                <w:t>Directors of Health Promotion and Education (DHPE)</w:t>
              </w:r>
            </w:hyperlink>
            <w:r w:rsidR="0074562B">
              <w:rPr>
                <w:rFonts w:asciiTheme="minorHAnsi" w:hAnsiTheme="minorHAnsi" w:cstheme="minorHAnsi"/>
              </w:rPr>
              <w:t xml:space="preserve">, </w:t>
            </w:r>
            <w:r w:rsidRPr="005B0EB7">
              <w:rPr>
                <w:rFonts w:asciiTheme="minorHAnsi" w:hAnsiTheme="minorHAnsi" w:cstheme="minorHAnsi"/>
              </w:rPr>
              <w:t xml:space="preserve">in collaboration with </w:t>
            </w:r>
            <w:r w:rsidR="002B3EBA">
              <w:rPr>
                <w:rFonts w:asciiTheme="minorHAnsi" w:hAnsiTheme="minorHAnsi" w:cstheme="minorHAnsi"/>
                <w:b/>
                <w:u w:val="single"/>
              </w:rPr>
              <w:t>Oregon Health Authority</w:t>
            </w:r>
            <w:r w:rsidR="00C675F1" w:rsidRPr="002B3EBA">
              <w:rPr>
                <w:rFonts w:asciiTheme="minorHAnsi" w:hAnsiTheme="minorHAnsi" w:cstheme="minorHAnsi"/>
                <w:b/>
              </w:rPr>
              <w:t>,</w:t>
            </w:r>
            <w:r w:rsidR="00C675F1" w:rsidRPr="00381A3D">
              <w:rPr>
                <w:rFonts w:asciiTheme="minorHAnsi" w:hAnsiTheme="minorHAnsi" w:cstheme="minorHAnsi"/>
                <w:b/>
              </w:rPr>
              <w:t xml:space="preserve"> </w:t>
            </w:r>
            <w:r w:rsidR="000330D3" w:rsidRPr="00C97D5A">
              <w:t xml:space="preserve">welcomes you to the </w:t>
            </w:r>
            <w:r w:rsidR="00AF17BD">
              <w:t>Systems Change</w:t>
            </w:r>
            <w:r w:rsidR="000330D3" w:rsidRPr="00C97D5A">
              <w:t xml:space="preserve"> for Health</w:t>
            </w:r>
            <w:r w:rsidR="000330D3">
              <w:t>™</w:t>
            </w:r>
            <w:r w:rsidR="000330D3" w:rsidRPr="00C97D5A">
              <w:t xml:space="preserve"> Co</w:t>
            </w:r>
            <w:r w:rsidR="000330D3">
              <w:t>mpetency Based Training Program</w:t>
            </w:r>
            <w:r w:rsidR="000330D3" w:rsidRPr="00C675F1">
              <w:t xml:space="preserve">. </w:t>
            </w:r>
            <w:r w:rsidR="000330D3" w:rsidRPr="00C97D5A">
              <w:rPr>
                <w:rFonts w:eastAsia="Times New Roman"/>
              </w:rPr>
              <w:t xml:space="preserve">This training initiative was developed recognizing that health problems are heavily influenced by policies and environments that either sustain healthy behaviors and practices or fail to support healthy choices. We are pleased to offer the </w:t>
            </w:r>
            <w:r w:rsidR="00AF17BD">
              <w:t>Systems Change</w:t>
            </w:r>
            <w:r w:rsidR="00AF17BD" w:rsidRPr="00C97D5A">
              <w:t xml:space="preserve"> </w:t>
            </w:r>
            <w:r w:rsidR="000330D3" w:rsidRPr="00C97D5A">
              <w:rPr>
                <w:rFonts w:eastAsia="Times New Roman"/>
              </w:rPr>
              <w:t>f</w:t>
            </w:r>
            <w:r w:rsidR="00AF17BD">
              <w:rPr>
                <w:rFonts w:eastAsia="Times New Roman"/>
              </w:rPr>
              <w:t>or Health™ training entitled:</w:t>
            </w:r>
          </w:p>
          <w:p w:rsidR="003D4234" w:rsidRPr="00AF17BD" w:rsidRDefault="00AF17BD" w:rsidP="00552DEB">
            <w:pPr>
              <w:jc w:val="both"/>
              <w:rPr>
                <w:rStyle w:val="Hyperlink"/>
                <w:rFonts w:asciiTheme="minorHAnsi" w:hAnsiTheme="minorHAnsi" w:cstheme="minorHAnsi"/>
                <w:b/>
                <w:bCs/>
                <w:i/>
                <w:iCs/>
                <w:sz w:val="12"/>
                <w:szCs w:val="24"/>
              </w:rPr>
            </w:pPr>
            <w:r>
              <w:rPr>
                <w:rFonts w:asciiTheme="minorHAnsi" w:hAnsiTheme="minorHAnsi" w:cstheme="minorHAnsi"/>
                <w:b/>
                <w:bCs/>
                <w:iCs/>
                <w:szCs w:val="24"/>
              </w:rPr>
              <w:fldChar w:fldCharType="begin"/>
            </w:r>
            <w:r>
              <w:rPr>
                <w:rFonts w:asciiTheme="minorHAnsi" w:hAnsiTheme="minorHAnsi" w:cstheme="minorHAnsi"/>
                <w:b/>
                <w:bCs/>
                <w:iCs/>
                <w:szCs w:val="24"/>
              </w:rPr>
              <w:instrText xml:space="preserve"> HYPERLINK "http://www.dhpe.org/?page=Programs_SPHIntro" </w:instrText>
            </w:r>
            <w:r>
              <w:rPr>
                <w:rFonts w:asciiTheme="minorHAnsi" w:hAnsiTheme="minorHAnsi" w:cstheme="minorHAnsi"/>
                <w:b/>
                <w:bCs/>
                <w:iCs/>
                <w:szCs w:val="24"/>
              </w:rPr>
              <w:fldChar w:fldCharType="separate"/>
            </w:r>
          </w:p>
          <w:p w:rsidR="00552DEB" w:rsidRPr="00AF17BD" w:rsidRDefault="0080080F" w:rsidP="003D4234">
            <w:pPr>
              <w:jc w:val="center"/>
              <w:rPr>
                <w:rStyle w:val="Hyperlink"/>
                <w:rFonts w:asciiTheme="minorHAnsi" w:hAnsiTheme="minorHAnsi" w:cstheme="minorHAnsi"/>
                <w:b/>
                <w:bCs/>
                <w:iCs/>
                <w:szCs w:val="24"/>
              </w:rPr>
            </w:pPr>
            <w:r w:rsidRPr="00AF17BD">
              <w:rPr>
                <w:rStyle w:val="Hyperlink"/>
                <w:rFonts w:asciiTheme="minorHAnsi" w:hAnsiTheme="minorHAnsi" w:cstheme="minorHAnsi"/>
                <w:b/>
                <w:bCs/>
                <w:iCs/>
                <w:szCs w:val="24"/>
              </w:rPr>
              <w:t xml:space="preserve">Introduction to the </w:t>
            </w:r>
            <w:r w:rsidR="00AF17BD" w:rsidRPr="00AF17BD">
              <w:rPr>
                <w:rStyle w:val="Hyperlink"/>
                <w:rFonts w:asciiTheme="minorHAnsi" w:hAnsiTheme="minorHAnsi" w:cstheme="minorHAnsi"/>
                <w:b/>
                <w:bCs/>
                <w:iCs/>
                <w:szCs w:val="24"/>
              </w:rPr>
              <w:t>Systems</w:t>
            </w:r>
            <w:r w:rsidRPr="00AF17BD">
              <w:rPr>
                <w:rStyle w:val="Hyperlink"/>
                <w:rFonts w:asciiTheme="minorHAnsi" w:hAnsiTheme="minorHAnsi" w:cstheme="minorHAnsi"/>
                <w:b/>
                <w:bCs/>
                <w:iCs/>
                <w:szCs w:val="24"/>
              </w:rPr>
              <w:t xml:space="preserve"> Change Process</w:t>
            </w:r>
          </w:p>
          <w:p w:rsidR="003647D1" w:rsidRPr="003647D1" w:rsidRDefault="00AF17BD" w:rsidP="003647D1">
            <w:pPr>
              <w:ind w:left="60"/>
              <w:jc w:val="both"/>
              <w:rPr>
                <w:rFonts w:asciiTheme="minorHAnsi" w:hAnsiTheme="minorHAnsi" w:cstheme="minorHAnsi"/>
                <w:szCs w:val="24"/>
              </w:rPr>
            </w:pPr>
            <w:r>
              <w:rPr>
                <w:rFonts w:asciiTheme="minorHAnsi" w:hAnsiTheme="minorHAnsi" w:cstheme="minorHAnsi"/>
                <w:b/>
                <w:bCs/>
                <w:iCs/>
                <w:szCs w:val="24"/>
              </w:rPr>
              <w:fldChar w:fldCharType="end"/>
            </w:r>
            <w:r w:rsidR="003647D1" w:rsidRPr="003647D1">
              <w:rPr>
                <w:rFonts w:asciiTheme="minorHAnsi" w:hAnsiTheme="minorHAnsi" w:cstheme="minorHAnsi"/>
                <w:szCs w:val="24"/>
              </w:rPr>
              <w:t>This introductory course orients participants to the policy change process, including how a local or state coalition might influence both policy development and implementation.  Through interactive exercises, lecture, and group discussion, participants become familiar with five topics:   1) defining social/health problems; 2) policy analysis to identify solutions; 3) advocacy to influence the policy process; 4) bureaucratic implementation of an enacted policy; and 5) evaluation of policy change.</w:t>
            </w:r>
          </w:p>
          <w:p w:rsidR="003647D1" w:rsidRPr="00BD54FF" w:rsidRDefault="003647D1" w:rsidP="003647D1">
            <w:pPr>
              <w:ind w:left="60"/>
              <w:jc w:val="both"/>
              <w:rPr>
                <w:rFonts w:asciiTheme="minorHAnsi" w:hAnsiTheme="minorHAnsi" w:cstheme="minorHAnsi"/>
                <w:sz w:val="12"/>
                <w:szCs w:val="12"/>
              </w:rPr>
            </w:pPr>
          </w:p>
          <w:p w:rsidR="003647D1" w:rsidRPr="003647D1" w:rsidRDefault="003647D1" w:rsidP="003647D1">
            <w:pPr>
              <w:ind w:left="60"/>
              <w:jc w:val="both"/>
              <w:rPr>
                <w:rFonts w:asciiTheme="minorHAnsi" w:hAnsiTheme="minorHAnsi" w:cstheme="minorHAnsi"/>
                <w:szCs w:val="24"/>
              </w:rPr>
            </w:pPr>
            <w:r w:rsidRPr="003647D1">
              <w:rPr>
                <w:rFonts w:asciiTheme="minorHAnsi" w:hAnsiTheme="minorHAnsi" w:cstheme="minorHAnsi"/>
                <w:szCs w:val="24"/>
              </w:rPr>
              <w:t xml:space="preserve">The workshop will rely on multiple learning styles including experiential activities (e.g., role play, small group exercises, individual reflection), as well as PowerPoint slides and written materials.  Emphasis will be on exploring the concepts and practicing techniques.  Facilitators will guide the small group activities and ensure that participants learn from the collective skills and experience present at the training.  </w:t>
            </w:r>
          </w:p>
          <w:p w:rsidR="00BA468A" w:rsidRPr="000330D3" w:rsidRDefault="00BA468A" w:rsidP="00552DEB">
            <w:pPr>
              <w:rPr>
                <w:rFonts w:asciiTheme="minorHAnsi" w:eastAsia="Times New Roman" w:hAnsiTheme="minorHAnsi" w:cstheme="minorHAnsi"/>
                <w:bCs/>
                <w:sz w:val="12"/>
                <w:szCs w:val="24"/>
              </w:rPr>
            </w:pPr>
          </w:p>
          <w:p w:rsidR="00F56087" w:rsidRDefault="000330D3" w:rsidP="00F56087">
            <w:pPr>
              <w:jc w:val="both"/>
              <w:rPr>
                <w:rFonts w:asciiTheme="minorHAnsi" w:eastAsia="Times New Roman" w:hAnsiTheme="minorHAnsi" w:cstheme="minorHAnsi"/>
                <w:szCs w:val="24"/>
              </w:rPr>
            </w:pPr>
            <w:r w:rsidRPr="000330D3">
              <w:rPr>
                <w:rFonts w:asciiTheme="minorHAnsi" w:eastAsia="Times New Roman" w:hAnsiTheme="minorHAnsi" w:cstheme="minorHAnsi"/>
                <w:szCs w:val="24"/>
              </w:rPr>
              <w:t>DHPE is approved as a provider of continuing education contact hours (CECH), Category I in health education by the National Commission for Health Education Credentialing, Inc. (NCHEC). This course is approved for 4.5 CECH (1.5 of 4.5 are advanced-level MCHES).</w:t>
            </w:r>
          </w:p>
          <w:p w:rsidR="000330D3" w:rsidRPr="000330D3" w:rsidRDefault="000330D3" w:rsidP="00F56087">
            <w:pPr>
              <w:jc w:val="both"/>
              <w:rPr>
                <w:rFonts w:asciiTheme="minorHAnsi" w:hAnsiTheme="minorHAnsi" w:cstheme="minorHAnsi"/>
                <w:sz w:val="12"/>
              </w:rPr>
            </w:pPr>
          </w:p>
          <w:p w:rsidR="000956D5" w:rsidRPr="005B0EB7" w:rsidRDefault="000956D5" w:rsidP="000956D5">
            <w:pPr>
              <w:ind w:left="60"/>
              <w:jc w:val="center"/>
              <w:rPr>
                <w:rFonts w:asciiTheme="minorHAnsi" w:hAnsiTheme="minorHAnsi" w:cstheme="minorHAnsi"/>
                <w:sz w:val="24"/>
              </w:rPr>
            </w:pPr>
            <w:r w:rsidRPr="005B0EB7">
              <w:rPr>
                <w:rFonts w:asciiTheme="minorHAnsi" w:hAnsiTheme="minorHAnsi" w:cstheme="minorHAnsi"/>
                <w:b/>
                <w:bCs/>
                <w:sz w:val="24"/>
              </w:rPr>
              <w:t xml:space="preserve">Date: </w:t>
            </w:r>
            <w:r>
              <w:rPr>
                <w:rFonts w:asciiTheme="minorHAnsi" w:hAnsiTheme="minorHAnsi" w:cstheme="minorHAnsi"/>
                <w:b/>
                <w:bCs/>
                <w:sz w:val="24"/>
              </w:rPr>
              <w:t xml:space="preserve"> </w:t>
            </w:r>
            <w:r w:rsidR="002B3EBA">
              <w:rPr>
                <w:rFonts w:asciiTheme="minorHAnsi" w:hAnsiTheme="minorHAnsi" w:cstheme="minorHAnsi"/>
                <w:b/>
                <w:sz w:val="24"/>
              </w:rPr>
              <w:t>September 17, 2015</w:t>
            </w:r>
          </w:p>
          <w:p w:rsidR="000956D5" w:rsidRPr="005B0EB7" w:rsidRDefault="000956D5" w:rsidP="000956D5">
            <w:pPr>
              <w:ind w:left="60"/>
              <w:jc w:val="center"/>
              <w:rPr>
                <w:rFonts w:asciiTheme="minorHAnsi" w:hAnsiTheme="minorHAnsi" w:cstheme="minorHAnsi"/>
                <w:sz w:val="24"/>
              </w:rPr>
            </w:pPr>
            <w:r w:rsidRPr="005B0EB7">
              <w:rPr>
                <w:rFonts w:asciiTheme="minorHAnsi" w:hAnsiTheme="minorHAnsi" w:cstheme="minorHAnsi"/>
                <w:b/>
                <w:bCs/>
                <w:sz w:val="24"/>
              </w:rPr>
              <w:t>Time:</w:t>
            </w:r>
            <w:r w:rsidRPr="005B0EB7">
              <w:rPr>
                <w:rFonts w:asciiTheme="minorHAnsi" w:hAnsiTheme="minorHAnsi" w:cstheme="minorHAnsi"/>
                <w:sz w:val="24"/>
              </w:rPr>
              <w:t xml:space="preserve">  </w:t>
            </w:r>
            <w:r w:rsidR="002B3EBA">
              <w:rPr>
                <w:rFonts w:asciiTheme="minorHAnsi" w:hAnsiTheme="minorHAnsi" w:cstheme="minorHAnsi"/>
                <w:b/>
                <w:sz w:val="24"/>
              </w:rPr>
              <w:t xml:space="preserve">9:00 </w:t>
            </w:r>
            <w:r>
              <w:rPr>
                <w:rFonts w:asciiTheme="minorHAnsi" w:hAnsiTheme="minorHAnsi" w:cstheme="minorHAnsi"/>
                <w:b/>
                <w:sz w:val="24"/>
              </w:rPr>
              <w:t xml:space="preserve">AM – </w:t>
            </w:r>
            <w:r w:rsidR="002B3EBA">
              <w:rPr>
                <w:rFonts w:asciiTheme="minorHAnsi" w:hAnsiTheme="minorHAnsi" w:cstheme="minorHAnsi"/>
                <w:b/>
                <w:sz w:val="24"/>
              </w:rPr>
              <w:t xml:space="preserve">4:00 </w:t>
            </w:r>
            <w:r w:rsidRPr="00C675F1">
              <w:rPr>
                <w:rFonts w:asciiTheme="minorHAnsi" w:hAnsiTheme="minorHAnsi" w:cstheme="minorHAnsi"/>
                <w:b/>
                <w:sz w:val="24"/>
              </w:rPr>
              <w:t>PM</w:t>
            </w:r>
          </w:p>
          <w:p w:rsidR="00C80A57" w:rsidRDefault="000956D5" w:rsidP="000956D5">
            <w:pPr>
              <w:ind w:left="60"/>
              <w:jc w:val="center"/>
              <w:rPr>
                <w:rFonts w:asciiTheme="minorHAnsi" w:hAnsiTheme="minorHAnsi" w:cstheme="minorHAnsi"/>
                <w:sz w:val="24"/>
              </w:rPr>
            </w:pPr>
            <w:r w:rsidRPr="005B0EB7">
              <w:rPr>
                <w:rFonts w:asciiTheme="minorHAnsi" w:hAnsiTheme="minorHAnsi" w:cstheme="minorHAnsi"/>
                <w:b/>
                <w:bCs/>
                <w:sz w:val="24"/>
              </w:rPr>
              <w:t>Location:</w:t>
            </w:r>
            <w:r w:rsidRPr="005B0EB7">
              <w:rPr>
                <w:rFonts w:asciiTheme="minorHAnsi" w:hAnsiTheme="minorHAnsi" w:cstheme="minorHAnsi"/>
                <w:sz w:val="24"/>
              </w:rPr>
              <w:t xml:space="preserve">  </w:t>
            </w:r>
            <w:r w:rsidR="00C80A57" w:rsidRPr="00C80A57">
              <w:rPr>
                <w:rFonts w:asciiTheme="minorHAnsi" w:hAnsiTheme="minorHAnsi" w:cstheme="minorHAnsi"/>
                <w:b/>
                <w:sz w:val="24"/>
              </w:rPr>
              <w:t>DoubleTree Portland</w:t>
            </w:r>
          </w:p>
          <w:p w:rsidR="00C80A57" w:rsidRDefault="00C80A57" w:rsidP="000956D5">
            <w:pPr>
              <w:ind w:left="60"/>
              <w:jc w:val="center"/>
              <w:rPr>
                <w:rFonts w:asciiTheme="minorHAnsi" w:hAnsiTheme="minorHAnsi" w:cstheme="minorHAnsi"/>
                <w:b/>
                <w:sz w:val="24"/>
              </w:rPr>
            </w:pPr>
            <w:r w:rsidRPr="00C80A57">
              <w:rPr>
                <w:rFonts w:asciiTheme="minorHAnsi" w:hAnsiTheme="minorHAnsi" w:cstheme="minorHAnsi"/>
                <w:b/>
                <w:sz w:val="24"/>
              </w:rPr>
              <w:t>1000 NE Multnomah Street</w:t>
            </w:r>
          </w:p>
          <w:p w:rsidR="000956D5" w:rsidRPr="005B0EB7" w:rsidRDefault="002B3EBA" w:rsidP="000956D5">
            <w:pPr>
              <w:ind w:left="60"/>
              <w:jc w:val="center"/>
              <w:rPr>
                <w:rFonts w:asciiTheme="minorHAnsi" w:hAnsiTheme="minorHAnsi" w:cstheme="minorHAnsi"/>
                <w:b/>
                <w:sz w:val="24"/>
              </w:rPr>
            </w:pPr>
            <w:r>
              <w:rPr>
                <w:rFonts w:asciiTheme="minorHAnsi" w:hAnsiTheme="minorHAnsi" w:cstheme="minorHAnsi"/>
                <w:b/>
                <w:sz w:val="24"/>
              </w:rPr>
              <w:t>Portland, OR</w:t>
            </w:r>
            <w:r w:rsidR="00C80A57">
              <w:rPr>
                <w:rFonts w:asciiTheme="minorHAnsi" w:hAnsiTheme="minorHAnsi" w:cstheme="minorHAnsi"/>
                <w:b/>
                <w:sz w:val="24"/>
              </w:rPr>
              <w:t xml:space="preserve"> </w:t>
            </w:r>
            <w:r w:rsidR="00C80A57" w:rsidRPr="00C80A57">
              <w:rPr>
                <w:rFonts w:asciiTheme="minorHAnsi" w:hAnsiTheme="minorHAnsi" w:cstheme="minorHAnsi"/>
                <w:b/>
                <w:sz w:val="24"/>
              </w:rPr>
              <w:t>97232</w:t>
            </w:r>
          </w:p>
          <w:p w:rsidR="00F56087" w:rsidRPr="000330D3" w:rsidRDefault="00F56087" w:rsidP="00F56087">
            <w:pPr>
              <w:ind w:left="60"/>
              <w:jc w:val="center"/>
              <w:rPr>
                <w:rFonts w:asciiTheme="minorHAnsi" w:hAnsiTheme="minorHAnsi" w:cstheme="minorHAnsi"/>
                <w:b/>
                <w:bCs/>
                <w:sz w:val="12"/>
              </w:rPr>
            </w:pPr>
          </w:p>
          <w:p w:rsidR="00F56087" w:rsidRPr="002B3EBA" w:rsidRDefault="002B3EBA" w:rsidP="000956D5">
            <w:pPr>
              <w:ind w:left="60"/>
              <w:jc w:val="center"/>
              <w:rPr>
                <w:rStyle w:val="Hyperlink"/>
                <w:rFonts w:asciiTheme="minorHAnsi" w:hAnsiTheme="minorHAnsi" w:cstheme="minorHAnsi"/>
                <w:b/>
                <w:bCs/>
                <w:sz w:val="28"/>
              </w:rPr>
            </w:pPr>
            <w:r>
              <w:rPr>
                <w:rFonts w:asciiTheme="minorHAnsi" w:hAnsiTheme="minorHAnsi" w:cstheme="minorHAnsi"/>
                <w:b/>
                <w:bCs/>
                <w:sz w:val="28"/>
              </w:rPr>
              <w:fldChar w:fldCharType="begin"/>
            </w:r>
            <w:r>
              <w:rPr>
                <w:rFonts w:asciiTheme="minorHAnsi" w:hAnsiTheme="minorHAnsi" w:cstheme="minorHAnsi"/>
                <w:b/>
                <w:bCs/>
                <w:sz w:val="28"/>
              </w:rPr>
              <w:instrText xml:space="preserve"> HYPERLINK "http://www.dhpe.org/events/event_details.asp?id=658167" </w:instrText>
            </w:r>
            <w:r>
              <w:rPr>
                <w:rFonts w:asciiTheme="minorHAnsi" w:hAnsiTheme="minorHAnsi" w:cstheme="minorHAnsi"/>
                <w:b/>
                <w:bCs/>
                <w:sz w:val="28"/>
              </w:rPr>
              <w:fldChar w:fldCharType="separate"/>
            </w:r>
            <w:r w:rsidR="000956D5" w:rsidRPr="002B3EBA">
              <w:rPr>
                <w:rStyle w:val="Hyperlink"/>
                <w:rFonts w:asciiTheme="minorHAnsi" w:hAnsiTheme="minorHAnsi" w:cstheme="minorHAnsi"/>
                <w:b/>
                <w:bCs/>
                <w:sz w:val="28"/>
              </w:rPr>
              <w:t xml:space="preserve">Register Here </w:t>
            </w:r>
            <w:r w:rsidR="00F56087" w:rsidRPr="002B3EBA">
              <w:rPr>
                <w:rStyle w:val="Hyperlink"/>
                <w:rFonts w:asciiTheme="minorHAnsi" w:hAnsiTheme="minorHAnsi" w:cstheme="minorHAnsi"/>
                <w:b/>
                <w:bCs/>
                <w:sz w:val="28"/>
              </w:rPr>
              <w:t xml:space="preserve"> </w:t>
            </w:r>
          </w:p>
          <w:p w:rsidR="005B0EB7" w:rsidRPr="00BD54FF" w:rsidRDefault="002B3EBA" w:rsidP="005B0EB7">
            <w:pPr>
              <w:jc w:val="both"/>
              <w:rPr>
                <w:rFonts w:asciiTheme="minorHAnsi" w:eastAsia="Calibri" w:hAnsiTheme="minorHAnsi"/>
              </w:rPr>
            </w:pPr>
            <w:r>
              <w:rPr>
                <w:rFonts w:asciiTheme="minorHAnsi" w:hAnsiTheme="minorHAnsi" w:cstheme="minorHAnsi"/>
                <w:b/>
                <w:bCs/>
                <w:sz w:val="28"/>
              </w:rPr>
              <w:fldChar w:fldCharType="end"/>
            </w:r>
            <w:r w:rsidR="005B0EB7" w:rsidRPr="00BD54FF">
              <w:rPr>
                <w:rFonts w:asciiTheme="minorHAnsi" w:hAnsiTheme="minorHAnsi"/>
              </w:rPr>
              <w:t xml:space="preserve">Registration will create a community profile for you on DHPE’s web site giving you post-training networking </w:t>
            </w:r>
            <w:r w:rsidR="00F61632" w:rsidRPr="00BD54FF">
              <w:rPr>
                <w:rFonts w:asciiTheme="minorHAnsi" w:hAnsiTheme="minorHAnsi"/>
              </w:rPr>
              <w:t xml:space="preserve">opportunities </w:t>
            </w:r>
            <w:r w:rsidR="005B0EB7" w:rsidRPr="00BD54FF">
              <w:rPr>
                <w:rFonts w:asciiTheme="minorHAnsi" w:hAnsiTheme="minorHAnsi"/>
              </w:rPr>
              <w:t xml:space="preserve">online. Registration is a simple two-step process.  </w:t>
            </w:r>
            <w:r w:rsidR="005B0EB7" w:rsidRPr="00BD54FF">
              <w:rPr>
                <w:rFonts w:asciiTheme="minorHAnsi" w:hAnsiTheme="minorHAnsi"/>
                <w:i/>
              </w:rPr>
              <w:t>Step 1</w:t>
            </w:r>
            <w:r w:rsidR="005B0EB7" w:rsidRPr="00BD54FF">
              <w:rPr>
                <w:rFonts w:asciiTheme="minorHAnsi" w:hAnsiTheme="minorHAnsi"/>
              </w:rPr>
              <w:t>: Upon clicking Register Here, you will be asked to sign in to DHPE’s community</w:t>
            </w:r>
            <w:r w:rsidR="006D1F9C" w:rsidRPr="00BD54FF">
              <w:rPr>
                <w:rFonts w:asciiTheme="minorHAnsi" w:hAnsiTheme="minorHAnsi"/>
              </w:rPr>
              <w:t>. I</w:t>
            </w:r>
            <w:r w:rsidR="005B0EB7" w:rsidRPr="00BD54FF">
              <w:rPr>
                <w:rFonts w:asciiTheme="minorHAnsi" w:hAnsiTheme="minorHAnsi"/>
              </w:rPr>
              <w:t>f you have not c</w:t>
            </w:r>
            <w:r w:rsidR="006D1F9C" w:rsidRPr="00BD54FF">
              <w:rPr>
                <w:rFonts w:asciiTheme="minorHAnsi" w:hAnsiTheme="minorHAnsi"/>
              </w:rPr>
              <w:t>reated an online profile yet, r</w:t>
            </w:r>
            <w:r w:rsidR="005B0EB7" w:rsidRPr="00BD54FF">
              <w:rPr>
                <w:rFonts w:asciiTheme="minorHAnsi" w:hAnsiTheme="minorHAnsi"/>
              </w:rPr>
              <w:t xml:space="preserve">egister with DHPE as a Community Non-Member (if you do not wish to join DHPE).  </w:t>
            </w:r>
            <w:r w:rsidR="005B0EB7" w:rsidRPr="00BD54FF">
              <w:rPr>
                <w:rFonts w:asciiTheme="minorHAnsi" w:hAnsiTheme="minorHAnsi"/>
                <w:i/>
              </w:rPr>
              <w:t>Step 2</w:t>
            </w:r>
            <w:r w:rsidR="005B0EB7" w:rsidRPr="00BD54FF">
              <w:rPr>
                <w:rFonts w:asciiTheme="minorHAnsi" w:hAnsiTheme="minorHAnsi"/>
              </w:rPr>
              <w:t xml:space="preserve">:  After setting up your profile, click the Register Here link again </w:t>
            </w:r>
            <w:r w:rsidR="006D1F9C" w:rsidRPr="00BD54FF">
              <w:rPr>
                <w:rFonts w:asciiTheme="minorHAnsi" w:hAnsiTheme="minorHAnsi"/>
              </w:rPr>
              <w:t>to</w:t>
            </w:r>
            <w:r w:rsidR="005B0EB7" w:rsidRPr="00BD54FF">
              <w:rPr>
                <w:rFonts w:asciiTheme="minorHAnsi" w:hAnsiTheme="minorHAnsi"/>
              </w:rPr>
              <w:t xml:space="preserve"> register for this event.</w:t>
            </w:r>
            <w:r w:rsidR="00C675F1" w:rsidRPr="00BD54FF">
              <w:rPr>
                <w:rFonts w:asciiTheme="minorHAnsi" w:eastAsia="Calibri" w:hAnsiTheme="minorHAnsi"/>
              </w:rPr>
              <w:t xml:space="preserve"> Please record your registration ID number, which will be used during the training.</w:t>
            </w:r>
          </w:p>
          <w:p w:rsidR="005B0EB7" w:rsidRPr="000330D3" w:rsidRDefault="005B0EB7" w:rsidP="005B0EB7">
            <w:pPr>
              <w:rPr>
                <w:rFonts w:asciiTheme="minorHAnsi" w:hAnsiTheme="minorHAnsi" w:cstheme="minorHAnsi"/>
                <w:sz w:val="12"/>
              </w:rPr>
            </w:pPr>
          </w:p>
          <w:p w:rsidR="00F56087" w:rsidRPr="005B0EB7" w:rsidRDefault="00F56087" w:rsidP="00FF420E">
            <w:pPr>
              <w:jc w:val="both"/>
              <w:rPr>
                <w:rFonts w:asciiTheme="minorHAnsi" w:hAnsiTheme="minorHAnsi" w:cstheme="minorHAnsi"/>
                <w:b/>
                <w:color w:val="0000FF"/>
                <w:sz w:val="20"/>
              </w:rPr>
            </w:pPr>
            <w:r w:rsidRPr="005B0EB7">
              <w:rPr>
                <w:rFonts w:asciiTheme="minorHAnsi" w:hAnsiTheme="minorHAnsi" w:cstheme="minorHAnsi"/>
                <w:szCs w:val="24"/>
              </w:rPr>
              <w:t xml:space="preserve">There is no cost for this training but space is limited and you must register by </w:t>
            </w:r>
            <w:r w:rsidR="002B3EBA">
              <w:rPr>
                <w:rFonts w:asciiTheme="minorHAnsi" w:hAnsiTheme="minorHAnsi" w:cstheme="minorHAnsi"/>
                <w:b/>
                <w:szCs w:val="24"/>
              </w:rPr>
              <w:t>September 10, 2015</w:t>
            </w:r>
            <w:r w:rsidR="000956D5">
              <w:rPr>
                <w:rFonts w:asciiTheme="minorHAnsi" w:hAnsiTheme="minorHAnsi" w:cstheme="minorHAnsi"/>
                <w:b/>
                <w:szCs w:val="24"/>
              </w:rPr>
              <w:t xml:space="preserve"> </w:t>
            </w:r>
            <w:r w:rsidRPr="005B0EB7">
              <w:rPr>
                <w:rFonts w:asciiTheme="minorHAnsi" w:hAnsiTheme="minorHAnsi" w:cstheme="minorHAnsi"/>
                <w:szCs w:val="24"/>
              </w:rPr>
              <w:t>to attend. To register, please click:</w:t>
            </w:r>
            <w:r w:rsidR="000956D5">
              <w:t xml:space="preserve"> </w:t>
            </w:r>
            <w:hyperlink r:id="rId7" w:history="1">
              <w:r w:rsidR="000956D5" w:rsidRPr="002B3EBA">
                <w:rPr>
                  <w:rStyle w:val="Hyperlink"/>
                  <w:b/>
                </w:rPr>
                <w:t>Register H</w:t>
              </w:r>
              <w:r w:rsidR="002B3EBA" w:rsidRPr="002B3EBA">
                <w:rPr>
                  <w:rStyle w:val="Hyperlink"/>
                  <w:b/>
                </w:rPr>
                <w:t>ere</w:t>
              </w:r>
            </w:hyperlink>
            <w:r w:rsidRPr="00733CA2">
              <w:rPr>
                <w:b/>
                <w:szCs w:val="24"/>
              </w:rPr>
              <w:t>.</w:t>
            </w:r>
            <w:r w:rsidR="00BC5BF6">
              <w:rPr>
                <w:rFonts w:asciiTheme="minorHAnsi" w:hAnsiTheme="minorHAnsi" w:cstheme="minorHAnsi"/>
                <w:szCs w:val="24"/>
              </w:rPr>
              <w:t xml:space="preserve"> F</w:t>
            </w:r>
            <w:r w:rsidRPr="005B0EB7">
              <w:rPr>
                <w:rFonts w:asciiTheme="minorHAnsi" w:hAnsiTheme="minorHAnsi" w:cstheme="minorHAnsi"/>
                <w:szCs w:val="24"/>
              </w:rPr>
              <w:t xml:space="preserve">or more information regarding our training program go to </w:t>
            </w:r>
            <w:hyperlink r:id="rId8" w:history="1">
              <w:r w:rsidR="00AF17BD" w:rsidRPr="00AF17BD">
                <w:rPr>
                  <w:rStyle w:val="Hyperlink"/>
                  <w:b/>
                </w:rPr>
                <w:t>http://www.dhpe.org</w:t>
              </w:r>
            </w:hyperlink>
            <w:r w:rsidR="00EA1736" w:rsidRPr="00EA1736">
              <w:rPr>
                <w:rStyle w:val="Hyperlink"/>
                <w:rFonts w:eastAsia="Times New Roman" w:cs="Times New Roman"/>
                <w:b/>
                <w:color w:val="auto"/>
                <w:szCs w:val="24"/>
                <w:u w:val="none"/>
              </w:rPr>
              <w:t>.</w:t>
            </w:r>
          </w:p>
          <w:tbl>
            <w:tblPr>
              <w:tblW w:w="0" w:type="auto"/>
              <w:tblInd w:w="60" w:type="dxa"/>
              <w:tblCellMar>
                <w:left w:w="0" w:type="dxa"/>
                <w:right w:w="0" w:type="dxa"/>
              </w:tblCellMar>
              <w:tblLook w:val="00A0" w:firstRow="1" w:lastRow="0" w:firstColumn="1" w:lastColumn="0" w:noHBand="0" w:noVBand="0"/>
            </w:tblPr>
            <w:tblGrid>
              <w:gridCol w:w="8999"/>
            </w:tblGrid>
            <w:tr w:rsidR="000330D3" w:rsidRPr="00D6510E" w:rsidTr="00AE428C">
              <w:trPr>
                <w:trHeight w:val="1440"/>
              </w:trPr>
              <w:tc>
                <w:tcPr>
                  <w:tcW w:w="8999" w:type="dxa"/>
                  <w:shd w:val="clear" w:color="auto" w:fill="FFFFFF"/>
                  <w:tcMar>
                    <w:top w:w="0" w:type="dxa"/>
                    <w:left w:w="108" w:type="dxa"/>
                    <w:bottom w:w="0" w:type="dxa"/>
                    <w:right w:w="108" w:type="dxa"/>
                  </w:tcMar>
                </w:tcPr>
                <w:p w:rsidR="000330D3" w:rsidRDefault="000330D3" w:rsidP="00AE428C">
                  <w:pPr>
                    <w:rPr>
                      <w:rFonts w:ascii="LinePrinter" w:hAnsi="LinePrinter"/>
                    </w:rPr>
                  </w:pPr>
                  <w:r>
                    <w:rPr>
                      <w:noProof/>
                    </w:rPr>
                    <mc:AlternateContent>
                      <mc:Choice Requires="wps">
                        <w:drawing>
                          <wp:anchor distT="0" distB="0" distL="114300" distR="114300" simplePos="0" relativeHeight="251659264" behindDoc="0" locked="0" layoutInCell="1" allowOverlap="1">
                            <wp:simplePos x="0" y="0"/>
                            <wp:positionH relativeFrom="column">
                              <wp:posOffset>3549015</wp:posOffset>
                            </wp:positionH>
                            <wp:positionV relativeFrom="paragraph">
                              <wp:posOffset>123825</wp:posOffset>
                            </wp:positionV>
                            <wp:extent cx="2038350" cy="1235075"/>
                            <wp:effectExtent l="9525" t="13970"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235075"/>
                                    </a:xfrm>
                                    <a:prstGeom prst="rect">
                                      <a:avLst/>
                                    </a:prstGeom>
                                    <a:solidFill>
                                      <a:srgbClr val="FFFFFF"/>
                                    </a:solidFill>
                                    <a:ln w="9525">
                                      <a:solidFill>
                                        <a:srgbClr val="FFFFFF"/>
                                      </a:solidFill>
                                      <a:miter lim="800000"/>
                                      <a:headEnd/>
                                      <a:tailEnd/>
                                    </a:ln>
                                  </wps:spPr>
                                  <wps:txbx>
                                    <w:txbxContent>
                                      <w:p w:rsidR="000330D3" w:rsidRDefault="000330D3" w:rsidP="000330D3">
                                        <w:r>
                                          <w:rPr>
                                            <w:noProof/>
                                          </w:rPr>
                                          <w:drawing>
                                            <wp:inline distT="0" distB="0" distL="0" distR="0" wp14:anchorId="3D8EA1DD" wp14:editId="23E47D5E">
                                              <wp:extent cx="1581150" cy="904600"/>
                                              <wp:effectExtent l="0" t="0" r="0" b="0"/>
                                              <wp:docPr id="3" name="Picture 3" descr="dh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9046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9.45pt;margin-top:9.75pt;width:160.5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" strokecolor="white">
                            <v:textbox style="mso-fit-shape-to-text:t">
                              <w:txbxContent>
                                <w:p w:rsidR="000330D3" w:rsidRDefault="000330D3" w:rsidP="000330D3">
                                  <w:r>
                                    <w:rPr>
                                      <w:noProof/>
                                    </w:rPr>
                                    <w:drawing>
                                      <wp:inline distT="0" distB="0" distL="0" distR="0" wp14:anchorId="3D8EA1DD" wp14:editId="23E47D5E">
                                        <wp:extent cx="1581150" cy="904600"/>
                                        <wp:effectExtent l="0" t="0" r="0" b="0"/>
                                        <wp:docPr id="3" name="Picture 3" descr="dh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904600"/>
                                                </a:xfrm>
                                                <a:prstGeom prst="rect">
                                                  <a:avLst/>
                                                </a:prstGeom>
                                                <a:noFill/>
                                                <a:ln>
                                                  <a:noFill/>
                                                </a:ln>
                                              </pic:spPr>
                                            </pic:pic>
                                          </a:graphicData>
                                        </a:graphic>
                                      </wp:inline>
                                    </w:drawing>
                                  </w:r>
                                </w:p>
                              </w:txbxContent>
                            </v:textbox>
                          </v:shape>
                        </w:pict>
                      </mc:Fallback>
                    </mc:AlternateContent>
                  </w:r>
                  <w:r w:rsidRPr="00D6510E">
                    <w:rPr>
                      <w:color w:val="1F497D"/>
                    </w:rPr>
                    <w:t>                       </w:t>
                  </w:r>
                </w:p>
                <w:p w:rsidR="000330D3" w:rsidRDefault="000330D3" w:rsidP="00AE428C">
                  <w:pPr>
                    <w:rPr>
                      <w:rFonts w:ascii="LinePrinter" w:hAnsi="LinePrinter"/>
                    </w:rPr>
                  </w:pPr>
                </w:p>
                <w:p w:rsidR="000330D3" w:rsidRDefault="00D04D6B" w:rsidP="00AE428C">
                  <w:pPr>
                    <w:rPr>
                      <w:rFonts w:ascii="LinePrinter" w:hAnsi="LinePrinter"/>
                    </w:rPr>
                  </w:pPr>
                  <w:bookmarkStart w:id="0" w:name="_GoBack"/>
                  <w:bookmarkEnd w:id="0"/>
                  <w:r>
                    <w:rPr>
                      <w:b/>
                      <w:noProof/>
                    </w:rPr>
                    <w:drawing>
                      <wp:inline distT="0" distB="0" distL="0" distR="0" wp14:anchorId="6287BD72">
                        <wp:extent cx="21145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800100"/>
                                </a:xfrm>
                                <a:prstGeom prst="rect">
                                  <a:avLst/>
                                </a:prstGeom>
                                <a:noFill/>
                              </pic:spPr>
                            </pic:pic>
                          </a:graphicData>
                        </a:graphic>
                      </wp:inline>
                    </w:drawing>
                  </w:r>
                </w:p>
                <w:p w:rsidR="000330D3" w:rsidRDefault="000330D3" w:rsidP="00AE428C">
                  <w:pPr>
                    <w:rPr>
                      <w:rFonts w:ascii="LinePrinter" w:hAnsi="LinePrinter"/>
                    </w:rPr>
                  </w:pPr>
                </w:p>
                <w:p w:rsidR="000330D3" w:rsidRPr="00D6510E" w:rsidRDefault="000330D3" w:rsidP="000330D3"/>
              </w:tc>
            </w:tr>
          </w:tbl>
          <w:p w:rsidR="0080080F" w:rsidRPr="000330D3" w:rsidRDefault="0080080F">
            <w:pPr>
              <w:rPr>
                <w:rFonts w:asciiTheme="minorHAnsi" w:eastAsia="Times New Roman" w:hAnsiTheme="minorHAnsi" w:cstheme="minorHAnsi"/>
                <w:sz w:val="16"/>
              </w:rPr>
            </w:pPr>
          </w:p>
        </w:tc>
      </w:tr>
      <w:tr w:rsidR="0080080F" w:rsidTr="003D4234">
        <w:tc>
          <w:tcPr>
            <w:tcW w:w="10200" w:type="dxa"/>
            <w:tcBorders>
              <w:top w:val="nil"/>
              <w:left w:val="single" w:sz="8" w:space="0" w:color="auto"/>
              <w:bottom w:val="single" w:sz="8" w:space="0" w:color="auto"/>
              <w:right w:val="single" w:sz="8" w:space="0" w:color="auto"/>
            </w:tcBorders>
            <w:shd w:val="clear" w:color="auto" w:fill="F79646"/>
            <w:tcMar>
              <w:top w:w="0" w:type="dxa"/>
              <w:left w:w="108" w:type="dxa"/>
              <w:bottom w:w="0" w:type="dxa"/>
              <w:right w:w="108" w:type="dxa"/>
            </w:tcMar>
          </w:tcPr>
          <w:p w:rsidR="0080080F" w:rsidRPr="000330D3" w:rsidRDefault="0080080F">
            <w:pPr>
              <w:ind w:left="244"/>
              <w:rPr>
                <w:sz w:val="12"/>
              </w:rPr>
            </w:pPr>
          </w:p>
        </w:tc>
      </w:tr>
    </w:tbl>
    <w:p w:rsidR="004319DF" w:rsidRPr="00BA468A" w:rsidRDefault="004319DF" w:rsidP="00F56087">
      <w:pPr>
        <w:rPr>
          <w:sz w:val="14"/>
        </w:rPr>
      </w:pPr>
    </w:p>
    <w:sectPr w:rsidR="004319DF" w:rsidRPr="00BA468A" w:rsidSect="000330D3">
      <w:pgSz w:w="12240" w:h="15840"/>
      <w:pgMar w:top="36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330D3"/>
    <w:rsid w:val="000378EF"/>
    <w:rsid w:val="00072892"/>
    <w:rsid w:val="00077582"/>
    <w:rsid w:val="000956D5"/>
    <w:rsid w:val="0023649D"/>
    <w:rsid w:val="002B3EBA"/>
    <w:rsid w:val="003647D1"/>
    <w:rsid w:val="00381A3D"/>
    <w:rsid w:val="00394920"/>
    <w:rsid w:val="003D4234"/>
    <w:rsid w:val="00402DFE"/>
    <w:rsid w:val="004319DF"/>
    <w:rsid w:val="004364FA"/>
    <w:rsid w:val="00552DEB"/>
    <w:rsid w:val="00572CA2"/>
    <w:rsid w:val="00573C9A"/>
    <w:rsid w:val="005B0EB7"/>
    <w:rsid w:val="00636317"/>
    <w:rsid w:val="00682708"/>
    <w:rsid w:val="006D1F9C"/>
    <w:rsid w:val="00733CA2"/>
    <w:rsid w:val="0074562B"/>
    <w:rsid w:val="0080080F"/>
    <w:rsid w:val="00811270"/>
    <w:rsid w:val="008229BF"/>
    <w:rsid w:val="009E7396"/>
    <w:rsid w:val="00AF17BD"/>
    <w:rsid w:val="00B66831"/>
    <w:rsid w:val="00BA468A"/>
    <w:rsid w:val="00BC5BF6"/>
    <w:rsid w:val="00BD54FF"/>
    <w:rsid w:val="00C675F1"/>
    <w:rsid w:val="00C80A57"/>
    <w:rsid w:val="00D04D6B"/>
    <w:rsid w:val="00D42AE4"/>
    <w:rsid w:val="00D71029"/>
    <w:rsid w:val="00E07919"/>
    <w:rsid w:val="00EA0F3A"/>
    <w:rsid w:val="00EA1736"/>
    <w:rsid w:val="00F54396"/>
    <w:rsid w:val="00F56087"/>
    <w:rsid w:val="00F61632"/>
    <w:rsid w:val="00F829DF"/>
    <w:rsid w:val="00FC2D11"/>
    <w:rsid w:val="00FF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80F"/>
    <w:rPr>
      <w:color w:val="0000FF"/>
      <w:u w:val="single"/>
    </w:rPr>
  </w:style>
  <w:style w:type="paragraph" w:styleId="BalloonText">
    <w:name w:val="Balloon Text"/>
    <w:basedOn w:val="Normal"/>
    <w:link w:val="BalloonTextChar"/>
    <w:uiPriority w:val="99"/>
    <w:semiHidden/>
    <w:unhideWhenUsed/>
    <w:rsid w:val="0080080F"/>
    <w:rPr>
      <w:rFonts w:ascii="Tahoma" w:hAnsi="Tahoma" w:cs="Tahoma"/>
      <w:sz w:val="16"/>
      <w:szCs w:val="16"/>
    </w:rPr>
  </w:style>
  <w:style w:type="character" w:customStyle="1" w:styleId="BalloonTextChar">
    <w:name w:val="Balloon Text Char"/>
    <w:basedOn w:val="DefaultParagraphFont"/>
    <w:link w:val="BalloonText"/>
    <w:uiPriority w:val="99"/>
    <w:semiHidden/>
    <w:rsid w:val="0080080F"/>
    <w:rPr>
      <w:rFonts w:ascii="Tahoma" w:hAnsi="Tahoma" w:cs="Tahoma"/>
      <w:sz w:val="16"/>
      <w:szCs w:val="16"/>
    </w:rPr>
  </w:style>
  <w:style w:type="paragraph" w:styleId="NormalWeb">
    <w:name w:val="Normal (Web)"/>
    <w:basedOn w:val="Normal"/>
    <w:uiPriority w:val="99"/>
    <w:unhideWhenUsed/>
    <w:rsid w:val="00394920"/>
    <w:pPr>
      <w:spacing w:after="150"/>
    </w:pPr>
    <w:rPr>
      <w:rFonts w:ascii="Times New Roman" w:eastAsia="Times New Roman" w:hAnsi="Times New Roman" w:cs="Times New Roman"/>
      <w:sz w:val="24"/>
      <w:szCs w:val="24"/>
    </w:rPr>
  </w:style>
  <w:style w:type="paragraph" w:styleId="ListParagraph">
    <w:name w:val="List Paragraph"/>
    <w:basedOn w:val="Normal"/>
    <w:uiPriority w:val="34"/>
    <w:qFormat/>
    <w:rsid w:val="005B0EB7"/>
    <w:pPr>
      <w:ind w:left="720"/>
    </w:pPr>
  </w:style>
  <w:style w:type="character" w:styleId="FollowedHyperlink">
    <w:name w:val="FollowedHyperlink"/>
    <w:basedOn w:val="DefaultParagraphFont"/>
    <w:uiPriority w:val="99"/>
    <w:semiHidden/>
    <w:unhideWhenUsed/>
    <w:rsid w:val="006D1F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8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80F"/>
    <w:rPr>
      <w:color w:val="0000FF"/>
      <w:u w:val="single"/>
    </w:rPr>
  </w:style>
  <w:style w:type="paragraph" w:styleId="BalloonText">
    <w:name w:val="Balloon Text"/>
    <w:basedOn w:val="Normal"/>
    <w:link w:val="BalloonTextChar"/>
    <w:uiPriority w:val="99"/>
    <w:semiHidden/>
    <w:unhideWhenUsed/>
    <w:rsid w:val="0080080F"/>
    <w:rPr>
      <w:rFonts w:ascii="Tahoma" w:hAnsi="Tahoma" w:cs="Tahoma"/>
      <w:sz w:val="16"/>
      <w:szCs w:val="16"/>
    </w:rPr>
  </w:style>
  <w:style w:type="character" w:customStyle="1" w:styleId="BalloonTextChar">
    <w:name w:val="Balloon Text Char"/>
    <w:basedOn w:val="DefaultParagraphFont"/>
    <w:link w:val="BalloonText"/>
    <w:uiPriority w:val="99"/>
    <w:semiHidden/>
    <w:rsid w:val="0080080F"/>
    <w:rPr>
      <w:rFonts w:ascii="Tahoma" w:hAnsi="Tahoma" w:cs="Tahoma"/>
      <w:sz w:val="16"/>
      <w:szCs w:val="16"/>
    </w:rPr>
  </w:style>
  <w:style w:type="paragraph" w:styleId="NormalWeb">
    <w:name w:val="Normal (Web)"/>
    <w:basedOn w:val="Normal"/>
    <w:uiPriority w:val="99"/>
    <w:unhideWhenUsed/>
    <w:rsid w:val="00394920"/>
    <w:pPr>
      <w:spacing w:after="150"/>
    </w:pPr>
    <w:rPr>
      <w:rFonts w:ascii="Times New Roman" w:eastAsia="Times New Roman" w:hAnsi="Times New Roman" w:cs="Times New Roman"/>
      <w:sz w:val="24"/>
      <w:szCs w:val="24"/>
    </w:rPr>
  </w:style>
  <w:style w:type="paragraph" w:styleId="ListParagraph">
    <w:name w:val="List Paragraph"/>
    <w:basedOn w:val="Normal"/>
    <w:uiPriority w:val="34"/>
    <w:qFormat/>
    <w:rsid w:val="005B0EB7"/>
    <w:pPr>
      <w:ind w:left="720"/>
    </w:pPr>
  </w:style>
  <w:style w:type="character" w:styleId="FollowedHyperlink">
    <w:name w:val="FollowedHyperlink"/>
    <w:basedOn w:val="DefaultParagraphFont"/>
    <w:uiPriority w:val="99"/>
    <w:semiHidden/>
    <w:unhideWhenUsed/>
    <w:rsid w:val="006D1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1713">
      <w:bodyDiv w:val="1"/>
      <w:marLeft w:val="0"/>
      <w:marRight w:val="0"/>
      <w:marTop w:val="75"/>
      <w:marBottom w:val="300"/>
      <w:divBdr>
        <w:top w:val="none" w:sz="0" w:space="0" w:color="auto"/>
        <w:left w:val="none" w:sz="0" w:space="0" w:color="auto"/>
        <w:bottom w:val="none" w:sz="0" w:space="0" w:color="auto"/>
        <w:right w:val="none" w:sz="0" w:space="0" w:color="auto"/>
      </w:divBdr>
      <w:divsChild>
        <w:div w:id="1883202752">
          <w:marLeft w:val="0"/>
          <w:marRight w:val="0"/>
          <w:marTop w:val="0"/>
          <w:marBottom w:val="0"/>
          <w:divBdr>
            <w:top w:val="none" w:sz="0" w:space="0" w:color="auto"/>
            <w:left w:val="none" w:sz="0" w:space="0" w:color="auto"/>
            <w:bottom w:val="none" w:sz="0" w:space="0" w:color="auto"/>
            <w:right w:val="none" w:sz="0" w:space="0" w:color="auto"/>
          </w:divBdr>
          <w:divsChild>
            <w:div w:id="1145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1115">
      <w:bodyDiv w:val="1"/>
      <w:marLeft w:val="0"/>
      <w:marRight w:val="0"/>
      <w:marTop w:val="75"/>
      <w:marBottom w:val="300"/>
      <w:divBdr>
        <w:top w:val="none" w:sz="0" w:space="0" w:color="auto"/>
        <w:left w:val="none" w:sz="0" w:space="0" w:color="auto"/>
        <w:bottom w:val="none" w:sz="0" w:space="0" w:color="auto"/>
        <w:right w:val="none" w:sz="0" w:space="0" w:color="auto"/>
      </w:divBdr>
      <w:divsChild>
        <w:div w:id="1573152433">
          <w:marLeft w:val="0"/>
          <w:marRight w:val="0"/>
          <w:marTop w:val="0"/>
          <w:marBottom w:val="0"/>
          <w:divBdr>
            <w:top w:val="none" w:sz="0" w:space="0" w:color="auto"/>
            <w:left w:val="none" w:sz="0" w:space="0" w:color="auto"/>
            <w:bottom w:val="none" w:sz="0" w:space="0" w:color="auto"/>
            <w:right w:val="none" w:sz="0" w:space="0" w:color="auto"/>
          </w:divBdr>
          <w:divsChild>
            <w:div w:id="5454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8804">
      <w:bodyDiv w:val="1"/>
      <w:marLeft w:val="0"/>
      <w:marRight w:val="0"/>
      <w:marTop w:val="75"/>
      <w:marBottom w:val="300"/>
      <w:divBdr>
        <w:top w:val="none" w:sz="0" w:space="0" w:color="auto"/>
        <w:left w:val="none" w:sz="0" w:space="0" w:color="auto"/>
        <w:bottom w:val="none" w:sz="0" w:space="0" w:color="auto"/>
        <w:right w:val="none" w:sz="0" w:space="0" w:color="auto"/>
      </w:divBdr>
      <w:divsChild>
        <w:div w:id="337540908">
          <w:marLeft w:val="0"/>
          <w:marRight w:val="0"/>
          <w:marTop w:val="0"/>
          <w:marBottom w:val="0"/>
          <w:divBdr>
            <w:top w:val="none" w:sz="0" w:space="0" w:color="auto"/>
            <w:left w:val="none" w:sz="0" w:space="0" w:color="auto"/>
            <w:bottom w:val="none" w:sz="0" w:space="0" w:color="auto"/>
            <w:right w:val="none" w:sz="0" w:space="0" w:color="auto"/>
          </w:divBdr>
          <w:divsChild>
            <w:div w:id="1682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3054">
      <w:bodyDiv w:val="1"/>
      <w:marLeft w:val="0"/>
      <w:marRight w:val="0"/>
      <w:marTop w:val="0"/>
      <w:marBottom w:val="0"/>
      <w:divBdr>
        <w:top w:val="none" w:sz="0" w:space="0" w:color="auto"/>
        <w:left w:val="none" w:sz="0" w:space="0" w:color="auto"/>
        <w:bottom w:val="none" w:sz="0" w:space="0" w:color="auto"/>
        <w:right w:val="none" w:sz="0" w:space="0" w:color="auto"/>
      </w:divBdr>
    </w:div>
    <w:div w:id="1161239510">
      <w:bodyDiv w:val="1"/>
      <w:marLeft w:val="0"/>
      <w:marRight w:val="0"/>
      <w:marTop w:val="0"/>
      <w:marBottom w:val="0"/>
      <w:divBdr>
        <w:top w:val="none" w:sz="0" w:space="0" w:color="auto"/>
        <w:left w:val="none" w:sz="0" w:space="0" w:color="auto"/>
        <w:bottom w:val="none" w:sz="0" w:space="0" w:color="auto"/>
        <w:right w:val="none" w:sz="0" w:space="0" w:color="auto"/>
      </w:divBdr>
    </w:div>
    <w:div w:id="1226795639">
      <w:bodyDiv w:val="1"/>
      <w:marLeft w:val="0"/>
      <w:marRight w:val="0"/>
      <w:marTop w:val="75"/>
      <w:marBottom w:val="300"/>
      <w:divBdr>
        <w:top w:val="none" w:sz="0" w:space="0" w:color="auto"/>
        <w:left w:val="none" w:sz="0" w:space="0" w:color="auto"/>
        <w:bottom w:val="none" w:sz="0" w:space="0" w:color="auto"/>
        <w:right w:val="none" w:sz="0" w:space="0" w:color="auto"/>
      </w:divBdr>
      <w:divsChild>
        <w:div w:id="83381544">
          <w:marLeft w:val="0"/>
          <w:marRight w:val="0"/>
          <w:marTop w:val="0"/>
          <w:marBottom w:val="0"/>
          <w:divBdr>
            <w:top w:val="none" w:sz="0" w:space="0" w:color="auto"/>
            <w:left w:val="none" w:sz="0" w:space="0" w:color="auto"/>
            <w:bottom w:val="none" w:sz="0" w:space="0" w:color="auto"/>
            <w:right w:val="none" w:sz="0" w:space="0" w:color="auto"/>
          </w:divBdr>
          <w:divsChild>
            <w:div w:id="2594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2328">
      <w:bodyDiv w:val="1"/>
      <w:marLeft w:val="0"/>
      <w:marRight w:val="0"/>
      <w:marTop w:val="75"/>
      <w:marBottom w:val="300"/>
      <w:divBdr>
        <w:top w:val="none" w:sz="0" w:space="0" w:color="auto"/>
        <w:left w:val="none" w:sz="0" w:space="0" w:color="auto"/>
        <w:bottom w:val="none" w:sz="0" w:space="0" w:color="auto"/>
        <w:right w:val="none" w:sz="0" w:space="0" w:color="auto"/>
      </w:divBdr>
      <w:divsChild>
        <w:div w:id="454100673">
          <w:marLeft w:val="0"/>
          <w:marRight w:val="0"/>
          <w:marTop w:val="0"/>
          <w:marBottom w:val="0"/>
          <w:divBdr>
            <w:top w:val="none" w:sz="0" w:space="0" w:color="auto"/>
            <w:left w:val="none" w:sz="0" w:space="0" w:color="auto"/>
            <w:bottom w:val="none" w:sz="0" w:space="0" w:color="auto"/>
            <w:right w:val="none" w:sz="0" w:space="0" w:color="auto"/>
          </w:divBdr>
          <w:divsChild>
            <w:div w:id="1051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3214">
      <w:bodyDiv w:val="1"/>
      <w:marLeft w:val="0"/>
      <w:marRight w:val="0"/>
      <w:marTop w:val="0"/>
      <w:marBottom w:val="0"/>
      <w:divBdr>
        <w:top w:val="none" w:sz="0" w:space="0" w:color="auto"/>
        <w:left w:val="none" w:sz="0" w:space="0" w:color="auto"/>
        <w:bottom w:val="none" w:sz="0" w:space="0" w:color="auto"/>
        <w:right w:val="none" w:sz="0" w:space="0" w:color="auto"/>
      </w:divBdr>
    </w:div>
    <w:div w:id="1949123582">
      <w:bodyDiv w:val="1"/>
      <w:marLeft w:val="0"/>
      <w:marRight w:val="0"/>
      <w:marTop w:val="0"/>
      <w:marBottom w:val="0"/>
      <w:divBdr>
        <w:top w:val="none" w:sz="0" w:space="0" w:color="auto"/>
        <w:left w:val="none" w:sz="0" w:space="0" w:color="auto"/>
        <w:bottom w:val="none" w:sz="0" w:space="0" w:color="auto"/>
        <w:right w:val="none" w:sz="0" w:space="0" w:color="auto"/>
      </w:divBdr>
    </w:div>
    <w:div w:id="1999529939">
      <w:bodyDiv w:val="1"/>
      <w:marLeft w:val="0"/>
      <w:marRight w:val="0"/>
      <w:marTop w:val="75"/>
      <w:marBottom w:val="300"/>
      <w:divBdr>
        <w:top w:val="none" w:sz="0" w:space="0" w:color="auto"/>
        <w:left w:val="none" w:sz="0" w:space="0" w:color="auto"/>
        <w:bottom w:val="none" w:sz="0" w:space="0" w:color="auto"/>
        <w:right w:val="none" w:sz="0" w:space="0" w:color="auto"/>
      </w:divBdr>
      <w:divsChild>
        <w:div w:id="1342507143">
          <w:marLeft w:val="0"/>
          <w:marRight w:val="0"/>
          <w:marTop w:val="0"/>
          <w:marBottom w:val="0"/>
          <w:divBdr>
            <w:top w:val="none" w:sz="0" w:space="0" w:color="auto"/>
            <w:left w:val="none" w:sz="0" w:space="0" w:color="auto"/>
            <w:bottom w:val="none" w:sz="0" w:space="0" w:color="auto"/>
            <w:right w:val="none" w:sz="0" w:space="0" w:color="auto"/>
          </w:divBdr>
          <w:divsChild>
            <w:div w:id="11037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466">
      <w:bodyDiv w:val="1"/>
      <w:marLeft w:val="0"/>
      <w:marRight w:val="0"/>
      <w:marTop w:val="75"/>
      <w:marBottom w:val="300"/>
      <w:divBdr>
        <w:top w:val="none" w:sz="0" w:space="0" w:color="auto"/>
        <w:left w:val="none" w:sz="0" w:space="0" w:color="auto"/>
        <w:bottom w:val="none" w:sz="0" w:space="0" w:color="auto"/>
        <w:right w:val="none" w:sz="0" w:space="0" w:color="auto"/>
      </w:divBdr>
      <w:divsChild>
        <w:div w:id="652834373">
          <w:marLeft w:val="0"/>
          <w:marRight w:val="0"/>
          <w:marTop w:val="0"/>
          <w:marBottom w:val="0"/>
          <w:divBdr>
            <w:top w:val="none" w:sz="0" w:space="0" w:color="auto"/>
            <w:left w:val="none" w:sz="0" w:space="0" w:color="auto"/>
            <w:bottom w:val="none" w:sz="0" w:space="0" w:color="auto"/>
            <w:right w:val="none" w:sz="0" w:space="0" w:color="auto"/>
          </w:divBdr>
          <w:divsChild>
            <w:div w:id="693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p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hpe.org/events/event_details.asp?id=65816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hpe.org"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Bocian</dc:creator>
  <cp:lastModifiedBy>Shira Pope</cp:lastModifiedBy>
  <cp:revision>4</cp:revision>
  <dcterms:created xsi:type="dcterms:W3CDTF">2015-07-02T15:51:00Z</dcterms:created>
  <dcterms:modified xsi:type="dcterms:W3CDTF">2015-07-16T21:37:00Z</dcterms:modified>
</cp:coreProperties>
</file>