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144"/>
        <w:gridCol w:w="3456"/>
      </w:tblGrid>
      <w:tr w:rsidR="00593D35">
        <w:trPr>
          <w:trHeight w:hRule="exact" w:val="14400"/>
          <w:jc w:val="center"/>
        </w:trPr>
        <w:tc>
          <w:tcPr>
            <w:tcW w:w="7200" w:type="dxa"/>
          </w:tcPr>
          <w:tbl>
            <w:tblPr>
              <w:tblW w:w="5000" w:type="pct"/>
              <w:tblLayout w:type="fixed"/>
              <w:tblCellMar>
                <w:left w:w="0" w:type="dxa"/>
                <w:right w:w="0" w:type="dxa"/>
              </w:tblCellMar>
              <w:tblLook w:val="04A0" w:firstRow="1" w:lastRow="0" w:firstColumn="1" w:lastColumn="0" w:noHBand="0" w:noVBand="1"/>
              <w:tblDescription w:val="Layout for flyer body content"/>
            </w:tblPr>
            <w:tblGrid>
              <w:gridCol w:w="6856"/>
              <w:gridCol w:w="344"/>
            </w:tblGrid>
            <w:tr w:rsidR="00593D35">
              <w:trPr>
                <w:cantSplit/>
                <w:trHeight w:hRule="exact" w:val="7200"/>
              </w:trPr>
              <w:tc>
                <w:tcPr>
                  <w:tcW w:w="7200" w:type="dxa"/>
                </w:tcPr>
                <w:p w:rsidR="00D5220F" w:rsidRDefault="009D3F92">
                  <w:r>
                    <w:rPr>
                      <w:noProof/>
                      <w:lang w:eastAsia="en-US"/>
                    </w:rPr>
                    <w:drawing>
                      <wp:inline distT="0" distB="0" distL="0" distR="0">
                        <wp:extent cx="4189730" cy="2859405"/>
                        <wp:effectExtent l="0" t="0" r="1270" b="0"/>
                        <wp:docPr id="3" name="Picture 3" descr="LGBT HealthLink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GBT HealthLink Ho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9730" cy="2859405"/>
                                </a:xfrm>
                                <a:prstGeom prst="rect">
                                  <a:avLst/>
                                </a:prstGeom>
                                <a:noFill/>
                                <a:ln>
                                  <a:noFill/>
                                </a:ln>
                              </pic:spPr>
                            </pic:pic>
                          </a:graphicData>
                        </a:graphic>
                      </wp:inline>
                    </w:drawing>
                  </w:r>
                </w:p>
                <w:p w:rsidR="00593D35" w:rsidRPr="00D5220F" w:rsidRDefault="00593D35" w:rsidP="00D5220F">
                  <w:pPr>
                    <w:tabs>
                      <w:tab w:val="left" w:pos="4127"/>
                    </w:tabs>
                  </w:pPr>
                </w:p>
              </w:tc>
              <w:tc>
                <w:tcPr>
                  <w:tcW w:w="360" w:type="dxa"/>
                </w:tcPr>
                <w:p w:rsidR="00593D35" w:rsidRDefault="00D5220F">
                  <w:r>
                    <w:tab/>
                  </w:r>
                  <w:r>
                    <w:tab/>
                  </w:r>
                </w:p>
              </w:tc>
            </w:tr>
            <w:tr w:rsidR="00593D35">
              <w:trPr>
                <w:gridAfter w:val="1"/>
                <w:wAfter w:w="360" w:type="dxa"/>
                <w:trHeight w:hRule="exact" w:val="5760"/>
              </w:trPr>
              <w:tc>
                <w:tcPr>
                  <w:tcW w:w="7200" w:type="dxa"/>
                </w:tcPr>
                <w:p w:rsidR="00593D35" w:rsidRPr="0057405D" w:rsidRDefault="009D3F92">
                  <w:pPr>
                    <w:pStyle w:val="Subtitle"/>
                    <w:rPr>
                      <w:sz w:val="56"/>
                    </w:rPr>
                  </w:pPr>
                  <w:r w:rsidRPr="0057405D">
                    <w:rPr>
                      <w:sz w:val="56"/>
                    </w:rPr>
                    <w:t>October 15-16</w:t>
                  </w:r>
                  <w:r w:rsidR="0057405D" w:rsidRPr="0057405D">
                    <w:rPr>
                      <w:sz w:val="56"/>
                    </w:rPr>
                    <w:t>, 2015</w:t>
                  </w:r>
                </w:p>
                <w:p w:rsidR="00593D35" w:rsidRDefault="009D3F92">
                  <w:pPr>
                    <w:pStyle w:val="Title"/>
                  </w:pPr>
                  <w:r>
                    <w:t xml:space="preserve">Steering committee </w:t>
                  </w:r>
                  <w:r>
                    <w:br/>
                    <w:t>e-summit</w:t>
                  </w:r>
                </w:p>
                <w:p w:rsidR="00593D35" w:rsidRDefault="00593D35" w:rsidP="008325E4"/>
              </w:tc>
            </w:tr>
            <w:tr w:rsidR="00593D35">
              <w:trPr>
                <w:gridAfter w:val="1"/>
                <w:wAfter w:w="360" w:type="dxa"/>
                <w:trHeight w:hRule="exact" w:val="1440"/>
              </w:trPr>
              <w:tc>
                <w:tcPr>
                  <w:tcW w:w="7200" w:type="dxa"/>
                  <w:vAlign w:val="bottom"/>
                </w:tcPr>
                <w:p w:rsidR="00EA3819" w:rsidRPr="00BB4F20" w:rsidRDefault="00EA3819" w:rsidP="00EA3819">
                  <w:pPr>
                    <w:rPr>
                      <w:sz w:val="16"/>
                    </w:rPr>
                  </w:pPr>
                  <w:r w:rsidRPr="00BB4F20">
                    <w:rPr>
                      <w:sz w:val="16"/>
                    </w:rPr>
                    <w:t>This work is supported by the Grant Number 5 NU58DP004996-03-00 funded by the Centers for Disease Control and Prevention. Its contents are solely the responsibility of the authors and do not necessarily represent the official views of the Centers for Disease</w:t>
                  </w:r>
                  <w:r w:rsidRPr="00BB4F20">
                    <w:rPr>
                      <w:sz w:val="20"/>
                    </w:rPr>
                    <w:t xml:space="preserve"> </w:t>
                  </w:r>
                  <w:r w:rsidRPr="00BB4F20">
                    <w:rPr>
                      <w:sz w:val="16"/>
                    </w:rPr>
                    <w:t>Control and Prevention or the Department of Health and Human Services.</w:t>
                  </w:r>
                </w:p>
                <w:p w:rsidR="00593D35" w:rsidRDefault="00593D35"/>
              </w:tc>
            </w:tr>
          </w:tbl>
          <w:p w:rsidR="00593D35" w:rsidRDefault="00593D35"/>
        </w:tc>
        <w:tc>
          <w:tcPr>
            <w:tcW w:w="144" w:type="dxa"/>
          </w:tcPr>
          <w:p w:rsidR="00593D35" w:rsidRDefault="00593D35"/>
        </w:tc>
        <w:tc>
          <w:tcPr>
            <w:tcW w:w="3456" w:type="dxa"/>
          </w:tcPr>
          <w:tbl>
            <w:tblPr>
              <w:tblW w:w="5000" w:type="pct"/>
              <w:tblLayout w:type="fixed"/>
              <w:tblCellMar>
                <w:left w:w="288" w:type="dxa"/>
                <w:right w:w="288" w:type="dxa"/>
              </w:tblCellMar>
              <w:tblLook w:val="04A0" w:firstRow="1" w:lastRow="0" w:firstColumn="1" w:lastColumn="0" w:noHBand="0" w:noVBand="1"/>
              <w:tblDescription w:val="Layout for flyer sidebar"/>
            </w:tblPr>
            <w:tblGrid>
              <w:gridCol w:w="3456"/>
            </w:tblGrid>
            <w:tr w:rsidR="00593D35">
              <w:trPr>
                <w:trHeight w:hRule="exact" w:val="10800"/>
              </w:trPr>
              <w:tc>
                <w:tcPr>
                  <w:tcW w:w="3446" w:type="dxa"/>
                  <w:shd w:val="clear" w:color="auto" w:fill="97C83C" w:themeFill="accent2"/>
                  <w:vAlign w:val="center"/>
                </w:tcPr>
                <w:p w:rsidR="00593D35" w:rsidRDefault="008325E4">
                  <w:pPr>
                    <w:pStyle w:val="Heading2"/>
                  </w:pPr>
                  <w:r>
                    <w:t>Cancer</w:t>
                  </w:r>
                </w:p>
                <w:p w:rsidR="00593D35" w:rsidRDefault="00593D35">
                  <w:pPr>
                    <w:pStyle w:val="Line"/>
                  </w:pPr>
                </w:p>
                <w:p w:rsidR="00593D35" w:rsidRDefault="008325E4">
                  <w:pPr>
                    <w:pStyle w:val="Heading2"/>
                  </w:pPr>
                  <w:r>
                    <w:t>Tobacco</w:t>
                  </w:r>
                </w:p>
                <w:p w:rsidR="00593D35" w:rsidRDefault="00593D35">
                  <w:pPr>
                    <w:pStyle w:val="Line"/>
                  </w:pPr>
                </w:p>
                <w:p w:rsidR="00593D35" w:rsidRDefault="008325E4">
                  <w:pPr>
                    <w:pStyle w:val="Heading2"/>
                  </w:pPr>
                  <w:r>
                    <w:t>Disparities</w:t>
                  </w:r>
                </w:p>
                <w:p w:rsidR="00593D35" w:rsidRDefault="00593D35">
                  <w:pPr>
                    <w:pStyle w:val="Line"/>
                  </w:pPr>
                </w:p>
                <w:p w:rsidR="00593D35" w:rsidRDefault="008325E4">
                  <w:pPr>
                    <w:pStyle w:val="Heading2"/>
                  </w:pPr>
                  <w:r>
                    <w:t>Wellness</w:t>
                  </w:r>
                </w:p>
                <w:p w:rsidR="00593D35" w:rsidRDefault="00593D35">
                  <w:pPr>
                    <w:pStyle w:val="Line"/>
                  </w:pPr>
                </w:p>
                <w:p w:rsidR="00593D35" w:rsidRDefault="008325E4" w:rsidP="008325E4">
                  <w:pPr>
                    <w:pStyle w:val="Heading2"/>
                  </w:pPr>
                  <w:r>
                    <w:t>Healthcare Rights</w:t>
                  </w:r>
                </w:p>
              </w:tc>
            </w:tr>
            <w:tr w:rsidR="00593D35">
              <w:trPr>
                <w:trHeight w:hRule="exact" w:val="144"/>
              </w:trPr>
              <w:tc>
                <w:tcPr>
                  <w:tcW w:w="3446" w:type="dxa"/>
                </w:tcPr>
                <w:p w:rsidR="00593D35" w:rsidRDefault="00593D35"/>
              </w:tc>
            </w:tr>
            <w:tr w:rsidR="00593D35">
              <w:trPr>
                <w:trHeight w:hRule="exact" w:val="3456"/>
              </w:trPr>
              <w:tc>
                <w:tcPr>
                  <w:tcW w:w="3446" w:type="dxa"/>
                  <w:shd w:val="clear" w:color="auto" w:fill="E03177" w:themeFill="accent1"/>
                  <w:vAlign w:val="center"/>
                </w:tcPr>
                <w:p w:rsidR="008325E4" w:rsidRPr="008325E4" w:rsidRDefault="008325E4" w:rsidP="008325E4">
                  <w:pPr>
                    <w:pStyle w:val="Heading3"/>
                  </w:pPr>
                  <w:r>
                    <w:t>Save the date</w:t>
                  </w:r>
                  <w:r w:rsidR="00E65DAC">
                    <w:t>*</w:t>
                  </w:r>
                </w:p>
                <w:p w:rsidR="00593D35" w:rsidRDefault="002362DD">
                  <w:pPr>
                    <w:pStyle w:val="ContactInfo"/>
                  </w:pPr>
                  <w:sdt>
                    <w:sdtPr>
                      <w:id w:val="857003158"/>
                      <w:placeholder>
                        <w:docPart w:val="2DCA8788DCF045AC99699A6A3AE2A43D"/>
                      </w:placeholder>
                      <w15:appearance w15:val="hidden"/>
                      <w:text w:multiLine="1"/>
                    </w:sdtPr>
                    <w:sdtEndPr/>
                    <w:sdtContent>
                      <w:r w:rsidR="008325E4">
                        <w:t>Thursday, October 15th</w:t>
                      </w:r>
                      <w:r w:rsidR="008325E4">
                        <w:br/>
                        <w:t>3-3:45 pm</w:t>
                      </w:r>
                      <w:r w:rsidR="008325E4">
                        <w:br/>
                        <w:t>4-5 pm</w:t>
                      </w:r>
                      <w:r w:rsidR="008325E4">
                        <w:br/>
                        <w:t>5:15-6:15 pm</w:t>
                      </w:r>
                    </w:sdtContent>
                  </w:sdt>
                </w:p>
                <w:p w:rsidR="008325E4" w:rsidRDefault="008325E4" w:rsidP="002362DD">
                  <w:pPr>
                    <w:pStyle w:val="ContactInfo"/>
                  </w:pPr>
                  <w:r>
                    <w:t>Friday, October 16</w:t>
                  </w:r>
                  <w:r w:rsidRPr="008325E4">
                    <w:rPr>
                      <w:vertAlign w:val="superscript"/>
                    </w:rPr>
                    <w:t>th</w:t>
                  </w:r>
                  <w:bookmarkStart w:id="0" w:name="_GoBack"/>
                  <w:bookmarkEnd w:id="0"/>
                  <w:r>
                    <w:br/>
                    <w:t>4-5 pm</w:t>
                  </w:r>
                  <w:r>
                    <w:br/>
                  </w:r>
                  <w:r>
                    <w:br/>
                  </w:r>
                  <w:r w:rsidRPr="008325E4">
                    <w:rPr>
                      <w:sz w:val="16"/>
                      <w:szCs w:val="16"/>
                    </w:rPr>
                    <w:t>*</w:t>
                  </w:r>
                  <w:r w:rsidR="00E65DAC">
                    <w:rPr>
                      <w:sz w:val="16"/>
                      <w:szCs w:val="16"/>
                    </w:rPr>
                    <w:t>Eastern Standard Time</w:t>
                  </w:r>
                </w:p>
              </w:tc>
            </w:tr>
          </w:tbl>
          <w:p w:rsidR="00593D35" w:rsidRDefault="00593D35"/>
        </w:tc>
      </w:tr>
    </w:tbl>
    <w:p w:rsidR="00593D35" w:rsidRDefault="00593D35">
      <w:pPr>
        <w:pStyle w:val="NoSpacing"/>
      </w:pPr>
    </w:p>
    <w:p w:rsidR="00B3747A" w:rsidRPr="00B3747A" w:rsidRDefault="00B3747A" w:rsidP="00FD6093">
      <w:pPr>
        <w:pStyle w:val="NoSpacing"/>
        <w:jc w:val="center"/>
        <w:rPr>
          <w:sz w:val="36"/>
          <w:vertAlign w:val="superscript"/>
        </w:rPr>
      </w:pPr>
      <w:r w:rsidRPr="00B3747A">
        <w:rPr>
          <w:sz w:val="36"/>
        </w:rPr>
        <w:lastRenderedPageBreak/>
        <w:t>Thursday, October 15</w:t>
      </w:r>
      <w:r w:rsidRPr="00B3747A">
        <w:rPr>
          <w:sz w:val="36"/>
          <w:vertAlign w:val="superscript"/>
        </w:rPr>
        <w:t>th</w:t>
      </w:r>
    </w:p>
    <w:p w:rsidR="00B3747A" w:rsidRPr="00B3747A" w:rsidRDefault="00B3747A">
      <w:pPr>
        <w:pStyle w:val="NoSpacing"/>
        <w:rPr>
          <w:sz w:val="28"/>
        </w:rPr>
      </w:pPr>
    </w:p>
    <w:p w:rsidR="00FD6093" w:rsidRDefault="00B3747A">
      <w:pPr>
        <w:pStyle w:val="NoSpacing"/>
        <w:rPr>
          <w:sz w:val="28"/>
        </w:rPr>
      </w:pPr>
      <w:r w:rsidRPr="00FD6093">
        <w:rPr>
          <w:color w:val="E03177" w:themeColor="accent1"/>
          <w:sz w:val="28"/>
        </w:rPr>
        <w:t>3:00-3:45 pm EST – LGBT Rights in Health Care</w:t>
      </w:r>
      <w:r w:rsidR="00FD6093">
        <w:rPr>
          <w:sz w:val="28"/>
        </w:rPr>
        <w:br/>
      </w:r>
    </w:p>
    <w:p w:rsidR="0095081A" w:rsidRDefault="00FD6093">
      <w:pPr>
        <w:pStyle w:val="NoSpacing"/>
        <w:rPr>
          <w:sz w:val="20"/>
          <w:szCs w:val="20"/>
        </w:rPr>
      </w:pPr>
      <w:r w:rsidRPr="00FD6093">
        <w:rPr>
          <w:b/>
          <w:sz w:val="20"/>
          <w:szCs w:val="20"/>
        </w:rPr>
        <w:t>Presenter</w:t>
      </w:r>
      <w:r w:rsidR="0050776D">
        <w:rPr>
          <w:b/>
          <w:sz w:val="20"/>
          <w:szCs w:val="20"/>
        </w:rPr>
        <w:t>s</w:t>
      </w:r>
      <w:r w:rsidRPr="00FD6093">
        <w:rPr>
          <w:b/>
          <w:sz w:val="20"/>
          <w:szCs w:val="20"/>
        </w:rPr>
        <w:t>:</w:t>
      </w:r>
      <w:r>
        <w:rPr>
          <w:sz w:val="20"/>
          <w:szCs w:val="20"/>
        </w:rPr>
        <w:t xml:space="preserve"> </w:t>
      </w:r>
      <w:r w:rsidR="0050776D">
        <w:rPr>
          <w:sz w:val="20"/>
          <w:szCs w:val="20"/>
        </w:rPr>
        <w:br/>
      </w:r>
      <w:r>
        <w:rPr>
          <w:sz w:val="20"/>
          <w:szCs w:val="20"/>
        </w:rPr>
        <w:t xml:space="preserve">Corey Prachniak, JD, </w:t>
      </w:r>
      <w:r w:rsidRPr="00FD6093">
        <w:rPr>
          <w:sz w:val="20"/>
          <w:szCs w:val="20"/>
        </w:rPr>
        <w:t>Chair of LGBT HealthLink Steering Committee</w:t>
      </w:r>
    </w:p>
    <w:p w:rsidR="0050776D" w:rsidRPr="00FD6093" w:rsidRDefault="0050776D">
      <w:pPr>
        <w:pStyle w:val="NoSpacing"/>
        <w:rPr>
          <w:sz w:val="20"/>
          <w:szCs w:val="20"/>
        </w:rPr>
      </w:pPr>
      <w:r>
        <w:rPr>
          <w:sz w:val="20"/>
          <w:szCs w:val="20"/>
        </w:rPr>
        <w:t>Scout, PhD, Director of LGBT HealthLink</w:t>
      </w:r>
    </w:p>
    <w:p w:rsidR="00FD6093" w:rsidRPr="00FD6093" w:rsidRDefault="00FD6093">
      <w:pPr>
        <w:pStyle w:val="NoSpacing"/>
        <w:rPr>
          <w:sz w:val="20"/>
          <w:szCs w:val="20"/>
        </w:rPr>
      </w:pPr>
    </w:p>
    <w:p w:rsidR="00FD6093" w:rsidRPr="00FD6093" w:rsidRDefault="00FD6093">
      <w:pPr>
        <w:pStyle w:val="NoSpacing"/>
        <w:rPr>
          <w:sz w:val="20"/>
          <w:szCs w:val="20"/>
        </w:rPr>
      </w:pPr>
      <w:r w:rsidRPr="00FD6093">
        <w:rPr>
          <w:b/>
          <w:sz w:val="20"/>
          <w:szCs w:val="20"/>
        </w:rPr>
        <w:t>Description:</w:t>
      </w:r>
      <w:r w:rsidRPr="00FD6093">
        <w:rPr>
          <w:sz w:val="20"/>
          <w:szCs w:val="20"/>
        </w:rPr>
        <w:t xml:space="preserve"> What rights to LGBT people enjoy in accessing healthcare? What can they do to make sure that they get the best care possible, especially in the face of discriminatory or poor care? Two of the authors of the Healthcare Bill of Rights, </w:t>
      </w:r>
      <w:proofErr w:type="spellStart"/>
      <w:r w:rsidRPr="00FD6093">
        <w:rPr>
          <w:sz w:val="20"/>
          <w:szCs w:val="20"/>
        </w:rPr>
        <w:t>HealthLink's</w:t>
      </w:r>
      <w:proofErr w:type="spellEnd"/>
      <w:r w:rsidRPr="00FD6093">
        <w:rPr>
          <w:sz w:val="20"/>
          <w:szCs w:val="20"/>
        </w:rPr>
        <w:t xml:space="preserve"> Scout and Corey, provide an update on the state of LGBT rights in healthcare.</w:t>
      </w:r>
    </w:p>
    <w:p w:rsidR="00FD6093" w:rsidRPr="00FD6093" w:rsidRDefault="00FD6093">
      <w:pPr>
        <w:pStyle w:val="NoSpacing"/>
        <w:rPr>
          <w:sz w:val="20"/>
          <w:szCs w:val="20"/>
        </w:rPr>
      </w:pPr>
    </w:p>
    <w:p w:rsidR="00FD6093" w:rsidRPr="00FD6093" w:rsidRDefault="00FD6093">
      <w:pPr>
        <w:pStyle w:val="NoSpacing"/>
        <w:rPr>
          <w:sz w:val="20"/>
          <w:szCs w:val="20"/>
        </w:rPr>
      </w:pPr>
      <w:r w:rsidRPr="00FD6093">
        <w:rPr>
          <w:b/>
          <w:sz w:val="20"/>
          <w:szCs w:val="20"/>
        </w:rPr>
        <w:t>Outcomes:</w:t>
      </w:r>
      <w:r w:rsidRPr="00FD6093">
        <w:rPr>
          <w:sz w:val="20"/>
          <w:szCs w:val="20"/>
        </w:rPr>
        <w:t xml:space="preserve"> </w:t>
      </w:r>
      <w:r w:rsidRPr="00FD6093">
        <w:rPr>
          <w:sz w:val="20"/>
          <w:szCs w:val="20"/>
        </w:rPr>
        <w:br/>
        <w:t xml:space="preserve">(1) Participants will understand what quality, competent care looks like - and, in the converse, what poor or culturally incompetent care looks like. </w:t>
      </w:r>
    </w:p>
    <w:p w:rsidR="00FD6093" w:rsidRPr="00FD6093" w:rsidRDefault="00FD6093">
      <w:pPr>
        <w:pStyle w:val="NoSpacing"/>
        <w:rPr>
          <w:sz w:val="20"/>
          <w:szCs w:val="20"/>
        </w:rPr>
      </w:pPr>
      <w:r w:rsidRPr="00FD6093">
        <w:rPr>
          <w:sz w:val="20"/>
          <w:szCs w:val="20"/>
        </w:rPr>
        <w:t xml:space="preserve">(2) Participants will understand how discrimination can appear in healthcare settings. </w:t>
      </w:r>
    </w:p>
    <w:p w:rsidR="00FD6093" w:rsidRPr="00FD6093" w:rsidRDefault="00FD6093">
      <w:pPr>
        <w:pStyle w:val="NoSpacing"/>
        <w:rPr>
          <w:sz w:val="20"/>
          <w:szCs w:val="20"/>
        </w:rPr>
      </w:pPr>
      <w:r w:rsidRPr="00FD6093">
        <w:rPr>
          <w:sz w:val="20"/>
          <w:szCs w:val="20"/>
        </w:rPr>
        <w:t xml:space="preserve">(3) Participants will understand the basics about their protections under the law, and where to go to seek more information. </w:t>
      </w:r>
    </w:p>
    <w:p w:rsidR="00FD6093" w:rsidRDefault="00FD6093">
      <w:pPr>
        <w:pStyle w:val="NoSpacing"/>
        <w:rPr>
          <w:sz w:val="20"/>
          <w:szCs w:val="20"/>
        </w:rPr>
      </w:pPr>
      <w:r w:rsidRPr="00FD6093">
        <w:rPr>
          <w:sz w:val="20"/>
          <w:szCs w:val="20"/>
        </w:rPr>
        <w:t>(4) Participants will be connected to resources on how to find help when they receive bad care and to find the quality, unbiased care they deserve. </w:t>
      </w:r>
    </w:p>
    <w:p w:rsidR="004E267D" w:rsidRDefault="004E267D">
      <w:pPr>
        <w:pStyle w:val="NoSpacing"/>
        <w:rPr>
          <w:sz w:val="20"/>
          <w:szCs w:val="20"/>
        </w:rPr>
      </w:pPr>
    </w:p>
    <w:p w:rsidR="004E267D" w:rsidRPr="00FD6093" w:rsidRDefault="004E267D">
      <w:pPr>
        <w:pStyle w:val="NoSpacing"/>
        <w:rPr>
          <w:sz w:val="20"/>
          <w:szCs w:val="20"/>
        </w:rPr>
      </w:pPr>
      <w:r w:rsidRPr="004E267D">
        <w:rPr>
          <w:b/>
          <w:sz w:val="20"/>
          <w:szCs w:val="20"/>
        </w:rPr>
        <w:t>Format:</w:t>
      </w:r>
      <w:r>
        <w:rPr>
          <w:sz w:val="20"/>
          <w:szCs w:val="20"/>
        </w:rPr>
        <w:t xml:space="preserve"> Webinar, Open to the public</w:t>
      </w:r>
    </w:p>
    <w:p w:rsidR="00B3747A" w:rsidRPr="00B3747A" w:rsidRDefault="00B3747A">
      <w:pPr>
        <w:pStyle w:val="NoSpacing"/>
        <w:rPr>
          <w:sz w:val="28"/>
        </w:rPr>
      </w:pPr>
    </w:p>
    <w:p w:rsidR="00B3747A" w:rsidRPr="00295F25" w:rsidRDefault="00B3747A">
      <w:pPr>
        <w:pStyle w:val="NoSpacing"/>
        <w:rPr>
          <w:color w:val="E03177" w:themeColor="accent1"/>
          <w:sz w:val="28"/>
        </w:rPr>
      </w:pPr>
      <w:r w:rsidRPr="00295F25">
        <w:rPr>
          <w:color w:val="E03177" w:themeColor="accent1"/>
          <w:sz w:val="28"/>
        </w:rPr>
        <w:t>4:00-5:00 pm – Cancer</w:t>
      </w:r>
      <w:r w:rsidR="009A74E8">
        <w:rPr>
          <w:color w:val="E03177" w:themeColor="accent1"/>
          <w:sz w:val="28"/>
        </w:rPr>
        <w:t xml:space="preserve"> Burden in the LGBT Community</w:t>
      </w:r>
    </w:p>
    <w:p w:rsidR="00295F25" w:rsidRDefault="00295F25">
      <w:pPr>
        <w:pStyle w:val="NoSpacing"/>
        <w:rPr>
          <w:b/>
          <w:sz w:val="20"/>
        </w:rPr>
      </w:pPr>
    </w:p>
    <w:p w:rsidR="009A74E8" w:rsidRDefault="009A74E8">
      <w:pPr>
        <w:pStyle w:val="NoSpacing"/>
        <w:rPr>
          <w:sz w:val="20"/>
        </w:rPr>
      </w:pPr>
      <w:r>
        <w:rPr>
          <w:b/>
          <w:sz w:val="20"/>
        </w:rPr>
        <w:t xml:space="preserve">Facilitator: </w:t>
      </w:r>
      <w:r>
        <w:rPr>
          <w:sz w:val="20"/>
        </w:rPr>
        <w:t xml:space="preserve"> Liz James, CEO, Lesbian Health Initiative (LHI)</w:t>
      </w:r>
    </w:p>
    <w:p w:rsidR="009A74E8" w:rsidRPr="009A74E8" w:rsidRDefault="009A74E8">
      <w:pPr>
        <w:pStyle w:val="NoSpacing"/>
        <w:rPr>
          <w:sz w:val="20"/>
        </w:rPr>
      </w:pPr>
    </w:p>
    <w:p w:rsidR="00D5220F" w:rsidRDefault="00B3747A">
      <w:pPr>
        <w:pStyle w:val="NoSpacing"/>
        <w:rPr>
          <w:sz w:val="20"/>
        </w:rPr>
      </w:pPr>
      <w:r w:rsidRPr="00FD6093">
        <w:rPr>
          <w:b/>
          <w:sz w:val="20"/>
        </w:rPr>
        <w:t>Presenter</w:t>
      </w:r>
      <w:r w:rsidR="00D5220F">
        <w:rPr>
          <w:b/>
          <w:sz w:val="20"/>
        </w:rPr>
        <w:t>s</w:t>
      </w:r>
      <w:r w:rsidRPr="00FD6093">
        <w:rPr>
          <w:b/>
          <w:sz w:val="20"/>
        </w:rPr>
        <w:t>:</w:t>
      </w:r>
      <w:r w:rsidRPr="00FD6093">
        <w:rPr>
          <w:sz w:val="20"/>
        </w:rPr>
        <w:t xml:space="preserve"> </w:t>
      </w:r>
    </w:p>
    <w:p w:rsidR="004E267D" w:rsidRDefault="00FD6093">
      <w:pPr>
        <w:pStyle w:val="NoSpacing"/>
        <w:rPr>
          <w:sz w:val="20"/>
        </w:rPr>
      </w:pPr>
      <w:r>
        <w:rPr>
          <w:sz w:val="20"/>
        </w:rPr>
        <w:t xml:space="preserve">Jessica R. Hyde, MS, CHES, </w:t>
      </w:r>
      <w:r w:rsidR="00B3747A" w:rsidRPr="00FD6093">
        <w:rPr>
          <w:sz w:val="20"/>
        </w:rPr>
        <w:t>Program Specialist IV - Texas Compr</w:t>
      </w:r>
      <w:r>
        <w:rPr>
          <w:sz w:val="20"/>
        </w:rPr>
        <w:t>ehensive Cancer Control Program</w:t>
      </w:r>
    </w:p>
    <w:p w:rsidR="00D5220F" w:rsidRDefault="00D5220F">
      <w:pPr>
        <w:pStyle w:val="NoSpacing"/>
        <w:rPr>
          <w:sz w:val="20"/>
        </w:rPr>
      </w:pPr>
      <w:r>
        <w:rPr>
          <w:sz w:val="20"/>
        </w:rPr>
        <w:t>Scout</w:t>
      </w:r>
      <w:r w:rsidR="00BB4F20">
        <w:rPr>
          <w:sz w:val="20"/>
        </w:rPr>
        <w:t>, PhD, Director of LGBT HealthLink</w:t>
      </w:r>
    </w:p>
    <w:p w:rsidR="004E267D" w:rsidRDefault="004E267D">
      <w:pPr>
        <w:pStyle w:val="NoSpacing"/>
        <w:rPr>
          <w:sz w:val="20"/>
        </w:rPr>
      </w:pPr>
    </w:p>
    <w:p w:rsidR="004E267D" w:rsidRPr="009A74E8" w:rsidRDefault="004E267D">
      <w:pPr>
        <w:pStyle w:val="NoSpacing"/>
        <w:rPr>
          <w:sz w:val="20"/>
        </w:rPr>
      </w:pPr>
      <w:r w:rsidRPr="004E267D">
        <w:rPr>
          <w:b/>
          <w:sz w:val="20"/>
        </w:rPr>
        <w:t>Description:</w:t>
      </w:r>
      <w:r w:rsidR="009A74E8">
        <w:rPr>
          <w:b/>
          <w:sz w:val="20"/>
        </w:rPr>
        <w:t xml:space="preserve"> </w:t>
      </w:r>
      <w:r w:rsidR="009A74E8">
        <w:rPr>
          <w:sz w:val="20"/>
        </w:rPr>
        <w:t>The LGBT Cancer 101</w:t>
      </w:r>
      <w:r w:rsidR="009A74E8" w:rsidRPr="009A74E8">
        <w:rPr>
          <w:sz w:val="20"/>
        </w:rPr>
        <w:t xml:space="preserve"> session will provide an overview and basic understanding of health disparities and cancer burdens disproportionately impacting LGBT pers</w:t>
      </w:r>
      <w:r w:rsidR="00BB4F20">
        <w:rPr>
          <w:sz w:val="20"/>
        </w:rPr>
        <w:t xml:space="preserve">ons. </w:t>
      </w:r>
      <w:r w:rsidR="009A74E8" w:rsidRPr="009A74E8">
        <w:rPr>
          <w:sz w:val="20"/>
        </w:rPr>
        <w:t>Session attendees will gain a basic understanding of the framework and methods utilized to assess and address cancer in the US, how that framework provides the key addressing LGBT gaps, and what we must all do to help accelerate the process.</w:t>
      </w:r>
    </w:p>
    <w:p w:rsidR="004E267D" w:rsidRPr="004E267D" w:rsidRDefault="004E267D">
      <w:pPr>
        <w:pStyle w:val="NoSpacing"/>
        <w:rPr>
          <w:b/>
          <w:sz w:val="20"/>
        </w:rPr>
      </w:pPr>
    </w:p>
    <w:p w:rsidR="009A74E8" w:rsidRDefault="004E267D" w:rsidP="009A74E8">
      <w:pPr>
        <w:pStyle w:val="NoSpacing"/>
        <w:rPr>
          <w:sz w:val="20"/>
        </w:rPr>
      </w:pPr>
      <w:r w:rsidRPr="004E267D">
        <w:rPr>
          <w:b/>
          <w:sz w:val="20"/>
        </w:rPr>
        <w:t>Outcomes</w:t>
      </w:r>
      <w:proofErr w:type="gramStart"/>
      <w:r w:rsidRPr="004E267D">
        <w:rPr>
          <w:b/>
          <w:sz w:val="20"/>
        </w:rPr>
        <w:t>:</w:t>
      </w:r>
      <w:proofErr w:type="gramEnd"/>
      <w:r w:rsidR="009A74E8">
        <w:rPr>
          <w:b/>
          <w:sz w:val="20"/>
        </w:rPr>
        <w:br/>
      </w:r>
      <w:r w:rsidR="009A74E8">
        <w:rPr>
          <w:sz w:val="20"/>
        </w:rPr>
        <w:t xml:space="preserve">(1) </w:t>
      </w:r>
      <w:r w:rsidR="009A74E8" w:rsidRPr="009A74E8">
        <w:rPr>
          <w:sz w:val="20"/>
        </w:rPr>
        <w:t>Gain a basic understanding  about LGBT  Health and LGBT Cancer 101 – burden, risks, disparities &amp; issues (including lac</w:t>
      </w:r>
      <w:r w:rsidR="009A74E8">
        <w:rPr>
          <w:sz w:val="20"/>
        </w:rPr>
        <w:t>k of data and lack of research)</w:t>
      </w:r>
    </w:p>
    <w:p w:rsidR="009A74E8" w:rsidRPr="009A74E8" w:rsidRDefault="009A74E8" w:rsidP="009A74E8">
      <w:pPr>
        <w:pStyle w:val="NoSpacing"/>
        <w:rPr>
          <w:sz w:val="20"/>
        </w:rPr>
      </w:pPr>
      <w:r>
        <w:rPr>
          <w:sz w:val="20"/>
        </w:rPr>
        <w:t xml:space="preserve">(2) </w:t>
      </w:r>
      <w:r w:rsidRPr="009A74E8">
        <w:rPr>
          <w:sz w:val="20"/>
        </w:rPr>
        <w:t xml:space="preserve">Gain basic understanding of the federal and state cancer infrastructure – via cancer control TX case study, including LHI/CAT membership and LHI/TXDHSH partnership - (HP 2020, CDC Cancer Control, </w:t>
      </w:r>
      <w:proofErr w:type="gramStart"/>
      <w:r w:rsidRPr="009A74E8">
        <w:rPr>
          <w:sz w:val="20"/>
        </w:rPr>
        <w:t>Surveys</w:t>
      </w:r>
      <w:proofErr w:type="gramEnd"/>
      <w:r w:rsidRPr="009A74E8">
        <w:rPr>
          <w:sz w:val="20"/>
        </w:rPr>
        <w:t xml:space="preserve"> including BRFSS and Cancer registries – and TX or state Cancer Control programs)</w:t>
      </w:r>
    </w:p>
    <w:p w:rsidR="009A74E8" w:rsidRPr="009A74E8" w:rsidRDefault="009A74E8" w:rsidP="009A74E8">
      <w:pPr>
        <w:pStyle w:val="NoSpacing"/>
        <w:rPr>
          <w:sz w:val="20"/>
        </w:rPr>
      </w:pPr>
      <w:r>
        <w:rPr>
          <w:sz w:val="20"/>
        </w:rPr>
        <w:t xml:space="preserve">(3) </w:t>
      </w:r>
      <w:r w:rsidRPr="009A74E8">
        <w:rPr>
          <w:sz w:val="20"/>
        </w:rPr>
        <w:t>Gain basic understanding about the relevance and promise of the Affordable Care Act, including mandated,</w:t>
      </w:r>
      <w:r w:rsidR="00BB4F20">
        <w:rPr>
          <w:sz w:val="20"/>
        </w:rPr>
        <w:t xml:space="preserve"> nondiscrimination protections,</w:t>
      </w:r>
      <w:r w:rsidRPr="009A74E8">
        <w:rPr>
          <w:sz w:val="20"/>
        </w:rPr>
        <w:t xml:space="preserve"> no cost prevention benefits, $11 billion 5 year health center expansion investments, and Community Health Needs Assessment (CHNA), and data/Stage 3 meaningful use in EHR data collection </w:t>
      </w:r>
    </w:p>
    <w:p w:rsidR="004E267D" w:rsidRPr="009A74E8" w:rsidRDefault="009A74E8" w:rsidP="009A74E8">
      <w:pPr>
        <w:pStyle w:val="NoSpacing"/>
        <w:rPr>
          <w:sz w:val="20"/>
        </w:rPr>
      </w:pPr>
      <w:r>
        <w:rPr>
          <w:sz w:val="20"/>
        </w:rPr>
        <w:t xml:space="preserve">(4) </w:t>
      </w:r>
      <w:r w:rsidRPr="009A74E8">
        <w:rPr>
          <w:sz w:val="20"/>
        </w:rPr>
        <w:t xml:space="preserve">What can we all do to help amplify the need, solutions and accelerate closing these </w:t>
      </w:r>
      <w:proofErr w:type="gramStart"/>
      <w:r w:rsidRPr="009A74E8">
        <w:rPr>
          <w:sz w:val="20"/>
        </w:rPr>
        <w:t>gaps</w:t>
      </w:r>
      <w:proofErr w:type="gramEnd"/>
    </w:p>
    <w:p w:rsidR="004E267D" w:rsidRPr="004E267D" w:rsidRDefault="004E267D">
      <w:pPr>
        <w:pStyle w:val="NoSpacing"/>
        <w:rPr>
          <w:b/>
          <w:sz w:val="20"/>
        </w:rPr>
      </w:pPr>
    </w:p>
    <w:p w:rsidR="004E267D" w:rsidRPr="004E267D" w:rsidRDefault="004E267D">
      <w:pPr>
        <w:pStyle w:val="NoSpacing"/>
        <w:rPr>
          <w:b/>
          <w:sz w:val="20"/>
        </w:rPr>
      </w:pPr>
      <w:r w:rsidRPr="004E267D">
        <w:rPr>
          <w:b/>
          <w:sz w:val="20"/>
        </w:rPr>
        <w:t>Format:</w:t>
      </w:r>
      <w:r>
        <w:rPr>
          <w:b/>
          <w:sz w:val="20"/>
        </w:rPr>
        <w:t xml:space="preserve"> </w:t>
      </w:r>
      <w:r w:rsidRPr="004E267D">
        <w:rPr>
          <w:sz w:val="20"/>
        </w:rPr>
        <w:t>Webinar</w:t>
      </w:r>
      <w:r>
        <w:rPr>
          <w:sz w:val="20"/>
        </w:rPr>
        <w:t>, Open to the public</w:t>
      </w:r>
    </w:p>
    <w:p w:rsidR="004E267D" w:rsidRPr="004E267D" w:rsidRDefault="004E267D">
      <w:pPr>
        <w:pStyle w:val="NoSpacing"/>
        <w:rPr>
          <w:sz w:val="20"/>
        </w:rPr>
      </w:pPr>
    </w:p>
    <w:p w:rsidR="00B3747A" w:rsidRPr="00295F25" w:rsidRDefault="00B3747A">
      <w:pPr>
        <w:pStyle w:val="NoSpacing"/>
        <w:rPr>
          <w:color w:val="E03177" w:themeColor="accent1"/>
          <w:sz w:val="28"/>
        </w:rPr>
      </w:pPr>
      <w:r w:rsidRPr="00295F25">
        <w:rPr>
          <w:color w:val="E03177" w:themeColor="accent1"/>
          <w:sz w:val="28"/>
        </w:rPr>
        <w:t xml:space="preserve">5:15-6:15 pm EST – </w:t>
      </w:r>
      <w:r w:rsidR="00EA3819">
        <w:rPr>
          <w:color w:val="E03177" w:themeColor="accent1"/>
          <w:sz w:val="28"/>
        </w:rPr>
        <w:t xml:space="preserve">Intersectionality and Health </w:t>
      </w:r>
      <w:r w:rsidRPr="00295F25">
        <w:rPr>
          <w:color w:val="E03177" w:themeColor="accent1"/>
          <w:sz w:val="28"/>
        </w:rPr>
        <w:t>Disparities</w:t>
      </w:r>
    </w:p>
    <w:p w:rsidR="004E267D" w:rsidRDefault="004E267D" w:rsidP="004E267D">
      <w:pPr>
        <w:pStyle w:val="NoSpacing"/>
        <w:rPr>
          <w:b/>
          <w:sz w:val="20"/>
        </w:rPr>
      </w:pPr>
    </w:p>
    <w:p w:rsidR="00D5220F" w:rsidRDefault="00D5220F" w:rsidP="004E267D">
      <w:pPr>
        <w:pStyle w:val="NoSpacing"/>
        <w:rPr>
          <w:b/>
          <w:sz w:val="20"/>
        </w:rPr>
      </w:pPr>
      <w:r>
        <w:rPr>
          <w:b/>
          <w:sz w:val="20"/>
        </w:rPr>
        <w:t>Facilitator:</w:t>
      </w:r>
      <w:r w:rsidRPr="00D5220F">
        <w:rPr>
          <w:sz w:val="20"/>
        </w:rPr>
        <w:t xml:space="preserve"> Emmett</w:t>
      </w:r>
      <w:r w:rsidR="00BB4F20">
        <w:rPr>
          <w:b/>
          <w:sz w:val="20"/>
        </w:rPr>
        <w:t xml:space="preserve"> </w:t>
      </w:r>
      <w:r w:rsidR="00BB4F20" w:rsidRPr="00BB4F20">
        <w:rPr>
          <w:sz w:val="20"/>
        </w:rPr>
        <w:t>Patterson, Steering Committee</w:t>
      </w:r>
    </w:p>
    <w:p w:rsidR="00D5220F" w:rsidRDefault="00D5220F" w:rsidP="004E267D">
      <w:pPr>
        <w:pStyle w:val="NoSpacing"/>
        <w:rPr>
          <w:b/>
          <w:sz w:val="20"/>
        </w:rPr>
      </w:pPr>
    </w:p>
    <w:p w:rsidR="004E267D" w:rsidRDefault="004E267D" w:rsidP="004E267D">
      <w:pPr>
        <w:pStyle w:val="NoSpacing"/>
        <w:rPr>
          <w:sz w:val="20"/>
        </w:rPr>
      </w:pPr>
      <w:r w:rsidRPr="00FD6093">
        <w:rPr>
          <w:b/>
          <w:sz w:val="20"/>
        </w:rPr>
        <w:t>Presenter:</w:t>
      </w:r>
      <w:r w:rsidRPr="00FD6093">
        <w:rPr>
          <w:sz w:val="20"/>
        </w:rPr>
        <w:t xml:space="preserve"> </w:t>
      </w:r>
      <w:r w:rsidR="00EB13A5">
        <w:rPr>
          <w:sz w:val="20"/>
        </w:rPr>
        <w:br/>
        <w:t>Dennis Rivera-Cash, Steering Committee</w:t>
      </w:r>
      <w:r w:rsidR="00EB13A5">
        <w:rPr>
          <w:sz w:val="20"/>
        </w:rPr>
        <w:br/>
        <w:t>Larry Kairaiuak, Steering Committee</w:t>
      </w:r>
      <w:r w:rsidR="00EB13A5">
        <w:rPr>
          <w:sz w:val="20"/>
        </w:rPr>
        <w:br/>
        <w:t>Emmett Patterson, Steering Committee</w:t>
      </w:r>
    </w:p>
    <w:p w:rsidR="00477ABF" w:rsidRDefault="00477ABF" w:rsidP="004E267D">
      <w:pPr>
        <w:pStyle w:val="NoSpacing"/>
        <w:rPr>
          <w:sz w:val="20"/>
        </w:rPr>
      </w:pPr>
      <w:r>
        <w:rPr>
          <w:sz w:val="20"/>
        </w:rPr>
        <w:t>Juan Carlos Vega, Policy Manager at LGBT HealthLink</w:t>
      </w:r>
    </w:p>
    <w:p w:rsidR="004E267D" w:rsidRDefault="004E267D" w:rsidP="004E267D">
      <w:pPr>
        <w:pStyle w:val="NoSpacing"/>
        <w:rPr>
          <w:sz w:val="20"/>
        </w:rPr>
      </w:pPr>
    </w:p>
    <w:p w:rsidR="004E267D" w:rsidRPr="00F312E3" w:rsidRDefault="004E267D" w:rsidP="004E267D">
      <w:pPr>
        <w:pStyle w:val="NoSpacing"/>
        <w:rPr>
          <w:sz w:val="20"/>
        </w:rPr>
      </w:pPr>
      <w:r w:rsidRPr="004E267D">
        <w:rPr>
          <w:b/>
          <w:sz w:val="20"/>
        </w:rPr>
        <w:t>Description:</w:t>
      </w:r>
      <w:r w:rsidR="00F312E3">
        <w:rPr>
          <w:b/>
          <w:sz w:val="20"/>
        </w:rPr>
        <w:t xml:space="preserve"> </w:t>
      </w:r>
      <w:r w:rsidR="00F312E3" w:rsidRPr="00F312E3">
        <w:rPr>
          <w:sz w:val="20"/>
        </w:rPr>
        <w:t xml:space="preserve">LGBT health disparities are exacerbated by the fact that LGBT people live at the intersection of many different identities, often with disparities of their own. This session will explore the </w:t>
      </w:r>
      <w:proofErr w:type="spellStart"/>
      <w:r w:rsidR="00F312E3" w:rsidRPr="00F312E3">
        <w:rPr>
          <w:sz w:val="20"/>
        </w:rPr>
        <w:t>intersectionalities</w:t>
      </w:r>
      <w:proofErr w:type="spellEnd"/>
      <w:r w:rsidR="00F312E3" w:rsidRPr="00F312E3">
        <w:rPr>
          <w:sz w:val="20"/>
        </w:rPr>
        <w:t xml:space="preserve"> between LGBT </w:t>
      </w:r>
      <w:r w:rsidR="00F312E3" w:rsidRPr="00F312E3">
        <w:rPr>
          <w:sz w:val="20"/>
        </w:rPr>
        <w:lastRenderedPageBreak/>
        <w:t>identities and disparities and those of people with disabilities, communities of color, and priority populations as identified by public health officials.</w:t>
      </w:r>
    </w:p>
    <w:p w:rsidR="004E267D" w:rsidRPr="004E267D" w:rsidRDefault="004E267D" w:rsidP="004E267D">
      <w:pPr>
        <w:pStyle w:val="NoSpacing"/>
        <w:rPr>
          <w:b/>
          <w:sz w:val="20"/>
        </w:rPr>
      </w:pPr>
    </w:p>
    <w:p w:rsidR="004E267D" w:rsidRPr="004E267D" w:rsidRDefault="004E267D" w:rsidP="004E267D">
      <w:pPr>
        <w:pStyle w:val="NoSpacing"/>
        <w:rPr>
          <w:b/>
          <w:sz w:val="20"/>
        </w:rPr>
      </w:pPr>
      <w:r w:rsidRPr="004E267D">
        <w:rPr>
          <w:b/>
          <w:sz w:val="20"/>
        </w:rPr>
        <w:t>Format:</w:t>
      </w:r>
      <w:r>
        <w:rPr>
          <w:b/>
          <w:sz w:val="20"/>
        </w:rPr>
        <w:t xml:space="preserve"> </w:t>
      </w:r>
      <w:r w:rsidRPr="004E267D">
        <w:rPr>
          <w:sz w:val="20"/>
        </w:rPr>
        <w:t>Webinar</w:t>
      </w:r>
      <w:r>
        <w:rPr>
          <w:sz w:val="20"/>
        </w:rPr>
        <w:t>, Open to the public</w:t>
      </w:r>
    </w:p>
    <w:p w:rsidR="00B3747A" w:rsidRPr="00B3747A" w:rsidRDefault="00B3747A">
      <w:pPr>
        <w:pStyle w:val="NoSpacing"/>
        <w:rPr>
          <w:sz w:val="28"/>
        </w:rPr>
      </w:pPr>
    </w:p>
    <w:p w:rsidR="00FD6093" w:rsidRDefault="00FD6093">
      <w:pPr>
        <w:pStyle w:val="NoSpacing"/>
        <w:rPr>
          <w:sz w:val="36"/>
        </w:rPr>
      </w:pPr>
    </w:p>
    <w:p w:rsidR="00B3747A" w:rsidRPr="00B3747A" w:rsidRDefault="00B3747A" w:rsidP="00FD6093">
      <w:pPr>
        <w:pStyle w:val="NoSpacing"/>
        <w:jc w:val="center"/>
        <w:rPr>
          <w:sz w:val="36"/>
        </w:rPr>
      </w:pPr>
      <w:r w:rsidRPr="00B3747A">
        <w:rPr>
          <w:sz w:val="36"/>
        </w:rPr>
        <w:t>Friday, October 16</w:t>
      </w:r>
      <w:r w:rsidRPr="00B3747A">
        <w:rPr>
          <w:sz w:val="36"/>
          <w:vertAlign w:val="superscript"/>
        </w:rPr>
        <w:t>th</w:t>
      </w:r>
    </w:p>
    <w:p w:rsidR="00B3747A" w:rsidRPr="00B3747A" w:rsidRDefault="00B3747A">
      <w:pPr>
        <w:pStyle w:val="NoSpacing"/>
        <w:rPr>
          <w:sz w:val="28"/>
        </w:rPr>
      </w:pPr>
    </w:p>
    <w:p w:rsidR="00B3747A" w:rsidRPr="00B3747A" w:rsidRDefault="00B3747A">
      <w:pPr>
        <w:pStyle w:val="NoSpacing"/>
        <w:rPr>
          <w:sz w:val="28"/>
        </w:rPr>
      </w:pPr>
    </w:p>
    <w:p w:rsidR="00B3747A" w:rsidRPr="00EA3819" w:rsidRDefault="00B3747A">
      <w:pPr>
        <w:pStyle w:val="NoSpacing"/>
        <w:rPr>
          <w:color w:val="E03177" w:themeColor="accent1"/>
          <w:sz w:val="28"/>
          <w:szCs w:val="27"/>
        </w:rPr>
      </w:pPr>
      <w:r w:rsidRPr="00EA3819">
        <w:rPr>
          <w:color w:val="E03177" w:themeColor="accent1"/>
          <w:sz w:val="28"/>
          <w:szCs w:val="27"/>
        </w:rPr>
        <w:t xml:space="preserve">4:00-5:00 pm – </w:t>
      </w:r>
      <w:r w:rsidR="00EA3819" w:rsidRPr="00EA3819">
        <w:rPr>
          <w:color w:val="E03177" w:themeColor="accent1"/>
          <w:sz w:val="28"/>
          <w:szCs w:val="27"/>
        </w:rPr>
        <w:t xml:space="preserve">We’re a Movement, Not a Market! </w:t>
      </w:r>
      <w:r w:rsidRPr="00EA3819">
        <w:rPr>
          <w:color w:val="E03177" w:themeColor="accent1"/>
          <w:sz w:val="28"/>
          <w:szCs w:val="27"/>
        </w:rPr>
        <w:t>Tobacco</w:t>
      </w:r>
      <w:r w:rsidR="00EA3819" w:rsidRPr="00EA3819">
        <w:rPr>
          <w:color w:val="E03177" w:themeColor="accent1"/>
          <w:sz w:val="28"/>
          <w:szCs w:val="27"/>
        </w:rPr>
        <w:t xml:space="preserve"> in LGBTQ Communities</w:t>
      </w:r>
    </w:p>
    <w:p w:rsidR="00295F25" w:rsidRDefault="00295F25" w:rsidP="00FD6093">
      <w:pPr>
        <w:pStyle w:val="NoSpacing"/>
        <w:rPr>
          <w:b/>
          <w:sz w:val="20"/>
          <w:szCs w:val="20"/>
        </w:rPr>
      </w:pPr>
    </w:p>
    <w:p w:rsidR="00295F25" w:rsidRDefault="00FD6093" w:rsidP="00FD6093">
      <w:pPr>
        <w:pStyle w:val="NoSpacing"/>
        <w:rPr>
          <w:b/>
          <w:sz w:val="20"/>
          <w:szCs w:val="20"/>
        </w:rPr>
      </w:pPr>
      <w:r w:rsidRPr="00295F25">
        <w:rPr>
          <w:b/>
          <w:sz w:val="20"/>
          <w:szCs w:val="20"/>
        </w:rPr>
        <w:t xml:space="preserve">Facilitator: </w:t>
      </w:r>
      <w:r w:rsidRPr="00295F25">
        <w:rPr>
          <w:sz w:val="20"/>
          <w:szCs w:val="20"/>
        </w:rPr>
        <w:t xml:space="preserve"> Becky Wright, Tobacco Prevention Specialist, Multnomah County Health Department, Portland, Oregon</w:t>
      </w:r>
      <w:r w:rsidRPr="00295F25">
        <w:rPr>
          <w:b/>
          <w:sz w:val="20"/>
          <w:szCs w:val="20"/>
        </w:rPr>
        <w:br/>
      </w:r>
    </w:p>
    <w:p w:rsidR="00FD6093" w:rsidRPr="00295F25" w:rsidRDefault="00FD6093" w:rsidP="00FD6093">
      <w:pPr>
        <w:pStyle w:val="NoSpacing"/>
        <w:rPr>
          <w:sz w:val="20"/>
          <w:szCs w:val="20"/>
        </w:rPr>
      </w:pPr>
      <w:r w:rsidRPr="00295F25">
        <w:rPr>
          <w:b/>
          <w:sz w:val="20"/>
          <w:szCs w:val="20"/>
        </w:rPr>
        <w:t>Presenters:</w:t>
      </w:r>
      <w:r w:rsidRPr="00295F25">
        <w:rPr>
          <w:sz w:val="20"/>
          <w:szCs w:val="20"/>
        </w:rPr>
        <w:t xml:space="preserve"> Jenna Wintemberg, Faculty – </w:t>
      </w:r>
      <w:r w:rsidR="00295F25">
        <w:rPr>
          <w:sz w:val="20"/>
          <w:szCs w:val="20"/>
        </w:rPr>
        <w:t xml:space="preserve">Department of Health Sciences, </w:t>
      </w:r>
      <w:r w:rsidRPr="00295F25">
        <w:rPr>
          <w:sz w:val="20"/>
          <w:szCs w:val="20"/>
        </w:rPr>
        <w:t>University of Missouri</w:t>
      </w:r>
    </w:p>
    <w:p w:rsidR="00FD6093" w:rsidRPr="00295F25" w:rsidRDefault="00FD6093" w:rsidP="00FD6093">
      <w:pPr>
        <w:pStyle w:val="NoSpacing"/>
        <w:rPr>
          <w:sz w:val="20"/>
          <w:szCs w:val="20"/>
        </w:rPr>
      </w:pPr>
      <w:r w:rsidRPr="00295F25">
        <w:rPr>
          <w:sz w:val="20"/>
          <w:szCs w:val="20"/>
        </w:rPr>
        <w:t>JamieLou Delavan, State Minority Health Specialist &amp; Cultural Liaison, Idaho Department of Health &amp; Welfare</w:t>
      </w:r>
    </w:p>
    <w:p w:rsidR="00FD6093" w:rsidRDefault="00FD6093" w:rsidP="00FD6093">
      <w:pPr>
        <w:pStyle w:val="NoSpacing"/>
        <w:rPr>
          <w:sz w:val="20"/>
          <w:szCs w:val="20"/>
        </w:rPr>
      </w:pPr>
      <w:r w:rsidRPr="00BB4F20">
        <w:rPr>
          <w:sz w:val="20"/>
          <w:szCs w:val="20"/>
          <w:highlight w:val="yellow"/>
        </w:rPr>
        <w:t>Shor</w:t>
      </w:r>
    </w:p>
    <w:p w:rsidR="00D5220F" w:rsidRPr="00295F25" w:rsidRDefault="00D5220F" w:rsidP="00FD6093">
      <w:pPr>
        <w:pStyle w:val="NoSpacing"/>
        <w:rPr>
          <w:sz w:val="20"/>
          <w:szCs w:val="20"/>
        </w:rPr>
      </w:pPr>
      <w:r>
        <w:rPr>
          <w:sz w:val="20"/>
          <w:szCs w:val="20"/>
        </w:rPr>
        <w:t>Juan Carlos Vega</w:t>
      </w:r>
      <w:r w:rsidR="00BB4F20">
        <w:rPr>
          <w:sz w:val="20"/>
          <w:szCs w:val="20"/>
        </w:rPr>
        <w:t xml:space="preserve">, </w:t>
      </w:r>
      <w:r w:rsidR="00BB4F20">
        <w:rPr>
          <w:sz w:val="20"/>
        </w:rPr>
        <w:t>Policy Manager at LGBT HealthLink</w:t>
      </w:r>
    </w:p>
    <w:p w:rsidR="00FD6093" w:rsidRPr="00295F25" w:rsidRDefault="00FD6093" w:rsidP="00FD6093">
      <w:pPr>
        <w:pStyle w:val="NoSpacing"/>
        <w:rPr>
          <w:sz w:val="20"/>
          <w:szCs w:val="20"/>
        </w:rPr>
      </w:pPr>
    </w:p>
    <w:p w:rsidR="00FD6093" w:rsidRPr="00295F25" w:rsidRDefault="00FD6093" w:rsidP="00FD6093">
      <w:pPr>
        <w:pStyle w:val="NoSpacing"/>
        <w:rPr>
          <w:sz w:val="20"/>
          <w:szCs w:val="20"/>
        </w:rPr>
      </w:pPr>
      <w:r w:rsidRPr="00295F25">
        <w:rPr>
          <w:b/>
          <w:sz w:val="20"/>
          <w:szCs w:val="20"/>
        </w:rPr>
        <w:t>Description:</w:t>
      </w:r>
      <w:r w:rsidRPr="00295F25">
        <w:rPr>
          <w:sz w:val="20"/>
          <w:szCs w:val="20"/>
        </w:rPr>
        <w:t xml:space="preserve"> Tobacco companies have called the LGBTQ community an “area of opportunity” and spend billions of dollars advertising in LBGT magazines and bars and at pride events to promote the idea that smoking is a ‘part of being gay’. As a result, LGBT people smoke at rates 50-200% higher than the rest of the population, and the American Cancer Society estimates that 30,000 LGBT people die from tobacco-related illness each year. This presentation will expose the deadly tobacco industry campaign in LBGTQ communities and discuss steps being taken by health advocates to reduce tobacco use in targeted communities through social norms, counter marketing and policy. We're a movement, not a market!</w:t>
      </w:r>
    </w:p>
    <w:p w:rsidR="00FD6093" w:rsidRPr="00295F25" w:rsidRDefault="00FD6093" w:rsidP="00FD6093">
      <w:pPr>
        <w:pStyle w:val="NoSpacing"/>
        <w:rPr>
          <w:sz w:val="20"/>
          <w:szCs w:val="20"/>
        </w:rPr>
      </w:pPr>
    </w:p>
    <w:p w:rsidR="00FD6093" w:rsidRPr="00295F25" w:rsidRDefault="00FD6093" w:rsidP="00FD6093">
      <w:pPr>
        <w:pStyle w:val="NoSpacing"/>
        <w:rPr>
          <w:sz w:val="20"/>
          <w:szCs w:val="20"/>
        </w:rPr>
      </w:pPr>
      <w:r w:rsidRPr="00295F25">
        <w:rPr>
          <w:b/>
          <w:sz w:val="20"/>
          <w:szCs w:val="20"/>
        </w:rPr>
        <w:t>Outcomes:</w:t>
      </w:r>
      <w:r w:rsidRPr="00295F25">
        <w:rPr>
          <w:sz w:val="20"/>
          <w:szCs w:val="20"/>
        </w:rPr>
        <w:t xml:space="preserve"> </w:t>
      </w:r>
      <w:r w:rsidRPr="00295F25">
        <w:rPr>
          <w:sz w:val="20"/>
          <w:szCs w:val="20"/>
        </w:rPr>
        <w:br/>
        <w:t>By the end of the session, participants will be able to:</w:t>
      </w:r>
    </w:p>
    <w:p w:rsidR="00FD6093" w:rsidRPr="00295F25" w:rsidRDefault="00FD6093" w:rsidP="00FD6093">
      <w:pPr>
        <w:pStyle w:val="NoSpacing"/>
        <w:rPr>
          <w:sz w:val="20"/>
          <w:szCs w:val="20"/>
        </w:rPr>
      </w:pPr>
      <w:r w:rsidRPr="00295F25">
        <w:rPr>
          <w:sz w:val="20"/>
          <w:szCs w:val="20"/>
        </w:rPr>
        <w:t xml:space="preserve">(1) Describe tobacco related disparities experienced by LGBTQ people. </w:t>
      </w:r>
    </w:p>
    <w:p w:rsidR="00FD6093" w:rsidRPr="00295F25" w:rsidRDefault="00FD6093" w:rsidP="00FD6093">
      <w:pPr>
        <w:pStyle w:val="NoSpacing"/>
        <w:rPr>
          <w:sz w:val="20"/>
          <w:szCs w:val="20"/>
        </w:rPr>
      </w:pPr>
      <w:r w:rsidRPr="00295F25">
        <w:rPr>
          <w:sz w:val="20"/>
          <w:szCs w:val="20"/>
        </w:rPr>
        <w:t xml:space="preserve">(2) Describe the role of the tobacco industry in creating disparities in tobacco use and exposure. </w:t>
      </w:r>
    </w:p>
    <w:p w:rsidR="00FD6093" w:rsidRDefault="00FD6093" w:rsidP="00FD6093">
      <w:pPr>
        <w:pStyle w:val="NoSpacing"/>
        <w:rPr>
          <w:sz w:val="20"/>
          <w:szCs w:val="20"/>
        </w:rPr>
      </w:pPr>
      <w:r w:rsidRPr="00295F25">
        <w:rPr>
          <w:sz w:val="20"/>
          <w:szCs w:val="20"/>
        </w:rPr>
        <w:t>(3) Identify ways to address LGBTQ tobacco related disparities.</w:t>
      </w:r>
    </w:p>
    <w:p w:rsidR="004E267D" w:rsidRDefault="004E267D" w:rsidP="00FD6093">
      <w:pPr>
        <w:pStyle w:val="NoSpacing"/>
        <w:rPr>
          <w:sz w:val="20"/>
          <w:szCs w:val="20"/>
        </w:rPr>
      </w:pPr>
    </w:p>
    <w:p w:rsidR="004E267D" w:rsidRPr="00295F25" w:rsidRDefault="004E267D" w:rsidP="00FD6093">
      <w:pPr>
        <w:pStyle w:val="NoSpacing"/>
        <w:rPr>
          <w:sz w:val="20"/>
          <w:szCs w:val="20"/>
        </w:rPr>
      </w:pPr>
      <w:r w:rsidRPr="004E267D">
        <w:rPr>
          <w:b/>
          <w:sz w:val="20"/>
          <w:szCs w:val="20"/>
        </w:rPr>
        <w:t>Format:</w:t>
      </w:r>
      <w:r>
        <w:rPr>
          <w:sz w:val="20"/>
          <w:szCs w:val="20"/>
        </w:rPr>
        <w:t xml:space="preserve"> Webinar, Open to the public </w:t>
      </w:r>
    </w:p>
    <w:p w:rsidR="00B3747A" w:rsidRPr="009A74E8" w:rsidRDefault="00B3747A">
      <w:pPr>
        <w:pStyle w:val="NoSpacing"/>
        <w:rPr>
          <w:b/>
          <w:sz w:val="20"/>
        </w:rPr>
      </w:pPr>
    </w:p>
    <w:sectPr w:rsidR="00B3747A" w:rsidRPr="009A74E8">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92"/>
    <w:rsid w:val="002362DD"/>
    <w:rsid w:val="00254A07"/>
    <w:rsid w:val="00295F25"/>
    <w:rsid w:val="00477ABF"/>
    <w:rsid w:val="004E267D"/>
    <w:rsid w:val="0050776D"/>
    <w:rsid w:val="0057405D"/>
    <w:rsid w:val="00593D35"/>
    <w:rsid w:val="0071246C"/>
    <w:rsid w:val="008325E4"/>
    <w:rsid w:val="0095081A"/>
    <w:rsid w:val="009A74E8"/>
    <w:rsid w:val="009D3F92"/>
    <w:rsid w:val="00AD73A1"/>
    <w:rsid w:val="00B3747A"/>
    <w:rsid w:val="00BB4F20"/>
    <w:rsid w:val="00D5220F"/>
    <w:rsid w:val="00DD78C0"/>
    <w:rsid w:val="00E65DAC"/>
    <w:rsid w:val="00EA3819"/>
    <w:rsid w:val="00EB13A5"/>
    <w:rsid w:val="00F312E3"/>
    <w:rsid w:val="00FD6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B2AA10AE-03D3-4606-85CD-C1EF2B4C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99"/>
    <w:semiHidden/>
    <w:unhideWhenUsed/>
    <w:qFormat/>
    <w:pPr>
      <w:keepNext/>
      <w:keepLines/>
      <w:spacing w:before="40" w:after="0"/>
      <w:outlineLvl w:val="3"/>
    </w:pPr>
    <w:rPr>
      <w:rFonts w:asciiTheme="majorHAnsi" w:eastAsiaTheme="majorEastAsia" w:hAnsiTheme="majorHAnsi" w:cstheme="majorBidi"/>
      <w:color w:val="E0317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pPr>
      <w:numPr>
        <w:ilvl w:val="1"/>
      </w:numPr>
      <w:spacing w:before="480"/>
    </w:pPr>
    <w:rPr>
      <w:color w:val="E03177" w:themeColor="accent1"/>
    </w:rPr>
  </w:style>
  <w:style w:type="character" w:customStyle="1" w:styleId="SubtitleChar">
    <w:name w:val="Subtitle Char"/>
    <w:basedOn w:val="DefaultParagraphFont"/>
    <w:link w:val="Subtitle"/>
    <w:uiPriority w:val="2"/>
    <w:rPr>
      <w:rFonts w:asciiTheme="majorHAnsi" w:eastAsiaTheme="majorEastAsia" w:hAnsiTheme="majorHAnsi" w:cstheme="majorBidi"/>
      <w:caps/>
      <w:color w:val="E03177" w:themeColor="accent1"/>
      <w:kern w:val="28"/>
      <w:sz w:val="80"/>
      <w:szCs w:val="80"/>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color w:val="FFFFFF" w:themeColor="background1"/>
      <w:sz w:val="28"/>
      <w:szCs w:val="28"/>
    </w:rPr>
  </w:style>
  <w:style w:type="paragraph" w:customStyle="1" w:styleId="Line">
    <w:name w:val="Line"/>
    <w:basedOn w:val="Normal"/>
    <w:next w:val="Heading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rPr>
  </w:style>
  <w:style w:type="paragraph" w:customStyle="1" w:styleId="ContactInfo">
    <w:name w:val="Contact Info"/>
    <w:basedOn w:val="Normal"/>
    <w:uiPriority w:val="5"/>
    <w:qFormat/>
    <w:pPr>
      <w:spacing w:after="280" w:line="240" w:lineRule="auto"/>
      <w:jc w:val="center"/>
    </w:pPr>
    <w:rPr>
      <w:color w:val="FFFFFF" w:themeColor="background1"/>
    </w:rPr>
  </w:style>
  <w:style w:type="paragraph" w:styleId="Date">
    <w:name w:val="Date"/>
    <w:basedOn w:val="Normal"/>
    <w:link w:val="DateChar"/>
    <w:uiPriority w:val="5"/>
    <w:unhideWhenUsed/>
    <w:qFormat/>
    <w:pPr>
      <w:spacing w:after="0"/>
      <w:jc w:val="center"/>
    </w:pPr>
    <w:rPr>
      <w:color w:val="FFFFFF" w:themeColor="background1"/>
    </w:rPr>
  </w:style>
  <w:style w:type="character" w:customStyle="1" w:styleId="DateChar">
    <w:name w:val="Date Char"/>
    <w:basedOn w:val="DefaultParagraphFont"/>
    <w:link w:val="Date"/>
    <w:uiPriority w:val="5"/>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color w:val="E03177"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095829">
      <w:bodyDiv w:val="1"/>
      <w:marLeft w:val="0"/>
      <w:marRight w:val="0"/>
      <w:marTop w:val="0"/>
      <w:marBottom w:val="0"/>
      <w:divBdr>
        <w:top w:val="none" w:sz="0" w:space="0" w:color="auto"/>
        <w:left w:val="none" w:sz="0" w:space="0" w:color="auto"/>
        <w:bottom w:val="none" w:sz="0" w:space="0" w:color="auto"/>
        <w:right w:val="none" w:sz="0" w:space="0" w:color="auto"/>
      </w:divBdr>
    </w:div>
    <w:div w:id="972783495">
      <w:bodyDiv w:val="1"/>
      <w:marLeft w:val="0"/>
      <w:marRight w:val="0"/>
      <w:marTop w:val="0"/>
      <w:marBottom w:val="0"/>
      <w:divBdr>
        <w:top w:val="none" w:sz="0" w:space="0" w:color="auto"/>
        <w:left w:val="none" w:sz="0" w:space="0" w:color="auto"/>
        <w:bottom w:val="none" w:sz="0" w:space="0" w:color="auto"/>
        <w:right w:val="none" w:sz="0" w:space="0" w:color="auto"/>
      </w:divBdr>
    </w:div>
    <w:div w:id="1078096308">
      <w:bodyDiv w:val="1"/>
      <w:marLeft w:val="0"/>
      <w:marRight w:val="0"/>
      <w:marTop w:val="0"/>
      <w:marBottom w:val="0"/>
      <w:divBdr>
        <w:top w:val="none" w:sz="0" w:space="0" w:color="auto"/>
        <w:left w:val="none" w:sz="0" w:space="0" w:color="auto"/>
        <w:bottom w:val="none" w:sz="0" w:space="0" w:color="auto"/>
        <w:right w:val="none" w:sz="0" w:space="0" w:color="auto"/>
      </w:divBdr>
    </w:div>
    <w:div w:id="1267687229">
      <w:bodyDiv w:val="1"/>
      <w:marLeft w:val="0"/>
      <w:marRight w:val="0"/>
      <w:marTop w:val="0"/>
      <w:marBottom w:val="0"/>
      <w:divBdr>
        <w:top w:val="none" w:sz="0" w:space="0" w:color="auto"/>
        <w:left w:val="none" w:sz="0" w:space="0" w:color="auto"/>
        <w:bottom w:val="none" w:sz="0" w:space="0" w:color="auto"/>
        <w:right w:val="none" w:sz="0" w:space="0" w:color="auto"/>
      </w:divBdr>
    </w:div>
    <w:div w:id="1272587624">
      <w:bodyDiv w:val="1"/>
      <w:marLeft w:val="0"/>
      <w:marRight w:val="0"/>
      <w:marTop w:val="0"/>
      <w:marBottom w:val="0"/>
      <w:divBdr>
        <w:top w:val="none" w:sz="0" w:space="0" w:color="auto"/>
        <w:left w:val="none" w:sz="0" w:space="0" w:color="auto"/>
        <w:bottom w:val="none" w:sz="0" w:space="0" w:color="auto"/>
        <w:right w:val="none" w:sz="0" w:space="0" w:color="auto"/>
      </w:divBdr>
    </w:div>
    <w:div w:id="13903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tembergj\AppData\Roaming\Microsoft\Templates\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CA8788DCF045AC99699A6A3AE2A43D"/>
        <w:category>
          <w:name w:val="General"/>
          <w:gallery w:val="placeholder"/>
        </w:category>
        <w:types>
          <w:type w:val="bbPlcHdr"/>
        </w:types>
        <w:behaviors>
          <w:behavior w:val="content"/>
        </w:behaviors>
        <w:guid w:val="{584A9390-4CCE-4A62-9D1B-4309A1DB7E8D}"/>
      </w:docPartPr>
      <w:docPartBody>
        <w:p w:rsidR="00551C3D" w:rsidRDefault="00FE21D0">
          <w:pPr>
            <w:pStyle w:val="2DCA8788DCF045AC99699A6A3AE2A43D"/>
          </w:pPr>
          <w:r>
            <w:t>[Street Address]</w:t>
          </w:r>
          <w:r>
            <w:br/>
            <w:t>[City, ST  ZIP Code]</w:t>
          </w:r>
          <w:r>
            <w:br/>
            <w:t>[Telephone]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1D0"/>
    <w:rsid w:val="000B51E8"/>
    <w:rsid w:val="0052302A"/>
    <w:rsid w:val="00551C3D"/>
    <w:rsid w:val="00776E1D"/>
    <w:rsid w:val="00B6698E"/>
    <w:rsid w:val="00C449B3"/>
    <w:rsid w:val="00FE2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48D92503F94A62A7BE0C9880CE587E">
    <w:name w:val="8048D92503F94A62A7BE0C9880CE587E"/>
  </w:style>
  <w:style w:type="paragraph" w:customStyle="1" w:styleId="89A80654797641BF83EEC77CE8230D10">
    <w:name w:val="89A80654797641BF83EEC77CE8230D10"/>
  </w:style>
  <w:style w:type="paragraph" w:customStyle="1" w:styleId="C78B39EB870B4D9EB1BC779765FFD614">
    <w:name w:val="C78B39EB870B4D9EB1BC779765FFD614"/>
  </w:style>
  <w:style w:type="paragraph" w:customStyle="1" w:styleId="7E4CD315B0C940D2ADE875F758A1F4E9">
    <w:name w:val="7E4CD315B0C940D2ADE875F758A1F4E9"/>
  </w:style>
  <w:style w:type="paragraph" w:customStyle="1" w:styleId="DB14F180F88146DF968E2CBFED9C4705">
    <w:name w:val="DB14F180F88146DF968E2CBFED9C4705"/>
  </w:style>
  <w:style w:type="paragraph" w:customStyle="1" w:styleId="54A5A748B74C4E969A46ED95D10DEBCA">
    <w:name w:val="54A5A748B74C4E969A46ED95D10DEBCA"/>
  </w:style>
  <w:style w:type="paragraph" w:customStyle="1" w:styleId="69E78675D20843CEBD7835C26465723A">
    <w:name w:val="69E78675D20843CEBD7835C26465723A"/>
  </w:style>
  <w:style w:type="paragraph" w:customStyle="1" w:styleId="03E8E75D002F47318F729952DD7569C1">
    <w:name w:val="03E8E75D002F47318F729952DD7569C1"/>
  </w:style>
  <w:style w:type="paragraph" w:customStyle="1" w:styleId="C077C910E642489D963197E621FA338E">
    <w:name w:val="C077C910E642489D963197E621FA338E"/>
  </w:style>
  <w:style w:type="paragraph" w:customStyle="1" w:styleId="041CF5AA26284C0A826477D920736DAE">
    <w:name w:val="041CF5AA26284C0A826477D920736DAE"/>
  </w:style>
  <w:style w:type="paragraph" w:customStyle="1" w:styleId="2DCA8788DCF045AC99699A6A3AE2A43D">
    <w:name w:val="2DCA8788DCF045AC99699A6A3AE2A43D"/>
  </w:style>
  <w:style w:type="paragraph" w:customStyle="1" w:styleId="5D36ADCB0C144C2CA3C2EBDD14B25CF5">
    <w:name w:val="5D36ADCB0C144C2CA3C2EBDD14B25CF5"/>
  </w:style>
  <w:style w:type="paragraph" w:customStyle="1" w:styleId="D09F441B22514583AB05147975FCD796">
    <w:name w:val="D09F441B22514583AB05147975FCD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24E78C-8A49-4037-80E8-15290F9155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Event flyer</Template>
  <TotalTime>0</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Wintemberg, Jenna N.</dc:creator>
  <cp:keywords/>
  <dc:description/>
  <cp:lastModifiedBy>Wintemberg, Jenna N.</cp:lastModifiedBy>
  <cp:revision>2</cp:revision>
  <cp:lastPrinted>2012-12-25T21:02:00Z</cp:lastPrinted>
  <dcterms:created xsi:type="dcterms:W3CDTF">2015-10-08T19:08:00Z</dcterms:created>
  <dcterms:modified xsi:type="dcterms:W3CDTF">2015-10-08T19:08:00Z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ies>
</file>