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094A4" w14:textId="4E385B0C" w:rsidR="00FB3C93" w:rsidRPr="00AB667A" w:rsidRDefault="000C3BC3" w:rsidP="006174D1">
      <w:pPr>
        <w:pStyle w:val="Header"/>
        <w:tabs>
          <w:tab w:val="left" w:pos="1260"/>
        </w:tabs>
        <w:rPr>
          <w:rFonts w:cs="Arial"/>
          <w:w w:val="100"/>
          <w:sz w:val="26"/>
          <w:szCs w:val="26"/>
        </w:rPr>
      </w:pPr>
      <w:r>
        <w:rPr>
          <w:rFonts w:cs="Arial"/>
          <w:w w:val="100"/>
          <w:sz w:val="26"/>
          <w:szCs w:val="26"/>
        </w:rPr>
        <w:t>Date:</w:t>
      </w:r>
      <w:r w:rsidR="006174D1">
        <w:rPr>
          <w:rFonts w:cs="Arial"/>
          <w:w w:val="100"/>
          <w:sz w:val="26"/>
          <w:szCs w:val="26"/>
        </w:rPr>
        <w:tab/>
      </w:r>
      <w:r w:rsidR="009F31E9">
        <w:rPr>
          <w:rFonts w:cs="Arial"/>
          <w:w w:val="100"/>
          <w:sz w:val="26"/>
          <w:szCs w:val="26"/>
        </w:rPr>
        <w:t>December 14, 2015</w:t>
      </w:r>
    </w:p>
    <w:p w14:paraId="0A23103A" w14:textId="77777777" w:rsidR="00FB3C93" w:rsidRPr="00AB667A" w:rsidRDefault="00FB3C93" w:rsidP="006174D1">
      <w:pPr>
        <w:pStyle w:val="Header"/>
        <w:tabs>
          <w:tab w:val="left" w:pos="720"/>
          <w:tab w:val="left" w:pos="1260"/>
        </w:tabs>
        <w:rPr>
          <w:rFonts w:cs="Arial"/>
          <w:w w:val="100"/>
          <w:sz w:val="26"/>
          <w:szCs w:val="26"/>
        </w:rPr>
      </w:pPr>
    </w:p>
    <w:p w14:paraId="7E3240D5" w14:textId="6309C96D" w:rsidR="00FB3C93" w:rsidRPr="00AB667A" w:rsidRDefault="00FB3C93" w:rsidP="006174D1">
      <w:pPr>
        <w:tabs>
          <w:tab w:val="left" w:pos="1260"/>
        </w:tabs>
        <w:rPr>
          <w:rFonts w:cs="Arial"/>
          <w:w w:val="100"/>
          <w:sz w:val="26"/>
          <w:szCs w:val="26"/>
        </w:rPr>
      </w:pPr>
      <w:r w:rsidRPr="00AB667A">
        <w:rPr>
          <w:rFonts w:cs="Arial"/>
          <w:w w:val="100"/>
          <w:sz w:val="26"/>
          <w:szCs w:val="26"/>
        </w:rPr>
        <w:t>TO:</w:t>
      </w:r>
      <w:r w:rsidRPr="00AB667A">
        <w:rPr>
          <w:rFonts w:cs="Arial"/>
          <w:w w:val="100"/>
          <w:sz w:val="26"/>
          <w:szCs w:val="26"/>
        </w:rPr>
        <w:tab/>
      </w:r>
      <w:r w:rsidR="00031A55">
        <w:rPr>
          <w:rFonts w:cs="Arial"/>
          <w:w w:val="100"/>
          <w:sz w:val="26"/>
          <w:szCs w:val="26"/>
        </w:rPr>
        <w:t xml:space="preserve">All </w:t>
      </w:r>
      <w:r w:rsidRPr="00AB667A">
        <w:rPr>
          <w:rFonts w:cs="Arial"/>
          <w:w w:val="100"/>
          <w:sz w:val="26"/>
          <w:szCs w:val="26"/>
        </w:rPr>
        <w:t>Interested Parties</w:t>
      </w:r>
    </w:p>
    <w:p w14:paraId="68EE1B52" w14:textId="77777777" w:rsidR="00FB3C93" w:rsidRPr="00AB667A" w:rsidRDefault="00FB3C93" w:rsidP="006174D1">
      <w:pPr>
        <w:tabs>
          <w:tab w:val="left" w:pos="1260"/>
        </w:tabs>
        <w:rPr>
          <w:rFonts w:cs="Arial"/>
          <w:w w:val="100"/>
          <w:sz w:val="26"/>
          <w:szCs w:val="26"/>
        </w:rPr>
      </w:pPr>
    </w:p>
    <w:p w14:paraId="119B0104" w14:textId="5B012477" w:rsidR="00FB3C93" w:rsidRDefault="00FB3C93" w:rsidP="006174D1">
      <w:pPr>
        <w:tabs>
          <w:tab w:val="left" w:pos="1260"/>
        </w:tabs>
        <w:rPr>
          <w:rFonts w:cs="Arial"/>
          <w:w w:val="100"/>
          <w:sz w:val="26"/>
          <w:szCs w:val="26"/>
        </w:rPr>
      </w:pPr>
      <w:r w:rsidRPr="00AB667A">
        <w:rPr>
          <w:rFonts w:cs="Arial"/>
          <w:w w:val="100"/>
          <w:sz w:val="26"/>
          <w:szCs w:val="26"/>
        </w:rPr>
        <w:t>FROM:</w:t>
      </w:r>
      <w:r w:rsidRPr="00AB667A">
        <w:rPr>
          <w:rFonts w:cs="Arial"/>
          <w:w w:val="100"/>
          <w:sz w:val="26"/>
          <w:szCs w:val="26"/>
        </w:rPr>
        <w:tab/>
        <w:t xml:space="preserve">Karen Girard, </w:t>
      </w:r>
      <w:r w:rsidR="00FC140E">
        <w:rPr>
          <w:rFonts w:cs="Arial"/>
          <w:w w:val="100"/>
          <w:sz w:val="26"/>
          <w:szCs w:val="26"/>
        </w:rPr>
        <w:t xml:space="preserve">Section </w:t>
      </w:r>
      <w:r w:rsidR="00604ED9">
        <w:rPr>
          <w:rFonts w:cs="Arial"/>
          <w:w w:val="100"/>
          <w:sz w:val="26"/>
          <w:szCs w:val="26"/>
        </w:rPr>
        <w:t>Manager</w:t>
      </w:r>
    </w:p>
    <w:p w14:paraId="0282C355" w14:textId="09815449" w:rsidR="00604ED9" w:rsidRPr="00AB667A" w:rsidRDefault="00604ED9" w:rsidP="006174D1">
      <w:pPr>
        <w:tabs>
          <w:tab w:val="left" w:pos="1260"/>
        </w:tabs>
        <w:rPr>
          <w:rFonts w:cs="Arial"/>
          <w:w w:val="100"/>
          <w:sz w:val="26"/>
          <w:szCs w:val="26"/>
        </w:rPr>
      </w:pPr>
      <w:r>
        <w:rPr>
          <w:rFonts w:cs="Arial"/>
          <w:w w:val="100"/>
          <w:sz w:val="26"/>
          <w:szCs w:val="26"/>
        </w:rPr>
        <w:tab/>
        <w:t>Health Promotion and Chronic Disease Prevention Section</w:t>
      </w:r>
    </w:p>
    <w:p w14:paraId="6D8C554A" w14:textId="418B2765" w:rsidR="00FB3C93" w:rsidRPr="00AB667A" w:rsidRDefault="00FB3C93" w:rsidP="006174D1">
      <w:pPr>
        <w:tabs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8550"/>
        </w:tabs>
        <w:rPr>
          <w:rFonts w:cs="Arial"/>
          <w:w w:val="100"/>
          <w:sz w:val="26"/>
          <w:szCs w:val="26"/>
        </w:rPr>
      </w:pPr>
    </w:p>
    <w:p w14:paraId="0CB4C911" w14:textId="30F844D3" w:rsidR="000D2D7A" w:rsidRPr="00AB667A" w:rsidRDefault="00FB3C93" w:rsidP="006174D1">
      <w:pPr>
        <w:tabs>
          <w:tab w:val="left" w:pos="1260"/>
        </w:tabs>
        <w:ind w:left="1440" w:hanging="1440"/>
        <w:rPr>
          <w:rFonts w:cs="Arial"/>
          <w:w w:val="100"/>
          <w:sz w:val="26"/>
          <w:szCs w:val="26"/>
        </w:rPr>
      </w:pPr>
      <w:r w:rsidRPr="00AB667A">
        <w:rPr>
          <w:rFonts w:cs="Arial"/>
          <w:w w:val="100"/>
          <w:sz w:val="26"/>
          <w:szCs w:val="26"/>
        </w:rPr>
        <w:t>RE:</w:t>
      </w:r>
      <w:r w:rsidRPr="00AB667A">
        <w:rPr>
          <w:rFonts w:cs="Arial"/>
          <w:w w:val="100"/>
          <w:sz w:val="26"/>
          <w:szCs w:val="26"/>
        </w:rPr>
        <w:tab/>
      </w:r>
      <w:r w:rsidR="00CC212D">
        <w:rPr>
          <w:rFonts w:cs="Arial"/>
          <w:w w:val="100"/>
          <w:sz w:val="26"/>
          <w:szCs w:val="26"/>
        </w:rPr>
        <w:t>Public Comment</w:t>
      </w:r>
      <w:r w:rsidR="00FC140E">
        <w:rPr>
          <w:rFonts w:cs="Arial"/>
          <w:w w:val="100"/>
          <w:sz w:val="26"/>
          <w:szCs w:val="26"/>
        </w:rPr>
        <w:t xml:space="preserve"> Solicited for </w:t>
      </w:r>
      <w:r w:rsidR="00ED7460">
        <w:rPr>
          <w:rFonts w:cs="Arial"/>
          <w:w w:val="100"/>
          <w:sz w:val="26"/>
          <w:szCs w:val="26"/>
        </w:rPr>
        <w:t xml:space="preserve">draft </w:t>
      </w:r>
      <w:r w:rsidR="003E4B37">
        <w:rPr>
          <w:rFonts w:cs="Arial"/>
          <w:w w:val="100"/>
          <w:sz w:val="26"/>
          <w:szCs w:val="26"/>
        </w:rPr>
        <w:t xml:space="preserve">2016 </w:t>
      </w:r>
      <w:proofErr w:type="spellStart"/>
      <w:r w:rsidR="003E4B37">
        <w:rPr>
          <w:rFonts w:cs="Arial"/>
          <w:w w:val="100"/>
          <w:sz w:val="26"/>
          <w:szCs w:val="26"/>
        </w:rPr>
        <w:t>Synar</w:t>
      </w:r>
      <w:proofErr w:type="spellEnd"/>
      <w:r w:rsidR="003E4B37">
        <w:rPr>
          <w:rFonts w:cs="Arial"/>
          <w:w w:val="100"/>
          <w:sz w:val="26"/>
          <w:szCs w:val="26"/>
        </w:rPr>
        <w:t xml:space="preserve"> Report</w:t>
      </w:r>
    </w:p>
    <w:p w14:paraId="0E925643" w14:textId="77777777" w:rsidR="00FB3C93" w:rsidRPr="00AB667A" w:rsidRDefault="00FB3C93" w:rsidP="00FB3C93">
      <w:pPr>
        <w:ind w:left="1440" w:hanging="1440"/>
        <w:rPr>
          <w:rFonts w:cs="Arial"/>
          <w:w w:val="100"/>
          <w:sz w:val="26"/>
          <w:szCs w:val="26"/>
        </w:rPr>
      </w:pPr>
      <w:r w:rsidRPr="00AB667A">
        <w:rPr>
          <w:rFonts w:cs="Arial"/>
          <w:w w:val="100"/>
          <w:sz w:val="26"/>
          <w:szCs w:val="26"/>
        </w:rPr>
        <w:t>________________________________________________________________</w:t>
      </w:r>
    </w:p>
    <w:p w14:paraId="1F040DF3" w14:textId="77777777" w:rsidR="005C7131" w:rsidRDefault="005C7131" w:rsidP="005C7131">
      <w:pPr>
        <w:rPr>
          <w:rFonts w:ascii="Times New Roman" w:hAnsi="Times New Roman"/>
          <w:sz w:val="20"/>
        </w:rPr>
      </w:pPr>
    </w:p>
    <w:p w14:paraId="7997F34C" w14:textId="3F75211A" w:rsidR="005C7131" w:rsidRDefault="005C7131" w:rsidP="005C7131">
      <w:pPr>
        <w:tabs>
          <w:tab w:val="left" w:pos="360"/>
          <w:tab w:val="right" w:pos="2700"/>
        </w:tabs>
        <w:rPr>
          <w:rFonts w:cs="Arial"/>
          <w:w w:val="100"/>
          <w:sz w:val="26"/>
          <w:szCs w:val="26"/>
        </w:rPr>
      </w:pPr>
      <w:r w:rsidRPr="00AD7381">
        <w:rPr>
          <w:rFonts w:cs="Arial"/>
          <w:w w:val="100"/>
          <w:sz w:val="26"/>
          <w:szCs w:val="26"/>
        </w:rPr>
        <w:t xml:space="preserve">The Oregon Health Authority, Public Health Division is </w:t>
      </w:r>
      <w:r w:rsidR="009F31E9">
        <w:rPr>
          <w:rFonts w:cs="Arial"/>
          <w:w w:val="100"/>
          <w:sz w:val="26"/>
          <w:szCs w:val="26"/>
        </w:rPr>
        <w:t xml:space="preserve">seeking input and public comment on the </w:t>
      </w:r>
      <w:r w:rsidR="00ED7460">
        <w:rPr>
          <w:rFonts w:cs="Arial"/>
          <w:w w:val="100"/>
          <w:sz w:val="26"/>
          <w:szCs w:val="26"/>
        </w:rPr>
        <w:t xml:space="preserve">draft </w:t>
      </w:r>
      <w:r w:rsidR="00FC140E">
        <w:rPr>
          <w:rFonts w:cs="Arial"/>
          <w:w w:val="100"/>
          <w:sz w:val="26"/>
          <w:szCs w:val="26"/>
        </w:rPr>
        <w:t xml:space="preserve">2016 </w:t>
      </w:r>
      <w:r w:rsidR="009F31E9">
        <w:rPr>
          <w:rFonts w:cs="Arial"/>
          <w:w w:val="100"/>
          <w:sz w:val="26"/>
          <w:szCs w:val="26"/>
        </w:rPr>
        <w:t xml:space="preserve">Annual </w:t>
      </w:r>
      <w:proofErr w:type="spellStart"/>
      <w:r w:rsidR="009F31E9">
        <w:rPr>
          <w:rFonts w:cs="Arial"/>
          <w:w w:val="100"/>
          <w:sz w:val="26"/>
          <w:szCs w:val="26"/>
        </w:rPr>
        <w:t>Synar</w:t>
      </w:r>
      <w:proofErr w:type="spellEnd"/>
      <w:r w:rsidR="009F31E9">
        <w:rPr>
          <w:rFonts w:cs="Arial"/>
          <w:w w:val="100"/>
          <w:sz w:val="26"/>
          <w:szCs w:val="26"/>
        </w:rPr>
        <w:t xml:space="preserve"> Report</w:t>
      </w:r>
      <w:r w:rsidR="006174D1">
        <w:rPr>
          <w:rFonts w:cs="Arial"/>
          <w:w w:val="100"/>
          <w:sz w:val="26"/>
          <w:szCs w:val="26"/>
        </w:rPr>
        <w:t>, which covers the period of time from October 1, 2014 – September 30, 2015.</w:t>
      </w:r>
    </w:p>
    <w:p w14:paraId="277B326C" w14:textId="77777777" w:rsidR="009F31E9" w:rsidRDefault="009F31E9" w:rsidP="005C7131">
      <w:pPr>
        <w:tabs>
          <w:tab w:val="left" w:pos="360"/>
          <w:tab w:val="right" w:pos="2700"/>
        </w:tabs>
        <w:rPr>
          <w:rFonts w:cs="Arial"/>
          <w:w w:val="100"/>
          <w:sz w:val="26"/>
          <w:szCs w:val="26"/>
        </w:rPr>
      </w:pPr>
    </w:p>
    <w:p w14:paraId="608FF0D2" w14:textId="761B582C" w:rsidR="009F31E9" w:rsidRDefault="009F31E9" w:rsidP="005C7131">
      <w:pPr>
        <w:tabs>
          <w:tab w:val="left" w:pos="360"/>
          <w:tab w:val="right" w:pos="2700"/>
        </w:tabs>
        <w:rPr>
          <w:rFonts w:cs="Arial"/>
          <w:w w:val="100"/>
          <w:sz w:val="26"/>
          <w:szCs w:val="26"/>
        </w:rPr>
      </w:pPr>
      <w:r>
        <w:rPr>
          <w:rFonts w:cs="Arial"/>
          <w:w w:val="100"/>
          <w:sz w:val="26"/>
          <w:szCs w:val="26"/>
        </w:rPr>
        <w:t xml:space="preserve">The </w:t>
      </w:r>
      <w:r w:rsidR="00031A55">
        <w:rPr>
          <w:rFonts w:cs="Arial"/>
          <w:w w:val="100"/>
          <w:sz w:val="26"/>
          <w:szCs w:val="26"/>
        </w:rPr>
        <w:t xml:space="preserve">federal </w:t>
      </w:r>
      <w:proofErr w:type="spellStart"/>
      <w:r>
        <w:rPr>
          <w:rFonts w:cs="Arial"/>
          <w:w w:val="100"/>
          <w:sz w:val="26"/>
          <w:szCs w:val="26"/>
        </w:rPr>
        <w:t>Synar</w:t>
      </w:r>
      <w:proofErr w:type="spellEnd"/>
      <w:r>
        <w:rPr>
          <w:rFonts w:cs="Arial"/>
          <w:w w:val="100"/>
          <w:sz w:val="26"/>
          <w:szCs w:val="26"/>
        </w:rPr>
        <w:t xml:space="preserve"> Amendment </w:t>
      </w:r>
      <w:r w:rsidR="006174D1">
        <w:rPr>
          <w:rFonts w:cs="Arial"/>
          <w:w w:val="100"/>
          <w:sz w:val="26"/>
          <w:szCs w:val="26"/>
        </w:rPr>
        <w:t>(</w:t>
      </w:r>
      <w:hyperlink r:id="rId7" w:history="1">
        <w:r w:rsidR="006174D1" w:rsidRPr="00323CC7">
          <w:rPr>
            <w:rStyle w:val="Hyperlink"/>
            <w:rFonts w:cs="Arial"/>
            <w:w w:val="100"/>
            <w:sz w:val="26"/>
            <w:szCs w:val="26"/>
          </w:rPr>
          <w:t>http://www.samhsa.gov/synar/about</w:t>
        </w:r>
      </w:hyperlink>
      <w:r w:rsidR="006174D1">
        <w:rPr>
          <w:rFonts w:cs="Arial"/>
          <w:w w:val="100"/>
          <w:sz w:val="26"/>
          <w:szCs w:val="26"/>
        </w:rPr>
        <w:t xml:space="preserve">) </w:t>
      </w:r>
      <w:r>
        <w:rPr>
          <w:rFonts w:cs="Arial"/>
          <w:w w:val="100"/>
          <w:sz w:val="26"/>
          <w:szCs w:val="26"/>
        </w:rPr>
        <w:t>require</w:t>
      </w:r>
      <w:r w:rsidR="00FC140E">
        <w:rPr>
          <w:rFonts w:cs="Arial"/>
          <w:w w:val="100"/>
          <w:sz w:val="26"/>
          <w:szCs w:val="26"/>
        </w:rPr>
        <w:t>s</w:t>
      </w:r>
      <w:r>
        <w:rPr>
          <w:rFonts w:cs="Arial"/>
          <w:w w:val="100"/>
          <w:sz w:val="26"/>
          <w:szCs w:val="26"/>
        </w:rPr>
        <w:t xml:space="preserve"> </w:t>
      </w:r>
      <w:r w:rsidR="00F201B0">
        <w:rPr>
          <w:rFonts w:cs="Arial"/>
          <w:w w:val="100"/>
          <w:sz w:val="26"/>
          <w:szCs w:val="26"/>
        </w:rPr>
        <w:t>states</w:t>
      </w:r>
      <w:r>
        <w:rPr>
          <w:rFonts w:cs="Arial"/>
          <w:w w:val="100"/>
          <w:sz w:val="26"/>
          <w:szCs w:val="26"/>
        </w:rPr>
        <w:t xml:space="preserve"> to enact and enforce laws prohibiting the sale and distribution of tobacco products to individuals under the age of 18. State</w:t>
      </w:r>
      <w:r w:rsidR="00FC140E">
        <w:rPr>
          <w:rFonts w:cs="Arial"/>
          <w:w w:val="100"/>
          <w:sz w:val="26"/>
          <w:szCs w:val="26"/>
        </w:rPr>
        <w:t>s</w:t>
      </w:r>
      <w:r>
        <w:rPr>
          <w:rFonts w:cs="Arial"/>
          <w:w w:val="100"/>
          <w:sz w:val="26"/>
          <w:szCs w:val="26"/>
        </w:rPr>
        <w:t xml:space="preserve"> must enforce youth tobacco access laws in a manner that can reasonably be expected to reduce the extent to which tobacco products are available to individuals under the age of 18. State</w:t>
      </w:r>
      <w:r w:rsidR="00FC140E">
        <w:rPr>
          <w:rFonts w:cs="Arial"/>
          <w:w w:val="100"/>
          <w:sz w:val="26"/>
          <w:szCs w:val="26"/>
        </w:rPr>
        <w:t>s</w:t>
      </w:r>
      <w:r>
        <w:rPr>
          <w:rFonts w:cs="Arial"/>
          <w:w w:val="100"/>
          <w:sz w:val="26"/>
          <w:szCs w:val="26"/>
        </w:rPr>
        <w:t xml:space="preserve"> must conduct random, unannounced inspections of youth-accessible tobacco outlets to assess tobacco retailer compliance with </w:t>
      </w:r>
      <w:r w:rsidR="00F201B0">
        <w:rPr>
          <w:rFonts w:cs="Arial"/>
          <w:w w:val="100"/>
          <w:sz w:val="26"/>
          <w:szCs w:val="26"/>
        </w:rPr>
        <w:t>state</w:t>
      </w:r>
      <w:r>
        <w:rPr>
          <w:rFonts w:cs="Arial"/>
          <w:w w:val="100"/>
          <w:sz w:val="26"/>
          <w:szCs w:val="26"/>
        </w:rPr>
        <w:t xml:space="preserve"> law. State retailer violation rate</w:t>
      </w:r>
      <w:r w:rsidR="00FC140E">
        <w:rPr>
          <w:rFonts w:cs="Arial"/>
          <w:w w:val="100"/>
          <w:sz w:val="26"/>
          <w:szCs w:val="26"/>
        </w:rPr>
        <w:t>s</w:t>
      </w:r>
      <w:r>
        <w:rPr>
          <w:rFonts w:cs="Arial"/>
          <w:w w:val="100"/>
          <w:sz w:val="26"/>
          <w:szCs w:val="26"/>
        </w:rPr>
        <w:t xml:space="preserve"> must not </w:t>
      </w:r>
      <w:r w:rsidR="00FC140E">
        <w:rPr>
          <w:rFonts w:cs="Arial"/>
          <w:w w:val="100"/>
          <w:sz w:val="26"/>
          <w:szCs w:val="26"/>
        </w:rPr>
        <w:t>surpass</w:t>
      </w:r>
      <w:r>
        <w:rPr>
          <w:rFonts w:cs="Arial"/>
          <w:w w:val="100"/>
          <w:sz w:val="26"/>
          <w:szCs w:val="26"/>
        </w:rPr>
        <w:t xml:space="preserve"> 20 percent.</w:t>
      </w:r>
    </w:p>
    <w:p w14:paraId="38C0C1A7" w14:textId="77777777" w:rsidR="009F31E9" w:rsidRDefault="009F31E9" w:rsidP="005C7131">
      <w:pPr>
        <w:tabs>
          <w:tab w:val="left" w:pos="360"/>
          <w:tab w:val="right" w:pos="2700"/>
        </w:tabs>
        <w:rPr>
          <w:rFonts w:cs="Arial"/>
          <w:w w:val="100"/>
          <w:sz w:val="26"/>
          <w:szCs w:val="26"/>
        </w:rPr>
      </w:pPr>
    </w:p>
    <w:p w14:paraId="3C4A1BD9" w14:textId="6C3D54F5" w:rsidR="009F31E9" w:rsidRDefault="009F31E9" w:rsidP="005C7131">
      <w:pPr>
        <w:tabs>
          <w:tab w:val="left" w:pos="360"/>
          <w:tab w:val="right" w:pos="2700"/>
        </w:tabs>
        <w:rPr>
          <w:rFonts w:cs="Arial"/>
          <w:w w:val="100"/>
          <w:sz w:val="26"/>
          <w:szCs w:val="26"/>
        </w:rPr>
      </w:pPr>
      <w:r>
        <w:rPr>
          <w:rFonts w:cs="Arial"/>
          <w:w w:val="100"/>
          <w:sz w:val="26"/>
          <w:szCs w:val="26"/>
        </w:rPr>
        <w:t>State</w:t>
      </w:r>
      <w:r w:rsidR="00FC140E">
        <w:rPr>
          <w:rFonts w:cs="Arial"/>
          <w:w w:val="100"/>
          <w:sz w:val="26"/>
          <w:szCs w:val="26"/>
        </w:rPr>
        <w:t>s</w:t>
      </w:r>
      <w:r>
        <w:rPr>
          <w:rFonts w:cs="Arial"/>
          <w:w w:val="100"/>
          <w:sz w:val="26"/>
          <w:szCs w:val="26"/>
        </w:rPr>
        <w:t xml:space="preserve"> must submit an annual report detailing </w:t>
      </w:r>
      <w:r w:rsidR="00F201B0">
        <w:rPr>
          <w:rFonts w:cs="Arial"/>
          <w:w w:val="100"/>
          <w:sz w:val="26"/>
          <w:szCs w:val="26"/>
        </w:rPr>
        <w:t>state</w:t>
      </w:r>
      <w:r>
        <w:rPr>
          <w:rFonts w:cs="Arial"/>
          <w:w w:val="100"/>
          <w:sz w:val="26"/>
          <w:szCs w:val="26"/>
        </w:rPr>
        <w:t xml:space="preserve"> activities</w:t>
      </w:r>
      <w:r w:rsidR="00FC140E">
        <w:rPr>
          <w:rFonts w:cs="Arial"/>
          <w:w w:val="100"/>
          <w:sz w:val="26"/>
          <w:szCs w:val="26"/>
        </w:rPr>
        <w:t xml:space="preserve">. </w:t>
      </w:r>
      <w:r>
        <w:rPr>
          <w:rFonts w:cs="Arial"/>
          <w:w w:val="100"/>
          <w:sz w:val="26"/>
          <w:szCs w:val="26"/>
        </w:rPr>
        <w:t>State report</w:t>
      </w:r>
      <w:r w:rsidR="00FC140E">
        <w:rPr>
          <w:rFonts w:cs="Arial"/>
          <w:w w:val="100"/>
          <w:sz w:val="26"/>
          <w:szCs w:val="26"/>
        </w:rPr>
        <w:t>s</w:t>
      </w:r>
      <w:r>
        <w:rPr>
          <w:rFonts w:cs="Arial"/>
          <w:w w:val="100"/>
          <w:sz w:val="26"/>
          <w:szCs w:val="26"/>
        </w:rPr>
        <w:t xml:space="preserve"> must be made available for public comment prior to submission.</w:t>
      </w:r>
    </w:p>
    <w:p w14:paraId="76E4F8D8" w14:textId="77777777" w:rsidR="00FB3C93" w:rsidRPr="00AB667A" w:rsidRDefault="00FB3C93" w:rsidP="00FB3C93">
      <w:pPr>
        <w:rPr>
          <w:rFonts w:cs="Arial"/>
          <w:w w:val="100"/>
          <w:sz w:val="26"/>
          <w:szCs w:val="26"/>
        </w:rPr>
      </w:pPr>
    </w:p>
    <w:p w14:paraId="57F00617" w14:textId="0B83C31B" w:rsidR="00AB667A" w:rsidRPr="001B6A02" w:rsidRDefault="00FC140E" w:rsidP="001B6A02">
      <w:pPr>
        <w:rPr>
          <w:rFonts w:cs="Arial"/>
          <w:b/>
          <w:w w:val="100"/>
          <w:sz w:val="26"/>
          <w:szCs w:val="26"/>
        </w:rPr>
      </w:pPr>
      <w:r>
        <w:rPr>
          <w:rFonts w:cs="Arial"/>
          <w:w w:val="100"/>
          <w:sz w:val="26"/>
          <w:szCs w:val="26"/>
        </w:rPr>
        <w:t xml:space="preserve">Oregon’s </w:t>
      </w:r>
      <w:r w:rsidR="00ED7460">
        <w:rPr>
          <w:rFonts w:cs="Arial"/>
          <w:w w:val="100"/>
          <w:sz w:val="26"/>
          <w:szCs w:val="26"/>
        </w:rPr>
        <w:t xml:space="preserve">draft </w:t>
      </w:r>
      <w:bookmarkStart w:id="0" w:name="_GoBack"/>
      <w:bookmarkEnd w:id="0"/>
      <w:r>
        <w:rPr>
          <w:rFonts w:cs="Arial"/>
          <w:w w:val="100"/>
          <w:sz w:val="26"/>
          <w:szCs w:val="26"/>
        </w:rPr>
        <w:t xml:space="preserve">2016 Annual </w:t>
      </w:r>
      <w:proofErr w:type="spellStart"/>
      <w:r>
        <w:rPr>
          <w:rFonts w:cs="Arial"/>
          <w:w w:val="100"/>
          <w:sz w:val="26"/>
          <w:szCs w:val="26"/>
        </w:rPr>
        <w:t>Synar</w:t>
      </w:r>
      <w:proofErr w:type="spellEnd"/>
      <w:r>
        <w:rPr>
          <w:rFonts w:cs="Arial"/>
          <w:w w:val="100"/>
          <w:sz w:val="26"/>
          <w:szCs w:val="26"/>
        </w:rPr>
        <w:t xml:space="preserve"> Report is now available for review and commen</w:t>
      </w:r>
      <w:r w:rsidR="00031A55">
        <w:rPr>
          <w:rFonts w:cs="Arial"/>
          <w:w w:val="100"/>
          <w:sz w:val="26"/>
          <w:szCs w:val="26"/>
        </w:rPr>
        <w:t>t</w:t>
      </w:r>
      <w:r w:rsidR="001B6A02" w:rsidRPr="001B6A02">
        <w:rPr>
          <w:rFonts w:cs="Arial"/>
          <w:w w:val="100"/>
          <w:sz w:val="26"/>
          <w:szCs w:val="26"/>
        </w:rPr>
        <w:t xml:space="preserve">.  The report is located on the Public Health website at: </w:t>
      </w:r>
      <w:hyperlink r:id="rId8" w:history="1">
        <w:r w:rsidR="001B6A02" w:rsidRPr="001B6A02">
          <w:rPr>
            <w:rStyle w:val="Hyperlink"/>
            <w:sz w:val="26"/>
            <w:szCs w:val="26"/>
          </w:rPr>
          <w:t>http://www.healthoregon.org/morefreshair</w:t>
        </w:r>
      </w:hyperlink>
      <w:r w:rsidR="001B6A02" w:rsidRPr="001B6A02">
        <w:rPr>
          <w:sz w:val="26"/>
          <w:szCs w:val="26"/>
        </w:rPr>
        <w:t xml:space="preserve">.  </w:t>
      </w:r>
    </w:p>
    <w:p w14:paraId="7520BC82" w14:textId="77777777" w:rsidR="00E674DE" w:rsidRPr="00AB667A" w:rsidRDefault="00E674DE" w:rsidP="00AB667A">
      <w:pPr>
        <w:rPr>
          <w:rFonts w:cs="Arial"/>
          <w:b/>
          <w:w w:val="100"/>
          <w:sz w:val="26"/>
          <w:szCs w:val="26"/>
        </w:rPr>
      </w:pPr>
    </w:p>
    <w:p w14:paraId="16DF8E2E" w14:textId="435E2709" w:rsidR="00AB667A" w:rsidRDefault="004832E4" w:rsidP="00AB667A">
      <w:pPr>
        <w:rPr>
          <w:rFonts w:cs="Arial"/>
          <w:w w:val="100"/>
          <w:sz w:val="26"/>
          <w:szCs w:val="26"/>
        </w:rPr>
      </w:pPr>
      <w:r w:rsidRPr="00AB667A">
        <w:rPr>
          <w:rFonts w:cs="Arial"/>
          <w:b/>
          <w:w w:val="100"/>
          <w:sz w:val="26"/>
          <w:szCs w:val="26"/>
        </w:rPr>
        <w:t xml:space="preserve">You may file written comments </w:t>
      </w:r>
      <w:r w:rsidR="00031A55">
        <w:rPr>
          <w:rFonts w:cs="Arial"/>
          <w:b/>
          <w:w w:val="100"/>
          <w:sz w:val="26"/>
          <w:szCs w:val="26"/>
        </w:rPr>
        <w:t>no later than</w:t>
      </w:r>
      <w:r w:rsidR="00031A55" w:rsidRPr="00AB667A">
        <w:rPr>
          <w:rFonts w:cs="Arial"/>
          <w:b/>
          <w:w w:val="100"/>
          <w:sz w:val="26"/>
          <w:szCs w:val="26"/>
        </w:rPr>
        <w:t xml:space="preserve"> </w:t>
      </w:r>
      <w:r w:rsidRPr="00AB667A">
        <w:rPr>
          <w:rFonts w:cs="Arial"/>
          <w:b/>
          <w:w w:val="100"/>
          <w:sz w:val="26"/>
          <w:szCs w:val="26"/>
        </w:rPr>
        <w:t xml:space="preserve">5:00 p.m. on </w:t>
      </w:r>
      <w:r w:rsidR="001B6A02">
        <w:rPr>
          <w:rFonts w:cs="Arial"/>
          <w:b/>
          <w:w w:val="100"/>
          <w:sz w:val="26"/>
          <w:szCs w:val="26"/>
        </w:rPr>
        <w:t>December 28</w:t>
      </w:r>
      <w:r w:rsidR="00AD7381">
        <w:rPr>
          <w:rFonts w:cs="Arial"/>
          <w:b/>
          <w:w w:val="100"/>
          <w:sz w:val="26"/>
          <w:szCs w:val="26"/>
        </w:rPr>
        <w:t>, 2015</w:t>
      </w:r>
      <w:r w:rsidRPr="00AB667A">
        <w:rPr>
          <w:rFonts w:cs="Arial"/>
          <w:w w:val="100"/>
          <w:sz w:val="26"/>
          <w:szCs w:val="26"/>
        </w:rPr>
        <w:t xml:space="preserve">, by submitting them to the </w:t>
      </w:r>
      <w:r w:rsidR="00031A55">
        <w:rPr>
          <w:rFonts w:cs="Arial"/>
          <w:w w:val="100"/>
          <w:sz w:val="26"/>
          <w:szCs w:val="26"/>
        </w:rPr>
        <w:t>Public Health Division</w:t>
      </w:r>
      <w:r w:rsidRPr="00AB667A">
        <w:rPr>
          <w:rFonts w:cs="Arial"/>
          <w:w w:val="100"/>
          <w:sz w:val="26"/>
          <w:szCs w:val="26"/>
        </w:rPr>
        <w:t xml:space="preserve"> at the following address:</w:t>
      </w:r>
    </w:p>
    <w:p w14:paraId="72211308" w14:textId="77777777" w:rsidR="001B6A02" w:rsidRDefault="001B6A02" w:rsidP="00AB667A">
      <w:pPr>
        <w:rPr>
          <w:rFonts w:cs="Arial"/>
          <w:w w:val="100"/>
          <w:sz w:val="26"/>
          <w:szCs w:val="26"/>
        </w:rPr>
      </w:pPr>
    </w:p>
    <w:p w14:paraId="195E4784" w14:textId="77777777" w:rsidR="00FB3C93" w:rsidRPr="00AB667A" w:rsidRDefault="00FB3C93" w:rsidP="00AB667A">
      <w:pPr>
        <w:ind w:left="1080" w:firstLine="720"/>
        <w:rPr>
          <w:rFonts w:cs="Arial"/>
          <w:w w:val="100"/>
          <w:sz w:val="26"/>
          <w:szCs w:val="26"/>
        </w:rPr>
      </w:pPr>
      <w:r w:rsidRPr="00AB667A">
        <w:rPr>
          <w:rFonts w:cs="Arial"/>
          <w:w w:val="100"/>
          <w:sz w:val="26"/>
          <w:szCs w:val="26"/>
        </w:rPr>
        <w:t>OHA, Public Health Division</w:t>
      </w:r>
    </w:p>
    <w:p w14:paraId="50EA4D66" w14:textId="0E0C5A11" w:rsidR="00FB3C93" w:rsidRPr="00AB667A" w:rsidRDefault="00031A55" w:rsidP="00FB3C93">
      <w:pPr>
        <w:ind w:left="1800"/>
        <w:rPr>
          <w:rFonts w:cs="Arial"/>
          <w:w w:val="100"/>
          <w:sz w:val="26"/>
          <w:szCs w:val="26"/>
        </w:rPr>
      </w:pPr>
      <w:r>
        <w:rPr>
          <w:rFonts w:cs="Arial"/>
          <w:w w:val="100"/>
          <w:sz w:val="26"/>
          <w:szCs w:val="26"/>
        </w:rPr>
        <w:t xml:space="preserve">Attention: </w:t>
      </w:r>
      <w:proofErr w:type="spellStart"/>
      <w:r w:rsidR="001B6A02">
        <w:rPr>
          <w:rFonts w:cs="Arial"/>
          <w:w w:val="100"/>
          <w:sz w:val="26"/>
          <w:szCs w:val="26"/>
        </w:rPr>
        <w:t>Synar</w:t>
      </w:r>
      <w:proofErr w:type="spellEnd"/>
      <w:r w:rsidR="001B6A02">
        <w:rPr>
          <w:rFonts w:cs="Arial"/>
          <w:w w:val="100"/>
          <w:sz w:val="26"/>
          <w:szCs w:val="26"/>
        </w:rPr>
        <w:t xml:space="preserve"> Coordinator</w:t>
      </w:r>
    </w:p>
    <w:p w14:paraId="47A80F9B" w14:textId="0AE7F0D5" w:rsidR="00FB3C93" w:rsidRPr="00AB667A" w:rsidRDefault="00FB3C93" w:rsidP="00FB3C93">
      <w:pPr>
        <w:ind w:left="1800"/>
        <w:rPr>
          <w:rFonts w:cs="Arial"/>
          <w:w w:val="100"/>
          <w:sz w:val="26"/>
          <w:szCs w:val="26"/>
        </w:rPr>
      </w:pPr>
      <w:r w:rsidRPr="00AB667A">
        <w:rPr>
          <w:rFonts w:cs="Arial"/>
          <w:w w:val="100"/>
          <w:sz w:val="26"/>
          <w:szCs w:val="26"/>
        </w:rPr>
        <w:t xml:space="preserve">800 NE Oregon Street, Suite </w:t>
      </w:r>
      <w:r w:rsidR="00031A55">
        <w:rPr>
          <w:rFonts w:cs="Arial"/>
          <w:w w:val="100"/>
          <w:sz w:val="26"/>
          <w:szCs w:val="26"/>
        </w:rPr>
        <w:t>7</w:t>
      </w:r>
      <w:r w:rsidRPr="00AB667A">
        <w:rPr>
          <w:rFonts w:cs="Arial"/>
          <w:w w:val="100"/>
          <w:sz w:val="26"/>
          <w:szCs w:val="26"/>
        </w:rPr>
        <w:t>30</w:t>
      </w:r>
    </w:p>
    <w:p w14:paraId="156B8713" w14:textId="77777777" w:rsidR="00FB3C93" w:rsidRPr="00AB667A" w:rsidRDefault="00FB3C93" w:rsidP="00FB3C93">
      <w:pPr>
        <w:ind w:left="1800"/>
        <w:rPr>
          <w:rFonts w:cs="Arial"/>
          <w:w w:val="100"/>
          <w:sz w:val="26"/>
          <w:szCs w:val="26"/>
        </w:rPr>
      </w:pPr>
      <w:r w:rsidRPr="00AB667A">
        <w:rPr>
          <w:rFonts w:cs="Arial"/>
          <w:w w:val="100"/>
          <w:sz w:val="26"/>
          <w:szCs w:val="26"/>
        </w:rPr>
        <w:t>Portland, Oregon 97232</w:t>
      </w:r>
    </w:p>
    <w:p w14:paraId="5929AE9B" w14:textId="77777777" w:rsidR="00FB3C93" w:rsidRDefault="00FB3C93" w:rsidP="00FB3C93">
      <w:pPr>
        <w:rPr>
          <w:rFonts w:cs="Arial"/>
          <w:w w:val="100"/>
          <w:sz w:val="26"/>
          <w:szCs w:val="26"/>
        </w:rPr>
      </w:pPr>
    </w:p>
    <w:p w14:paraId="3C6742D2" w14:textId="1DDCF9C9" w:rsidR="00F201B0" w:rsidRDefault="00031A55" w:rsidP="00FB3C93">
      <w:pPr>
        <w:rPr>
          <w:rFonts w:cs="Arial"/>
          <w:w w:val="100"/>
          <w:sz w:val="26"/>
          <w:szCs w:val="26"/>
        </w:rPr>
      </w:pPr>
      <w:r>
        <w:rPr>
          <w:rFonts w:cs="Arial"/>
          <w:w w:val="100"/>
          <w:sz w:val="26"/>
          <w:szCs w:val="26"/>
        </w:rPr>
        <w:t>Or by e</w:t>
      </w:r>
      <w:r w:rsidR="00FB3C93" w:rsidRPr="00AB667A">
        <w:rPr>
          <w:rFonts w:cs="Arial"/>
          <w:w w:val="100"/>
          <w:sz w:val="26"/>
          <w:szCs w:val="26"/>
        </w:rPr>
        <w:t xml:space="preserve">-mail to: </w:t>
      </w:r>
      <w:hyperlink r:id="rId9" w:history="1">
        <w:r w:rsidR="001B6A02" w:rsidRPr="00BF3382">
          <w:rPr>
            <w:rStyle w:val="Hyperlink"/>
            <w:rFonts w:cs="Arial"/>
            <w:w w:val="100"/>
            <w:sz w:val="26"/>
            <w:szCs w:val="26"/>
          </w:rPr>
          <w:t>letitia.m.mack@state.or.us</w:t>
        </w:r>
      </w:hyperlink>
      <w:r w:rsidR="00F201B0">
        <w:rPr>
          <w:rStyle w:val="Hyperlink"/>
          <w:rFonts w:cs="Arial"/>
          <w:w w:val="100"/>
          <w:sz w:val="26"/>
          <w:szCs w:val="26"/>
        </w:rPr>
        <w:t>.</w:t>
      </w:r>
      <w:r w:rsidR="001B6A02">
        <w:rPr>
          <w:rFonts w:cs="Arial"/>
          <w:w w:val="100"/>
          <w:sz w:val="26"/>
          <w:szCs w:val="26"/>
        </w:rPr>
        <w:t xml:space="preserve"> </w:t>
      </w:r>
    </w:p>
    <w:p w14:paraId="2F1C4DD2" w14:textId="607B465C" w:rsidR="00FB3C93" w:rsidRDefault="00ED7460" w:rsidP="00FB3C93">
      <w:pPr>
        <w:rPr>
          <w:rFonts w:cs="Arial"/>
          <w:w w:val="100"/>
          <w:sz w:val="26"/>
          <w:szCs w:val="26"/>
        </w:rPr>
      </w:pPr>
      <w:hyperlink r:id="rId10" w:history="1"/>
    </w:p>
    <w:p w14:paraId="25248DEF" w14:textId="3B657535" w:rsidR="00F47D6F" w:rsidRPr="00981A73" w:rsidRDefault="001B6A02" w:rsidP="006174D1">
      <w:pPr>
        <w:pStyle w:val="BodyText2"/>
        <w:rPr>
          <w:szCs w:val="28"/>
        </w:rPr>
      </w:pPr>
      <w:r>
        <w:rPr>
          <w:rFonts w:ascii="Arial" w:hAnsi="Arial" w:cs="Arial"/>
          <w:sz w:val="26"/>
          <w:szCs w:val="26"/>
        </w:rPr>
        <w:lastRenderedPageBreak/>
        <w:t>I</w:t>
      </w:r>
      <w:r w:rsidR="00FB3C93" w:rsidRPr="00AB667A">
        <w:rPr>
          <w:rFonts w:ascii="Arial" w:hAnsi="Arial" w:cs="Arial"/>
          <w:sz w:val="26"/>
          <w:szCs w:val="26"/>
        </w:rPr>
        <w:t>f you have questions or would like a</w:t>
      </w:r>
      <w:r>
        <w:rPr>
          <w:rFonts w:ascii="Arial" w:hAnsi="Arial" w:cs="Arial"/>
          <w:sz w:val="26"/>
          <w:szCs w:val="26"/>
        </w:rPr>
        <w:t xml:space="preserve">dditional information, </w:t>
      </w:r>
      <w:r w:rsidR="006C5ACD" w:rsidRPr="00AB667A">
        <w:rPr>
          <w:rFonts w:ascii="Arial" w:hAnsi="Arial" w:cs="Arial"/>
          <w:sz w:val="26"/>
          <w:szCs w:val="26"/>
        </w:rPr>
        <w:t>please</w:t>
      </w:r>
      <w:r w:rsidR="006C211B">
        <w:rPr>
          <w:rFonts w:ascii="Arial" w:hAnsi="Arial" w:cs="Arial"/>
          <w:sz w:val="26"/>
          <w:szCs w:val="26"/>
        </w:rPr>
        <w:t xml:space="preserve"> contact </w:t>
      </w:r>
      <w:r>
        <w:rPr>
          <w:rFonts w:ascii="Arial" w:hAnsi="Arial" w:cs="Arial"/>
          <w:sz w:val="26"/>
          <w:szCs w:val="26"/>
        </w:rPr>
        <w:t>Letitia Mack</w:t>
      </w:r>
      <w:r w:rsidR="006C211B">
        <w:rPr>
          <w:rFonts w:ascii="Arial" w:hAnsi="Arial" w:cs="Arial"/>
          <w:sz w:val="26"/>
          <w:szCs w:val="26"/>
        </w:rPr>
        <w:t xml:space="preserve"> at 971-673-</w:t>
      </w:r>
      <w:r>
        <w:rPr>
          <w:rFonts w:ascii="Arial" w:hAnsi="Arial" w:cs="Arial"/>
          <w:sz w:val="26"/>
          <w:szCs w:val="26"/>
        </w:rPr>
        <w:t>1376</w:t>
      </w:r>
      <w:r w:rsidR="006C211B">
        <w:rPr>
          <w:rFonts w:ascii="Arial" w:hAnsi="Arial" w:cs="Arial"/>
          <w:sz w:val="26"/>
          <w:szCs w:val="26"/>
        </w:rPr>
        <w:t xml:space="preserve"> or </w:t>
      </w:r>
      <w:hyperlink r:id="rId11" w:history="1">
        <w:r w:rsidR="00F201B0" w:rsidRPr="00BF3382">
          <w:rPr>
            <w:rStyle w:val="Hyperlink"/>
            <w:rFonts w:cs="Arial"/>
            <w:sz w:val="26"/>
            <w:szCs w:val="26"/>
          </w:rPr>
          <w:t>letitia.m.mack@state.or.us</w:t>
        </w:r>
      </w:hyperlink>
      <w:r w:rsidR="00F201B0">
        <w:rPr>
          <w:rFonts w:ascii="Arial" w:hAnsi="Arial" w:cs="Arial"/>
          <w:sz w:val="26"/>
          <w:szCs w:val="26"/>
        </w:rPr>
        <w:t>.</w:t>
      </w:r>
    </w:p>
    <w:sectPr w:rsidR="00F47D6F" w:rsidRPr="00981A73" w:rsidSect="006174D1">
      <w:headerReference w:type="default" r:id="rId12"/>
      <w:headerReference w:type="first" r:id="rId13"/>
      <w:pgSz w:w="12240" w:h="15840" w:code="1"/>
      <w:pgMar w:top="180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F2FF2" w14:textId="77777777" w:rsidR="00490036" w:rsidRDefault="00490036">
      <w:r>
        <w:separator/>
      </w:r>
    </w:p>
  </w:endnote>
  <w:endnote w:type="continuationSeparator" w:id="0">
    <w:p w14:paraId="618EA5E9" w14:textId="77777777" w:rsidR="00490036" w:rsidRDefault="0049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43BD6" w14:textId="77777777" w:rsidR="00490036" w:rsidRDefault="00490036">
      <w:r>
        <w:separator/>
      </w:r>
    </w:p>
  </w:footnote>
  <w:footnote w:type="continuationSeparator" w:id="0">
    <w:p w14:paraId="52E07FA6" w14:textId="77777777" w:rsidR="00490036" w:rsidRDefault="00490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47CF9" w14:textId="77777777" w:rsidR="00AB667A" w:rsidRDefault="00CB7C45">
    <w:pPr>
      <w:pStyle w:val="Header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EC02B" wp14:editId="7B1F1AAB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6972300" cy="685800"/>
              <wp:effectExtent l="0" t="0" r="0" b="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F0548" w14:textId="77777777" w:rsidR="00AB667A" w:rsidRDefault="00AB667A" w:rsidP="00F47D6F">
                          <w:pPr>
                            <w:pStyle w:val="Headerpage2andbeyond"/>
                          </w:pPr>
                          <w:r>
                            <w:t>Header Page 2 – Line 1</w:t>
                          </w:r>
                        </w:p>
                        <w:p w14:paraId="398AA267" w14:textId="77777777" w:rsidR="00AB667A" w:rsidRDefault="00AB667A" w:rsidP="00F47D6F">
                          <w:pPr>
                            <w:pStyle w:val="Headerpage2andbeyond"/>
                          </w:pPr>
                          <w:r>
                            <w:t>Line 2</w:t>
                          </w:r>
                        </w:p>
                        <w:p w14:paraId="16851E04" w14:textId="77777777" w:rsidR="00AB667A" w:rsidRDefault="00AB667A" w:rsidP="00F47D6F">
                          <w:pPr>
                            <w:pStyle w:val="Headerpage2andbeyond"/>
                          </w:pPr>
                          <w:r>
                            <w:t>Line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EC0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4pt;margin-top:0;width:54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AUtAIAALk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" filled="f" stroked="f">
              <v:textbox>
                <w:txbxContent>
                  <w:p w14:paraId="734F0548" w14:textId="77777777" w:rsidR="00AB667A" w:rsidRDefault="00AB667A" w:rsidP="00F47D6F">
                    <w:pPr>
                      <w:pStyle w:val="Headerpage2andbeyond"/>
                    </w:pPr>
                    <w:r>
                      <w:t>Header Page 2 – Line 1</w:t>
                    </w:r>
                  </w:p>
                  <w:p w14:paraId="398AA267" w14:textId="77777777" w:rsidR="00AB667A" w:rsidRDefault="00AB667A" w:rsidP="00F47D6F">
                    <w:pPr>
                      <w:pStyle w:val="Headerpage2andbeyond"/>
                    </w:pPr>
                    <w:r>
                      <w:t>Line 2</w:t>
                    </w:r>
                  </w:p>
                  <w:p w14:paraId="16851E04" w14:textId="77777777" w:rsidR="00AB667A" w:rsidRDefault="00AB667A" w:rsidP="00F47D6F">
                    <w:pPr>
                      <w:pStyle w:val="Headerpage2andbeyond"/>
                    </w:pPr>
                    <w:r>
                      <w:t>Line 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="-306" w:tblpY="-158"/>
      <w:tblW w:w="10827" w:type="dxa"/>
      <w:tblBorders>
        <w:bottom w:val="single" w:sz="8" w:space="0" w:color="F79646"/>
        <w:insideH w:val="single" w:sz="4" w:space="0" w:color="F79646"/>
      </w:tblBorders>
      <w:tblLayout w:type="fixed"/>
      <w:tblLook w:val="00A0" w:firstRow="1" w:lastRow="0" w:firstColumn="1" w:lastColumn="0" w:noHBand="0" w:noVBand="0"/>
    </w:tblPr>
    <w:tblGrid>
      <w:gridCol w:w="1161"/>
      <w:gridCol w:w="6507"/>
      <w:gridCol w:w="3159"/>
    </w:tblGrid>
    <w:tr w:rsidR="006174D1" w14:paraId="28C42EBA" w14:textId="77777777" w:rsidTr="002C654D">
      <w:trPr>
        <w:cantSplit/>
        <w:trHeight w:val="903"/>
      </w:trPr>
      <w:tc>
        <w:tcPr>
          <w:tcW w:w="1161" w:type="dxa"/>
          <w:vMerge w:val="restart"/>
          <w:tcBorders>
            <w:top w:val="nil"/>
          </w:tcBorders>
          <w:vAlign w:val="bottom"/>
        </w:tcPr>
        <w:p w14:paraId="1AF86615" w14:textId="77777777" w:rsidR="006174D1" w:rsidRDefault="006174D1" w:rsidP="006174D1">
          <w:pPr>
            <w:ind w:left="-115"/>
            <w:jc w:val="right"/>
            <w:rPr>
              <w:color w:val="005595"/>
            </w:rPr>
          </w:pPr>
          <w:r>
            <w:rPr>
              <w:noProof/>
              <w:color w:val="005595"/>
            </w:rPr>
            <w:drawing>
              <wp:inline distT="0" distB="0" distL="0" distR="0" wp14:anchorId="1BB03EF1" wp14:editId="536B61AA">
                <wp:extent cx="561975" cy="561975"/>
                <wp:effectExtent l="19050" t="0" r="9525" b="0"/>
                <wp:docPr id="1" name="Picture 1" descr="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7" w:type="dxa"/>
          <w:tcBorders>
            <w:top w:val="nil"/>
            <w:bottom w:val="single" w:sz="12" w:space="0" w:color="F79646"/>
          </w:tcBorders>
          <w:vAlign w:val="center"/>
        </w:tcPr>
        <w:p w14:paraId="4670EFCC" w14:textId="77777777" w:rsidR="006174D1" w:rsidRPr="00B23C5D" w:rsidRDefault="006174D1" w:rsidP="006174D1">
          <w:pPr>
            <w:pStyle w:val="Office"/>
            <w:ind w:left="-101"/>
          </w:pPr>
          <w:r>
            <w:br/>
            <w:t>OREGON PUBLIC HEALTH DIVISION</w:t>
          </w:r>
          <w:r>
            <w:br/>
            <w:t>Health Promotion &amp; Chronic Disease Prevention Section</w:t>
          </w:r>
        </w:p>
      </w:tc>
      <w:tc>
        <w:tcPr>
          <w:tcW w:w="3159" w:type="dxa"/>
          <w:vMerge w:val="restart"/>
          <w:tcBorders>
            <w:top w:val="nil"/>
            <w:bottom w:val="single" w:sz="4" w:space="0" w:color="F79646"/>
          </w:tcBorders>
          <w:vAlign w:val="center"/>
        </w:tcPr>
        <w:p w14:paraId="75AC397A" w14:textId="77777777" w:rsidR="006174D1" w:rsidRDefault="006174D1" w:rsidP="006174D1">
          <w:pPr>
            <w:spacing w:line="60" w:lineRule="exact"/>
          </w:pPr>
        </w:p>
        <w:p w14:paraId="6B25EB63" w14:textId="77777777" w:rsidR="006174D1" w:rsidRDefault="006174D1" w:rsidP="006174D1">
          <w:r>
            <w:rPr>
              <w:noProof/>
            </w:rPr>
            <w:drawing>
              <wp:inline distT="0" distB="0" distL="0" distR="0" wp14:anchorId="598EA6D9" wp14:editId="50A3C8D8">
                <wp:extent cx="1866900" cy="69532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174D1" w14:paraId="660BFA45" w14:textId="77777777" w:rsidTr="002C654D">
      <w:trPr>
        <w:cantSplit/>
        <w:trHeight w:val="225"/>
      </w:trPr>
      <w:tc>
        <w:tcPr>
          <w:tcW w:w="1161" w:type="dxa"/>
          <w:vMerge/>
          <w:tcBorders>
            <w:bottom w:val="nil"/>
          </w:tcBorders>
        </w:tcPr>
        <w:p w14:paraId="09414F7E" w14:textId="77777777" w:rsidR="006174D1" w:rsidRDefault="006174D1" w:rsidP="006174D1">
          <w:pPr>
            <w:ind w:left="-108"/>
            <w:rPr>
              <w:color w:val="005595"/>
              <w:sz w:val="18"/>
            </w:rPr>
          </w:pPr>
        </w:p>
      </w:tc>
      <w:tc>
        <w:tcPr>
          <w:tcW w:w="6507" w:type="dxa"/>
          <w:tcBorders>
            <w:top w:val="single" w:sz="12" w:space="0" w:color="F79646"/>
            <w:bottom w:val="nil"/>
          </w:tcBorders>
        </w:tcPr>
        <w:p w14:paraId="299357E9" w14:textId="77777777" w:rsidR="006174D1" w:rsidRDefault="006174D1" w:rsidP="006174D1">
          <w:pPr>
            <w:pStyle w:val="Governorname"/>
            <w:framePr w:hSpace="0" w:wrap="auto" w:vAnchor="margin" w:hAnchor="text" w:xAlign="left" w:yAlign="inline"/>
            <w:ind w:left="-101"/>
          </w:pPr>
          <w:r>
            <w:t>Kate Brown, Governor</w:t>
          </w:r>
        </w:p>
      </w:tc>
      <w:tc>
        <w:tcPr>
          <w:tcW w:w="3159" w:type="dxa"/>
          <w:vMerge/>
          <w:tcBorders>
            <w:top w:val="single" w:sz="4" w:space="0" w:color="F79646"/>
            <w:bottom w:val="nil"/>
          </w:tcBorders>
          <w:vAlign w:val="bottom"/>
        </w:tcPr>
        <w:p w14:paraId="14A055E5" w14:textId="77777777" w:rsidR="006174D1" w:rsidRDefault="006174D1" w:rsidP="006174D1">
          <w:pPr>
            <w:jc w:val="right"/>
          </w:pPr>
        </w:p>
      </w:tc>
    </w:tr>
  </w:tbl>
  <w:p w14:paraId="748D1F3A" w14:textId="77777777" w:rsidR="006174D1" w:rsidRPr="00D77515" w:rsidRDefault="00ED7460" w:rsidP="006174D1">
    <w:pPr>
      <w:pStyle w:val="Addressblock"/>
      <w:framePr w:wrap="around" w:x="6519" w:y="1231"/>
    </w:pPr>
    <w:sdt>
      <w:sdtPr>
        <w:id w:val="107662538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4F7A1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174D1" w:rsidRPr="00D77515">
      <w:t>800 NE Oregon Street, Suite 730</w:t>
    </w:r>
  </w:p>
  <w:p w14:paraId="64F3DF11" w14:textId="77777777" w:rsidR="006174D1" w:rsidRPr="00185287" w:rsidRDefault="006174D1" w:rsidP="006174D1">
    <w:pPr>
      <w:pStyle w:val="Addressblock"/>
      <w:framePr w:wrap="around" w:x="6519" w:y="1231"/>
    </w:pPr>
    <w:r>
      <w:t>Portland, OR 97232</w:t>
    </w:r>
  </w:p>
  <w:p w14:paraId="7AC177B3" w14:textId="77777777" w:rsidR="006174D1" w:rsidRPr="00185287" w:rsidRDefault="006174D1" w:rsidP="006174D1">
    <w:pPr>
      <w:pStyle w:val="Addressblock"/>
      <w:framePr w:wrap="around" w:x="6519" w:y="1231"/>
    </w:pPr>
    <w:r>
      <w:t>Voice:  971-673-0984</w:t>
    </w:r>
  </w:p>
  <w:p w14:paraId="6B19F6C6" w14:textId="77777777" w:rsidR="006174D1" w:rsidRPr="00185287" w:rsidRDefault="006174D1" w:rsidP="006174D1">
    <w:pPr>
      <w:pStyle w:val="Addressblock"/>
      <w:framePr w:wrap="around" w:x="6519" w:y="1231"/>
    </w:pPr>
    <w:r>
      <w:t>FAX:  971-673-0994</w:t>
    </w:r>
  </w:p>
  <w:p w14:paraId="5E1D07BC" w14:textId="77777777" w:rsidR="006174D1" w:rsidRPr="00185287" w:rsidRDefault="006174D1" w:rsidP="006174D1">
    <w:pPr>
      <w:pStyle w:val="Addressblock"/>
      <w:framePr w:wrap="around" w:x="6519" w:y="1231"/>
    </w:pPr>
    <w:r>
      <w:t>TTY: 971-673-0372</w:t>
    </w:r>
  </w:p>
  <w:p w14:paraId="1ABE903D" w14:textId="77777777" w:rsidR="006174D1" w:rsidRDefault="006174D1" w:rsidP="006174D1">
    <w:pPr>
      <w:pStyle w:val="Header"/>
    </w:pPr>
  </w:p>
  <w:p w14:paraId="6D02EB0C" w14:textId="77777777" w:rsidR="006174D1" w:rsidRDefault="006174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3868E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CEA0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FA5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8C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24453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5C83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F8DF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A4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62A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80D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1A0199"/>
    <w:multiLevelType w:val="hybridMultilevel"/>
    <w:tmpl w:val="058E79EA"/>
    <w:lvl w:ilvl="0" w:tplc="71EE37FA">
      <w:start w:val="1"/>
      <w:numFmt w:val="decimal"/>
      <w:lvlText w:val="%1.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5752D"/>
    <w:multiLevelType w:val="hybridMultilevel"/>
    <w:tmpl w:val="2416E29C"/>
    <w:lvl w:ilvl="0" w:tplc="52725D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D52117"/>
    <w:multiLevelType w:val="hybridMultilevel"/>
    <w:tmpl w:val="4B14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534C17"/>
    <w:multiLevelType w:val="hybridMultilevel"/>
    <w:tmpl w:val="C4301A92"/>
    <w:lvl w:ilvl="0" w:tplc="52725D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293EA7"/>
    <w:multiLevelType w:val="hybridMultilevel"/>
    <w:tmpl w:val="BE7C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>
      <o:colormru v:ext="edit" colors="#ec891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6F"/>
    <w:rsid w:val="0001198A"/>
    <w:rsid w:val="00031A55"/>
    <w:rsid w:val="000A3DC1"/>
    <w:rsid w:val="000C3BC3"/>
    <w:rsid w:val="000D2D7A"/>
    <w:rsid w:val="0012313C"/>
    <w:rsid w:val="001633B5"/>
    <w:rsid w:val="00170DD9"/>
    <w:rsid w:val="00185287"/>
    <w:rsid w:val="001B6A02"/>
    <w:rsid w:val="001C2419"/>
    <w:rsid w:val="001D0EF2"/>
    <w:rsid w:val="002C406B"/>
    <w:rsid w:val="002E5610"/>
    <w:rsid w:val="00302536"/>
    <w:rsid w:val="0032707F"/>
    <w:rsid w:val="003E4B37"/>
    <w:rsid w:val="0043311A"/>
    <w:rsid w:val="00440007"/>
    <w:rsid w:val="00462653"/>
    <w:rsid w:val="004832E4"/>
    <w:rsid w:val="004867E1"/>
    <w:rsid w:val="00490036"/>
    <w:rsid w:val="004D678F"/>
    <w:rsid w:val="00587C4A"/>
    <w:rsid w:val="005C7131"/>
    <w:rsid w:val="00604ED9"/>
    <w:rsid w:val="006174D1"/>
    <w:rsid w:val="00623A39"/>
    <w:rsid w:val="00676343"/>
    <w:rsid w:val="006A3D7B"/>
    <w:rsid w:val="006C211B"/>
    <w:rsid w:val="006C5ACD"/>
    <w:rsid w:val="006D05EF"/>
    <w:rsid w:val="0070581B"/>
    <w:rsid w:val="00707293"/>
    <w:rsid w:val="00720CFE"/>
    <w:rsid w:val="007626AC"/>
    <w:rsid w:val="007C61D7"/>
    <w:rsid w:val="007D5A78"/>
    <w:rsid w:val="00814485"/>
    <w:rsid w:val="00843717"/>
    <w:rsid w:val="00845026"/>
    <w:rsid w:val="00875474"/>
    <w:rsid w:val="00890E46"/>
    <w:rsid w:val="008B2F82"/>
    <w:rsid w:val="00957D6F"/>
    <w:rsid w:val="00981A73"/>
    <w:rsid w:val="00981D4C"/>
    <w:rsid w:val="009837E7"/>
    <w:rsid w:val="00986A4D"/>
    <w:rsid w:val="009D657F"/>
    <w:rsid w:val="009F31E9"/>
    <w:rsid w:val="009F51D9"/>
    <w:rsid w:val="00A8391F"/>
    <w:rsid w:val="00AA1034"/>
    <w:rsid w:val="00AB667A"/>
    <w:rsid w:val="00AD7381"/>
    <w:rsid w:val="00AF71EF"/>
    <w:rsid w:val="00B17199"/>
    <w:rsid w:val="00B21EAC"/>
    <w:rsid w:val="00B23C5D"/>
    <w:rsid w:val="00BE08FB"/>
    <w:rsid w:val="00BE3492"/>
    <w:rsid w:val="00C030B0"/>
    <w:rsid w:val="00C46913"/>
    <w:rsid w:val="00C47F37"/>
    <w:rsid w:val="00C53232"/>
    <w:rsid w:val="00CA72D3"/>
    <w:rsid w:val="00CB1483"/>
    <w:rsid w:val="00CB7C45"/>
    <w:rsid w:val="00CC212D"/>
    <w:rsid w:val="00D73F38"/>
    <w:rsid w:val="00D77515"/>
    <w:rsid w:val="00D9236F"/>
    <w:rsid w:val="00DA5372"/>
    <w:rsid w:val="00DB4C72"/>
    <w:rsid w:val="00DD79BA"/>
    <w:rsid w:val="00DF21B5"/>
    <w:rsid w:val="00DF464D"/>
    <w:rsid w:val="00E674DE"/>
    <w:rsid w:val="00E70A31"/>
    <w:rsid w:val="00E877CB"/>
    <w:rsid w:val="00ED7460"/>
    <w:rsid w:val="00F050AF"/>
    <w:rsid w:val="00F1463F"/>
    <w:rsid w:val="00F201B0"/>
    <w:rsid w:val="00F23A48"/>
    <w:rsid w:val="00F47D6F"/>
    <w:rsid w:val="00F97CD1"/>
    <w:rsid w:val="00FB3C93"/>
    <w:rsid w:val="00FC140E"/>
    <w:rsid w:val="00FD20AF"/>
    <w:rsid w:val="00FE7EB1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ec891d"/>
    </o:shapedefaults>
    <o:shapelayout v:ext="edit">
      <o:idmap v:ext="edit" data="1"/>
    </o:shapelayout>
  </w:shapeDefaults>
  <w:decimalSymbol w:val="."/>
  <w:listSeparator w:val=","/>
  <w14:docId w14:val="7D7AC1BF"/>
  <w15:docId w15:val="{0264DDEC-644B-4464-82FC-096ABFB5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E1"/>
    <w:rPr>
      <w:rFonts w:ascii="Arial" w:hAnsi="Arial"/>
      <w:w w:val="90"/>
      <w:sz w:val="24"/>
      <w:szCs w:val="24"/>
    </w:rPr>
  </w:style>
  <w:style w:type="paragraph" w:styleId="Heading1">
    <w:name w:val="heading 1"/>
    <w:next w:val="Normal"/>
    <w:qFormat/>
    <w:rsid w:val="00185287"/>
    <w:pPr>
      <w:keepNext/>
      <w:autoSpaceDE w:val="0"/>
      <w:autoSpaceDN w:val="0"/>
      <w:adjustRightInd w:val="0"/>
      <w:outlineLvl w:val="0"/>
    </w:pPr>
    <w:rPr>
      <w:rFonts w:ascii="Arial" w:hAnsi="Arial"/>
      <w:w w:val="9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6913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8B2F82"/>
    <w:pPr>
      <w:tabs>
        <w:tab w:val="center" w:pos="4320"/>
        <w:tab w:val="right" w:pos="8640"/>
      </w:tabs>
    </w:pPr>
    <w:rPr>
      <w:rFonts w:ascii="Arial" w:hAnsi="Arial"/>
      <w:w w:val="90"/>
      <w:szCs w:val="24"/>
    </w:rPr>
  </w:style>
  <w:style w:type="paragraph" w:styleId="BalloonText">
    <w:name w:val="Balloon Text"/>
    <w:basedOn w:val="Normal"/>
    <w:semiHidden/>
    <w:rsid w:val="00C46913"/>
    <w:rPr>
      <w:rFonts w:ascii="Tahoma" w:hAnsi="Tahoma"/>
      <w:sz w:val="16"/>
      <w:szCs w:val="16"/>
    </w:rPr>
  </w:style>
  <w:style w:type="paragraph" w:customStyle="1" w:styleId="Arialbodycopy">
    <w:name w:val="Arial body copy"/>
    <w:aliases w:val="14 pt"/>
    <w:link w:val="ArialbodycopyChar"/>
    <w:qFormat/>
    <w:rsid w:val="00DA5372"/>
    <w:pPr>
      <w:autoSpaceDE w:val="0"/>
      <w:autoSpaceDN w:val="0"/>
      <w:adjustRightInd w:val="0"/>
    </w:pPr>
    <w:rPr>
      <w:rFonts w:ascii="Arial" w:hAnsi="Arial"/>
      <w:w w:val="90"/>
      <w:sz w:val="28"/>
      <w:szCs w:val="24"/>
    </w:rPr>
  </w:style>
  <w:style w:type="character" w:customStyle="1" w:styleId="Timesbodycopy">
    <w:name w:val="Times body copy"/>
    <w:aliases w:val="14 pt."/>
    <w:rsid w:val="00B23C5D"/>
    <w:rPr>
      <w:rFonts w:ascii="Times New Roman" w:hAnsi="Times New Roman"/>
      <w:w w:val="100"/>
      <w:sz w:val="28"/>
    </w:rPr>
  </w:style>
  <w:style w:type="character" w:customStyle="1" w:styleId="ArialbodycopyChar">
    <w:name w:val="Arial body copy Char"/>
    <w:aliases w:val="14 pt Char"/>
    <w:basedOn w:val="DefaultParagraphFont"/>
    <w:link w:val="Arialbodycopy"/>
    <w:rsid w:val="00DA5372"/>
    <w:rPr>
      <w:rFonts w:ascii="Arial" w:hAnsi="Arial"/>
      <w:w w:val="90"/>
      <w:sz w:val="28"/>
      <w:szCs w:val="24"/>
      <w:lang w:val="en-US" w:eastAsia="en-US" w:bidi="ar-SA"/>
    </w:rPr>
  </w:style>
  <w:style w:type="paragraph" w:customStyle="1" w:styleId="Addressblock">
    <w:name w:val="Address block"/>
    <w:link w:val="AddressblockChar"/>
    <w:qFormat/>
    <w:rsid w:val="00B23C5D"/>
    <w:pPr>
      <w:framePr w:w="5069" w:h="1152" w:hSpace="187" w:wrap="around" w:vAnchor="text" w:hAnchor="page" w:x="6294" w:y="880"/>
      <w:tabs>
        <w:tab w:val="left" w:pos="-540"/>
      </w:tabs>
      <w:ind w:left="-540" w:right="30"/>
      <w:jc w:val="right"/>
    </w:pPr>
    <w:rPr>
      <w:rFonts w:ascii="Arial" w:hAnsi="Arial"/>
      <w:color w:val="005595"/>
      <w:w w:val="90"/>
      <w:sz w:val="24"/>
      <w:szCs w:val="24"/>
    </w:rPr>
  </w:style>
  <w:style w:type="paragraph" w:customStyle="1" w:styleId="Divisionname">
    <w:name w:val="Division name"/>
    <w:qFormat/>
    <w:rsid w:val="00B23C5D"/>
    <w:pPr>
      <w:framePr w:hSpace="180" w:wrap="around" w:vAnchor="text" w:hAnchor="margin" w:x="-306" w:y="-158"/>
      <w:spacing w:after="60"/>
      <w:ind w:left="-117"/>
    </w:pPr>
    <w:rPr>
      <w:rFonts w:ascii="Arial" w:hAnsi="Arial"/>
      <w:color w:val="005595"/>
      <w:w w:val="90"/>
      <w:sz w:val="24"/>
      <w:szCs w:val="24"/>
    </w:rPr>
  </w:style>
  <w:style w:type="character" w:customStyle="1" w:styleId="AddressblockChar">
    <w:name w:val="Address block Char"/>
    <w:basedOn w:val="DefaultParagraphFont"/>
    <w:link w:val="Addressblock"/>
    <w:rsid w:val="00B23C5D"/>
    <w:rPr>
      <w:rFonts w:ascii="Arial" w:hAnsi="Arial"/>
      <w:color w:val="005595"/>
      <w:w w:val="90"/>
      <w:sz w:val="24"/>
      <w:szCs w:val="24"/>
      <w:lang w:val="en-US" w:eastAsia="en-US" w:bidi="ar-SA"/>
    </w:rPr>
  </w:style>
  <w:style w:type="paragraph" w:customStyle="1" w:styleId="Office">
    <w:name w:val="Office"/>
    <w:aliases w:val="section or unit name"/>
    <w:qFormat/>
    <w:rsid w:val="00B23C5D"/>
    <w:pPr>
      <w:ind w:left="-126"/>
    </w:pPr>
    <w:rPr>
      <w:rFonts w:ascii="Arial" w:hAnsi="Arial"/>
      <w:color w:val="005595"/>
      <w:w w:val="90"/>
      <w:sz w:val="22"/>
      <w:szCs w:val="24"/>
    </w:rPr>
  </w:style>
  <w:style w:type="paragraph" w:customStyle="1" w:styleId="Governorname">
    <w:name w:val="Governor name"/>
    <w:qFormat/>
    <w:rsid w:val="00B23C5D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Headerpage2andbeyond">
    <w:name w:val="Header page 2 and beyond"/>
    <w:qFormat/>
    <w:rsid w:val="00F47D6F"/>
    <w:rPr>
      <w:rFonts w:ascii="Arial" w:hAnsi="Arial"/>
      <w:color w:val="005595"/>
      <w:w w:val="9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B3C93"/>
    <w:rPr>
      <w:rFonts w:ascii="Times New Roman" w:hAnsi="Times New Roman"/>
      <w:w w:val="1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93"/>
  </w:style>
  <w:style w:type="character" w:customStyle="1" w:styleId="HeaderChar">
    <w:name w:val="Header Char"/>
    <w:basedOn w:val="DefaultParagraphFont"/>
    <w:link w:val="Header"/>
    <w:rsid w:val="00FB3C93"/>
    <w:rPr>
      <w:rFonts w:ascii="Arial" w:hAnsi="Arial"/>
      <w:w w:val="9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B3C93"/>
    <w:rPr>
      <w:rFonts w:ascii="Times" w:hAnsi="Times"/>
      <w:w w:val="100"/>
      <w:sz w:val="28"/>
    </w:rPr>
  </w:style>
  <w:style w:type="character" w:customStyle="1" w:styleId="BodyText2Char">
    <w:name w:val="Body Text 2 Char"/>
    <w:basedOn w:val="DefaultParagraphFont"/>
    <w:link w:val="BodyText2"/>
    <w:rsid w:val="00FB3C93"/>
    <w:rPr>
      <w:rFonts w:ascii="Times" w:hAnsi="Times"/>
      <w:sz w:val="28"/>
      <w:szCs w:val="24"/>
    </w:rPr>
  </w:style>
  <w:style w:type="paragraph" w:styleId="ListParagraph">
    <w:name w:val="List Paragraph"/>
    <w:basedOn w:val="Normal"/>
    <w:uiPriority w:val="34"/>
    <w:qFormat/>
    <w:rsid w:val="00FB3C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FB3C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B667A"/>
    <w:rPr>
      <w:rFonts w:ascii="Arial" w:hAnsi="Arial"/>
      <w:b/>
      <w:bCs/>
      <w:w w:val="90"/>
    </w:rPr>
  </w:style>
  <w:style w:type="character" w:customStyle="1" w:styleId="CommentSubjectChar">
    <w:name w:val="Comment Subject Char"/>
    <w:basedOn w:val="CommentTextChar"/>
    <w:link w:val="CommentSubject"/>
    <w:rsid w:val="00AB667A"/>
    <w:rPr>
      <w:rFonts w:ascii="Arial" w:hAnsi="Arial"/>
      <w:b/>
      <w:bCs/>
      <w:w w:val="90"/>
    </w:rPr>
  </w:style>
  <w:style w:type="paragraph" w:styleId="Revision">
    <w:name w:val="Revision"/>
    <w:hidden/>
    <w:uiPriority w:val="99"/>
    <w:semiHidden/>
    <w:rsid w:val="00AB667A"/>
    <w:rPr>
      <w:rFonts w:ascii="Arial" w:hAnsi="Arial"/>
      <w:w w:val="9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7381"/>
    <w:rPr>
      <w:rFonts w:ascii="Arial" w:hAnsi="Arial"/>
      <w:w w:val="90"/>
      <w:szCs w:val="24"/>
    </w:rPr>
  </w:style>
  <w:style w:type="character" w:styleId="Hyperlink">
    <w:name w:val="Hyperlink"/>
    <w:basedOn w:val="DefaultParagraphFont"/>
    <w:unhideWhenUsed/>
    <w:rsid w:val="002E5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oregon.org/morefreshai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samhsa.gov/synar/abou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titia.m.mack@state.or.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rittany.a.sande@state.or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itia.m.mack@state.or.u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Health Authority letterhead</vt:lpstr>
    </vt:vector>
  </TitlesOfParts>
  <Company>State of Oregon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Health Authority letterhead</dc:title>
  <dc:subject/>
  <dc:creator>LONGORIA Luci</dc:creator>
  <cp:keywords/>
  <dc:description>Revised 1-13-11</dc:description>
  <cp:lastModifiedBy>LONGORIA Luci</cp:lastModifiedBy>
  <cp:revision>3</cp:revision>
  <cp:lastPrinted>2011-12-14T18:56:00Z</cp:lastPrinted>
  <dcterms:created xsi:type="dcterms:W3CDTF">2015-12-11T19:07:00Z</dcterms:created>
  <dcterms:modified xsi:type="dcterms:W3CDTF">2015-12-14T19:50:00Z</dcterms:modified>
</cp:coreProperties>
</file>