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73E" w:rsidRDefault="00C62BBB" w:rsidP="0027491A">
      <w:pPr>
        <w:rPr>
          <w:rFonts w:ascii="Calibri" w:hAnsi="Calibri" w:cs="Calibri"/>
          <w:b/>
          <w:sz w:val="22"/>
          <w:szCs w:val="22"/>
          <w:u w:val="single"/>
        </w:rPr>
      </w:pPr>
      <w:r w:rsidRPr="0027491A">
        <w:rPr>
          <w:rFonts w:ascii="Calibri" w:hAnsi="Calibri" w:cs="Calibri"/>
          <w:b/>
          <w:sz w:val="28"/>
        </w:rPr>
        <w:t>201</w:t>
      </w:r>
      <w:r w:rsidR="0027491A" w:rsidRPr="0027491A">
        <w:rPr>
          <w:rFonts w:ascii="Calibri" w:hAnsi="Calibri" w:cs="Calibri"/>
          <w:b/>
          <w:sz w:val="28"/>
        </w:rPr>
        <w:t>7</w:t>
      </w:r>
      <w:r w:rsidRPr="0027491A">
        <w:rPr>
          <w:rFonts w:ascii="Calibri" w:hAnsi="Calibri" w:cs="Calibri"/>
          <w:b/>
          <w:sz w:val="28"/>
        </w:rPr>
        <w:t xml:space="preserve"> </w:t>
      </w:r>
      <w:r w:rsidR="00B238A2" w:rsidRPr="0027491A">
        <w:rPr>
          <w:rFonts w:ascii="Calibri" w:hAnsi="Calibri" w:cs="Calibri"/>
          <w:b/>
          <w:sz w:val="28"/>
        </w:rPr>
        <w:t>Legislativ</w:t>
      </w:r>
      <w:r w:rsidR="001A0858" w:rsidRPr="0027491A">
        <w:rPr>
          <w:rFonts w:ascii="Calibri" w:hAnsi="Calibri" w:cs="Calibri"/>
          <w:b/>
          <w:sz w:val="28"/>
        </w:rPr>
        <w:t>e Session Bill Tracking Summary</w:t>
      </w:r>
      <w:r w:rsidR="001A0858" w:rsidRPr="0027491A">
        <w:rPr>
          <w:rFonts w:ascii="Calibri" w:hAnsi="Calibri" w:cs="Calibri"/>
          <w:b/>
          <w:sz w:val="28"/>
        </w:rPr>
        <w:br/>
      </w:r>
    </w:p>
    <w:p w:rsidR="0027491A" w:rsidRPr="00FD5DE2" w:rsidRDefault="0027491A" w:rsidP="00FD5DE2">
      <w:pPr>
        <w:shd w:val="clear" w:color="auto" w:fill="B8CCE4" w:themeFill="accent1" w:themeFillTint="66"/>
        <w:rPr>
          <w:rFonts w:ascii="Calibri" w:hAnsi="Calibri" w:cs="Calibri"/>
          <w:sz w:val="22"/>
          <w:szCs w:val="22"/>
        </w:rPr>
      </w:pPr>
      <w:r w:rsidRPr="00FD5DE2">
        <w:rPr>
          <w:rFonts w:ascii="Calibri" w:hAnsi="Calibri" w:cs="Calibri"/>
          <w:b/>
          <w:sz w:val="22"/>
          <w:szCs w:val="22"/>
        </w:rPr>
        <w:t>Background:</w:t>
      </w:r>
      <w:r w:rsidRPr="00FD5DE2">
        <w:rPr>
          <w:rFonts w:ascii="Calibri" w:hAnsi="Calibri" w:cs="Calibri"/>
          <w:sz w:val="22"/>
          <w:szCs w:val="22"/>
        </w:rPr>
        <w:t xml:space="preserve"> </w:t>
      </w:r>
    </w:p>
    <w:p w:rsidR="0027491A" w:rsidRDefault="0027491A" w:rsidP="0027491A">
      <w:pPr>
        <w:rPr>
          <w:rFonts w:ascii="Calibri" w:hAnsi="Calibri" w:cs="Calibri"/>
          <w:sz w:val="22"/>
          <w:szCs w:val="22"/>
        </w:rPr>
      </w:pPr>
      <w:r w:rsidRPr="0027491A">
        <w:rPr>
          <w:rFonts w:ascii="Calibri" w:hAnsi="Calibri" w:cs="Calibri"/>
          <w:sz w:val="22"/>
          <w:szCs w:val="22"/>
        </w:rPr>
        <w:t xml:space="preserve">HPCDP is currently tracking </w:t>
      </w:r>
      <w:r w:rsidR="004B373E">
        <w:rPr>
          <w:rFonts w:ascii="Calibri" w:hAnsi="Calibri" w:cs="Calibri"/>
          <w:sz w:val="22"/>
          <w:szCs w:val="22"/>
        </w:rPr>
        <w:t>40</w:t>
      </w:r>
      <w:r w:rsidR="003848C6">
        <w:rPr>
          <w:rFonts w:ascii="Calibri" w:hAnsi="Calibri" w:cs="Calibri"/>
          <w:sz w:val="22"/>
          <w:szCs w:val="22"/>
        </w:rPr>
        <w:t xml:space="preserve"> bills relating to tobacco, alcohol, physical activity, nutrition, marijuana and ot</w:t>
      </w:r>
      <w:r w:rsidR="0014280D">
        <w:rPr>
          <w:rFonts w:ascii="Calibri" w:hAnsi="Calibri" w:cs="Calibri"/>
          <w:sz w:val="22"/>
          <w:szCs w:val="22"/>
        </w:rPr>
        <w:t xml:space="preserve">her issues important to health </w:t>
      </w:r>
      <w:r w:rsidR="003848C6">
        <w:rPr>
          <w:rFonts w:ascii="Calibri" w:hAnsi="Calibri" w:cs="Calibri"/>
          <w:sz w:val="22"/>
          <w:szCs w:val="22"/>
        </w:rPr>
        <w:t xml:space="preserve">promotion and chronic disease prevention. </w:t>
      </w:r>
    </w:p>
    <w:p w:rsidR="0027491A" w:rsidRPr="003848C6" w:rsidRDefault="00A01617" w:rsidP="003848C6">
      <w:pPr>
        <w:shd w:val="clear" w:color="auto" w:fill="B8CCE4" w:themeFill="accent1" w:themeFillTint="66"/>
        <w:rPr>
          <w:rFonts w:ascii="Calibri" w:hAnsi="Calibri" w:cs="Calibri"/>
          <w:b/>
          <w:sz w:val="22"/>
          <w:szCs w:val="22"/>
          <w:u w:val="single"/>
        </w:rPr>
      </w:pPr>
      <w:r w:rsidRPr="003848C6">
        <w:rPr>
          <w:rFonts w:ascii="Calibri" w:hAnsi="Calibri" w:cs="Calibri"/>
          <w:b/>
          <w:sz w:val="22"/>
          <w:szCs w:val="22"/>
        </w:rPr>
        <w:t>Relating</w:t>
      </w:r>
      <w:r w:rsidR="0027491A" w:rsidRPr="003848C6">
        <w:rPr>
          <w:rFonts w:ascii="Calibri" w:hAnsi="Calibri" w:cs="Calibri"/>
          <w:b/>
          <w:sz w:val="22"/>
          <w:szCs w:val="22"/>
        </w:rPr>
        <w:t xml:space="preserve"> to Tobacco</w:t>
      </w:r>
    </w:p>
    <w:p w:rsidR="0027491A" w:rsidRPr="00FD5DE2" w:rsidRDefault="0027491A" w:rsidP="00863DB0">
      <w:pPr>
        <w:ind w:firstLine="720"/>
        <w:rPr>
          <w:rFonts w:ascii="Calibri" w:hAnsi="Calibri" w:cs="Calibri"/>
          <w:b/>
          <w:sz w:val="22"/>
          <w:szCs w:val="22"/>
        </w:rPr>
      </w:pPr>
      <w:r w:rsidRPr="00FD5DE2">
        <w:rPr>
          <w:rFonts w:ascii="Calibri" w:hAnsi="Calibri" w:cs="Calibri"/>
          <w:b/>
          <w:sz w:val="22"/>
          <w:szCs w:val="22"/>
        </w:rPr>
        <w:t>Taxation</w:t>
      </w:r>
      <w:r w:rsidRPr="00FD5DE2">
        <w:rPr>
          <w:rFonts w:ascii="Calibri" w:hAnsi="Calibri" w:cs="Calibri"/>
          <w:sz w:val="22"/>
          <w:szCs w:val="22"/>
        </w:rPr>
        <w:t xml:space="preserve"> </w:t>
      </w:r>
    </w:p>
    <w:p w:rsidR="00F0138E" w:rsidRPr="00526B8A" w:rsidRDefault="00F0138E" w:rsidP="00863DB0">
      <w:pPr>
        <w:tabs>
          <w:tab w:val="left" w:pos="720"/>
        </w:tabs>
        <w:spacing w:after="0"/>
        <w:ind w:left="2160" w:hanging="1440"/>
        <w:rPr>
          <w:rFonts w:ascii="Calibri" w:hAnsi="Calibri" w:cs="Calibri"/>
          <w:sz w:val="22"/>
          <w:szCs w:val="22"/>
        </w:rPr>
      </w:pPr>
      <w:r w:rsidRPr="00526B8A">
        <w:rPr>
          <w:rFonts w:ascii="Calibri" w:hAnsi="Calibri" w:cs="Calibri"/>
          <w:sz w:val="22"/>
          <w:szCs w:val="22"/>
        </w:rPr>
        <w:t>H</w:t>
      </w:r>
      <w:r w:rsidR="00FD5DE2" w:rsidRPr="00526B8A">
        <w:rPr>
          <w:rFonts w:ascii="Calibri" w:hAnsi="Calibri" w:cs="Calibri"/>
          <w:sz w:val="22"/>
          <w:szCs w:val="22"/>
        </w:rPr>
        <w:t>B 2024</w:t>
      </w:r>
      <w:r w:rsidR="00FD5DE2" w:rsidRPr="00526B8A">
        <w:rPr>
          <w:rFonts w:ascii="Calibri" w:hAnsi="Calibri" w:cs="Calibri"/>
          <w:sz w:val="22"/>
          <w:szCs w:val="22"/>
        </w:rPr>
        <w:tab/>
        <w:t>T</w:t>
      </w:r>
      <w:r w:rsidRPr="00526B8A">
        <w:rPr>
          <w:rFonts w:ascii="Calibri" w:hAnsi="Calibri" w:cs="Calibri"/>
          <w:sz w:val="22"/>
          <w:szCs w:val="22"/>
        </w:rPr>
        <w:t xml:space="preserve">ax on inhalant-form nicotine based on a percentage of wholesale price. Raises age of legal sales to 21. </w:t>
      </w:r>
      <w:r w:rsidR="00FD5DE2" w:rsidRPr="00526B8A">
        <w:rPr>
          <w:rFonts w:ascii="Calibri" w:hAnsi="Calibri" w:cs="Calibri"/>
          <w:sz w:val="22"/>
          <w:szCs w:val="22"/>
        </w:rPr>
        <w:t>(</w:t>
      </w:r>
      <w:r w:rsidR="00FD5DE2" w:rsidRPr="00526B8A">
        <w:rPr>
          <w:rFonts w:ascii="Calibri" w:hAnsi="Calibri" w:cs="Calibri"/>
          <w:i/>
          <w:sz w:val="22"/>
          <w:szCs w:val="22"/>
        </w:rPr>
        <w:t xml:space="preserve">Representative </w:t>
      </w:r>
      <w:proofErr w:type="spellStart"/>
      <w:r w:rsidR="00FD5DE2" w:rsidRPr="00526B8A">
        <w:rPr>
          <w:rFonts w:ascii="Calibri" w:hAnsi="Calibri" w:cs="Calibri"/>
          <w:i/>
          <w:sz w:val="22"/>
          <w:szCs w:val="22"/>
        </w:rPr>
        <w:t>Greenlick</w:t>
      </w:r>
      <w:proofErr w:type="spellEnd"/>
      <w:r w:rsidR="00FD5DE2" w:rsidRPr="00526B8A">
        <w:rPr>
          <w:rFonts w:ascii="Calibri" w:hAnsi="Calibri" w:cs="Calibri"/>
          <w:i/>
          <w:sz w:val="22"/>
          <w:szCs w:val="22"/>
        </w:rPr>
        <w:t xml:space="preserve">, Senator </w:t>
      </w:r>
      <w:proofErr w:type="spellStart"/>
      <w:r w:rsidR="00FD5DE2" w:rsidRPr="00526B8A">
        <w:rPr>
          <w:rFonts w:ascii="Calibri" w:hAnsi="Calibri" w:cs="Calibri"/>
          <w:i/>
          <w:sz w:val="22"/>
          <w:szCs w:val="22"/>
        </w:rPr>
        <w:t>Monnes</w:t>
      </w:r>
      <w:proofErr w:type="spellEnd"/>
      <w:r w:rsidR="00FD5DE2" w:rsidRPr="00526B8A">
        <w:rPr>
          <w:rFonts w:ascii="Calibri" w:hAnsi="Calibri" w:cs="Calibri"/>
          <w:i/>
          <w:sz w:val="22"/>
          <w:szCs w:val="22"/>
        </w:rPr>
        <w:t xml:space="preserve"> Anderson)</w:t>
      </w:r>
    </w:p>
    <w:p w:rsidR="00134A8D" w:rsidRDefault="00134A8D" w:rsidP="00134A8D">
      <w:pPr>
        <w:spacing w:after="0"/>
        <w:ind w:left="2160" w:hanging="1440"/>
        <w:rPr>
          <w:rFonts w:ascii="Calibri" w:hAnsi="Calibri" w:cs="Calibri"/>
          <w:sz w:val="22"/>
          <w:szCs w:val="22"/>
        </w:rPr>
      </w:pPr>
    </w:p>
    <w:p w:rsidR="00A926D2" w:rsidRDefault="00A926D2" w:rsidP="00134A8D">
      <w:pPr>
        <w:spacing w:after="0"/>
        <w:ind w:left="2160" w:hanging="1440"/>
        <w:rPr>
          <w:rFonts w:ascii="Calibri" w:hAnsi="Calibri" w:cs="Calibri"/>
          <w:i/>
          <w:sz w:val="22"/>
          <w:szCs w:val="22"/>
        </w:rPr>
      </w:pPr>
      <w:r w:rsidRPr="00526B8A">
        <w:rPr>
          <w:rFonts w:ascii="Calibri" w:hAnsi="Calibri" w:cs="Calibri"/>
          <w:sz w:val="22"/>
          <w:szCs w:val="22"/>
        </w:rPr>
        <w:t>HB 2037</w:t>
      </w:r>
      <w:r w:rsidRPr="00526B8A">
        <w:rPr>
          <w:rFonts w:ascii="Calibri" w:hAnsi="Calibri" w:cs="Calibri"/>
          <w:sz w:val="22"/>
          <w:szCs w:val="22"/>
        </w:rPr>
        <w:tab/>
        <w:t>Tax increase</w:t>
      </w:r>
      <w:r w:rsidR="005E34A4" w:rsidRPr="005E34A4">
        <w:t xml:space="preserve"> </w:t>
      </w:r>
      <w:r w:rsidR="005E34A4" w:rsidRPr="005E34A4">
        <w:rPr>
          <w:rFonts w:ascii="Calibri" w:hAnsi="Calibri" w:cs="Calibri"/>
          <w:sz w:val="22"/>
          <w:szCs w:val="22"/>
        </w:rPr>
        <w:t>by $1.50 per pack of 20 cigarettes</w:t>
      </w:r>
      <w:r w:rsidRPr="00526B8A">
        <w:rPr>
          <w:rFonts w:ascii="Calibri" w:hAnsi="Calibri" w:cs="Calibri"/>
          <w:sz w:val="22"/>
          <w:szCs w:val="22"/>
        </w:rPr>
        <w:t xml:space="preserve"> beginning in 2018</w:t>
      </w:r>
      <w:r w:rsidR="005E34A4">
        <w:rPr>
          <w:rFonts w:ascii="Calibri" w:hAnsi="Calibri" w:cs="Calibri"/>
          <w:sz w:val="22"/>
          <w:szCs w:val="22"/>
        </w:rPr>
        <w:t>. Pr</w:t>
      </w:r>
      <w:r w:rsidRPr="00526B8A">
        <w:rPr>
          <w:rFonts w:ascii="Calibri" w:hAnsi="Calibri" w:cs="Calibri"/>
          <w:sz w:val="22"/>
          <w:szCs w:val="22"/>
        </w:rPr>
        <w:t>oviding for revenue raising for prevention services.</w:t>
      </w:r>
      <w:r w:rsidRPr="00526B8A">
        <w:rPr>
          <w:rFonts w:ascii="Calibri" w:hAnsi="Calibri" w:cs="Calibri"/>
          <w:sz w:val="22"/>
          <w:szCs w:val="22"/>
        </w:rPr>
        <w:tab/>
      </w:r>
      <w:r w:rsidRPr="007A1416">
        <w:rPr>
          <w:rFonts w:ascii="Calibri" w:hAnsi="Calibri" w:cs="Calibri"/>
          <w:i/>
          <w:sz w:val="22"/>
          <w:szCs w:val="22"/>
        </w:rPr>
        <w:t xml:space="preserve">(Representative Clem, Representative </w:t>
      </w:r>
      <w:proofErr w:type="spellStart"/>
      <w:r w:rsidRPr="007A1416">
        <w:rPr>
          <w:rFonts w:ascii="Calibri" w:hAnsi="Calibri" w:cs="Calibri"/>
          <w:i/>
          <w:sz w:val="22"/>
          <w:szCs w:val="22"/>
        </w:rPr>
        <w:t>Nosse</w:t>
      </w:r>
      <w:proofErr w:type="spellEnd"/>
      <w:r w:rsidRPr="007A1416">
        <w:rPr>
          <w:rFonts w:ascii="Calibri" w:hAnsi="Calibri" w:cs="Calibri"/>
          <w:i/>
          <w:sz w:val="22"/>
          <w:szCs w:val="22"/>
        </w:rPr>
        <w:t>)</w:t>
      </w:r>
    </w:p>
    <w:p w:rsidR="00134A8D" w:rsidRPr="00526B8A" w:rsidRDefault="00134A8D" w:rsidP="00134A8D">
      <w:pPr>
        <w:spacing w:after="0"/>
        <w:ind w:left="2160"/>
        <w:rPr>
          <w:rFonts w:ascii="Calibri" w:hAnsi="Calibri" w:cs="Calibri"/>
          <w:sz w:val="22"/>
          <w:szCs w:val="22"/>
        </w:rPr>
      </w:pPr>
    </w:p>
    <w:p w:rsidR="00526B8A" w:rsidRDefault="00526B8A" w:rsidP="00134A8D">
      <w:pPr>
        <w:spacing w:after="0"/>
        <w:ind w:left="2160" w:hanging="1440"/>
        <w:rPr>
          <w:rFonts w:ascii="Calibri" w:hAnsi="Calibri" w:cs="Calibri"/>
          <w:i/>
          <w:sz w:val="22"/>
          <w:szCs w:val="22"/>
        </w:rPr>
      </w:pPr>
      <w:r w:rsidRPr="00526B8A">
        <w:rPr>
          <w:rFonts w:ascii="Calibri" w:hAnsi="Calibri" w:cs="Calibri"/>
          <w:sz w:val="22"/>
          <w:szCs w:val="22"/>
        </w:rPr>
        <w:t>HB 2056</w:t>
      </w:r>
      <w:r w:rsidRPr="00526B8A">
        <w:rPr>
          <w:rFonts w:ascii="Calibri" w:hAnsi="Calibri" w:cs="Calibri"/>
          <w:sz w:val="22"/>
          <w:szCs w:val="22"/>
        </w:rPr>
        <w:tab/>
        <w:t>Relating to taxation of products containing nicotine; providing for revenue raising for Oregon Health Plan Fund.</w:t>
      </w:r>
      <w:r w:rsidR="00134A8D">
        <w:rPr>
          <w:rFonts w:ascii="Calibri" w:hAnsi="Calibri" w:cs="Calibri"/>
          <w:sz w:val="22"/>
          <w:szCs w:val="22"/>
        </w:rPr>
        <w:t xml:space="preserve"> </w:t>
      </w:r>
      <w:r w:rsidRPr="007A1416">
        <w:rPr>
          <w:rFonts w:ascii="Calibri" w:hAnsi="Calibri" w:cs="Calibri"/>
          <w:i/>
          <w:sz w:val="22"/>
          <w:szCs w:val="22"/>
        </w:rPr>
        <w:t>(House Interim Committee on Revenue)</w:t>
      </w:r>
    </w:p>
    <w:p w:rsidR="00134A8D" w:rsidRPr="00526B8A" w:rsidRDefault="00134A8D" w:rsidP="00134A8D">
      <w:pPr>
        <w:spacing w:after="0"/>
        <w:ind w:left="2160"/>
        <w:rPr>
          <w:rFonts w:ascii="Calibri" w:hAnsi="Calibri" w:cs="Calibri"/>
          <w:sz w:val="22"/>
          <w:szCs w:val="22"/>
        </w:rPr>
      </w:pPr>
    </w:p>
    <w:p w:rsidR="00F0138E" w:rsidRDefault="007A1416" w:rsidP="00134A8D">
      <w:pPr>
        <w:spacing w:after="0"/>
        <w:ind w:left="2160" w:hanging="1440"/>
        <w:rPr>
          <w:rFonts w:ascii="Calibri" w:hAnsi="Calibri" w:cs="Calibri"/>
          <w:i/>
          <w:sz w:val="22"/>
          <w:szCs w:val="22"/>
        </w:rPr>
      </w:pPr>
      <w:r w:rsidRPr="00A1612D">
        <w:rPr>
          <w:rFonts w:ascii="Calibri" w:hAnsi="Calibri" w:cs="Calibri"/>
          <w:sz w:val="22"/>
          <w:szCs w:val="22"/>
        </w:rPr>
        <w:t>HB 2062</w:t>
      </w:r>
      <w:r w:rsidRPr="00A1612D">
        <w:rPr>
          <w:rFonts w:ascii="Calibri" w:hAnsi="Calibri" w:cs="Calibri"/>
          <w:sz w:val="22"/>
          <w:szCs w:val="22"/>
        </w:rPr>
        <w:tab/>
      </w:r>
      <w:r w:rsidR="00A1612D" w:rsidRPr="00A1612D">
        <w:rPr>
          <w:rFonts w:ascii="Calibri" w:hAnsi="Calibri" w:cs="Calibri"/>
          <w:sz w:val="22"/>
          <w:szCs w:val="22"/>
        </w:rPr>
        <w:t>Expands definition of “tobacco products</w:t>
      </w:r>
      <w:r w:rsidR="00DE32F6">
        <w:rPr>
          <w:rFonts w:ascii="Calibri" w:hAnsi="Calibri" w:cs="Calibri"/>
          <w:sz w:val="22"/>
          <w:szCs w:val="22"/>
        </w:rPr>
        <w:t>,</w:t>
      </w:r>
      <w:r w:rsidR="00A1612D" w:rsidRPr="00A1612D">
        <w:rPr>
          <w:rFonts w:ascii="Calibri" w:hAnsi="Calibri" w:cs="Calibri"/>
          <w:sz w:val="22"/>
          <w:szCs w:val="22"/>
        </w:rPr>
        <w:t>” imposes a 95% of wholesale tax on inhalant nicotine, and a 70% wholesale tax on inhalant delivery systems</w:t>
      </w:r>
      <w:r w:rsidRPr="00A1612D">
        <w:rPr>
          <w:rFonts w:ascii="Calibri" w:hAnsi="Calibri" w:cs="Calibri"/>
          <w:sz w:val="22"/>
          <w:szCs w:val="22"/>
        </w:rPr>
        <w:t xml:space="preserve">. </w:t>
      </w:r>
      <w:r w:rsidRPr="00A1612D">
        <w:rPr>
          <w:rFonts w:ascii="Calibri" w:hAnsi="Calibri" w:cs="Calibri"/>
          <w:i/>
          <w:sz w:val="22"/>
          <w:szCs w:val="22"/>
        </w:rPr>
        <w:t>(House Interim Committee on Revenue)</w:t>
      </w:r>
    </w:p>
    <w:p w:rsidR="005E34A4" w:rsidRDefault="005E34A4" w:rsidP="00134A8D">
      <w:pPr>
        <w:spacing w:after="0"/>
        <w:ind w:left="2160" w:hanging="1440"/>
        <w:rPr>
          <w:rFonts w:ascii="Calibri" w:hAnsi="Calibri" w:cs="Calibri"/>
          <w:i/>
          <w:sz w:val="22"/>
          <w:szCs w:val="22"/>
        </w:rPr>
      </w:pPr>
    </w:p>
    <w:p w:rsidR="005E34A4" w:rsidRPr="005E34A4" w:rsidRDefault="005E34A4" w:rsidP="00134A8D">
      <w:pPr>
        <w:spacing w:after="0"/>
        <w:ind w:left="2160" w:hanging="1440"/>
        <w:rPr>
          <w:rFonts w:ascii="Calibri" w:hAnsi="Calibri" w:cs="Calibri"/>
          <w:sz w:val="22"/>
          <w:szCs w:val="22"/>
        </w:rPr>
      </w:pPr>
      <w:r w:rsidRPr="005E34A4">
        <w:rPr>
          <w:rFonts w:ascii="Calibri" w:hAnsi="Calibri" w:cs="Calibri"/>
          <w:sz w:val="22"/>
          <w:szCs w:val="22"/>
        </w:rPr>
        <w:t>HB 2119</w:t>
      </w:r>
      <w:r>
        <w:rPr>
          <w:rFonts w:ascii="Calibri" w:hAnsi="Calibri" w:cs="Calibri"/>
          <w:sz w:val="22"/>
          <w:szCs w:val="22"/>
        </w:rPr>
        <w:tab/>
        <w:t xml:space="preserve">Raising tax on cigarettes </w:t>
      </w:r>
      <w:r w:rsidRPr="005E34A4">
        <w:rPr>
          <w:rFonts w:ascii="Calibri" w:hAnsi="Calibri" w:cs="Calibri"/>
          <w:sz w:val="22"/>
          <w:szCs w:val="22"/>
        </w:rPr>
        <w:t>by $</w:t>
      </w:r>
      <w:r>
        <w:rPr>
          <w:rFonts w:ascii="Calibri" w:hAnsi="Calibri" w:cs="Calibri"/>
          <w:sz w:val="22"/>
          <w:szCs w:val="22"/>
        </w:rPr>
        <w:t xml:space="preserve">2.00 per pack of 20 cigarettes </w:t>
      </w:r>
      <w:r w:rsidRPr="005E34A4">
        <w:rPr>
          <w:rFonts w:ascii="Calibri" w:hAnsi="Calibri" w:cs="Calibri"/>
          <w:sz w:val="22"/>
          <w:szCs w:val="22"/>
        </w:rPr>
        <w:t>beginning in 2018.</w:t>
      </w:r>
      <w:r>
        <w:rPr>
          <w:rFonts w:ascii="Calibri" w:hAnsi="Calibri" w:cs="Calibri"/>
          <w:sz w:val="22"/>
          <w:szCs w:val="22"/>
        </w:rPr>
        <w:t xml:space="preserve"> </w:t>
      </w:r>
      <w:r w:rsidRPr="005E34A4">
        <w:rPr>
          <w:rFonts w:ascii="Calibri" w:hAnsi="Calibri" w:cs="Calibri"/>
          <w:i/>
          <w:sz w:val="22"/>
          <w:szCs w:val="22"/>
        </w:rPr>
        <w:t xml:space="preserve">(Representative </w:t>
      </w:r>
      <w:proofErr w:type="spellStart"/>
      <w:r w:rsidRPr="005E34A4">
        <w:rPr>
          <w:rFonts w:ascii="Calibri" w:hAnsi="Calibri" w:cs="Calibri"/>
          <w:i/>
          <w:sz w:val="22"/>
          <w:szCs w:val="22"/>
        </w:rPr>
        <w:t>Greenlick</w:t>
      </w:r>
      <w:proofErr w:type="spellEnd"/>
      <w:r w:rsidRPr="005E34A4">
        <w:rPr>
          <w:rFonts w:ascii="Calibri" w:hAnsi="Calibri" w:cs="Calibri"/>
          <w:i/>
          <w:sz w:val="22"/>
          <w:szCs w:val="22"/>
        </w:rPr>
        <w:t>)</w:t>
      </w:r>
    </w:p>
    <w:p w:rsidR="00B57DA3" w:rsidRDefault="00B57DA3" w:rsidP="00134A8D">
      <w:pPr>
        <w:spacing w:after="0"/>
        <w:ind w:left="2160" w:hanging="1440"/>
        <w:rPr>
          <w:rFonts w:ascii="Calibri" w:hAnsi="Calibri" w:cs="Calibri"/>
          <w:sz w:val="22"/>
          <w:szCs w:val="22"/>
        </w:rPr>
      </w:pPr>
    </w:p>
    <w:p w:rsidR="005E34A4" w:rsidRPr="009946B4" w:rsidRDefault="009946B4" w:rsidP="00134A8D">
      <w:pPr>
        <w:spacing w:after="0"/>
        <w:ind w:left="2160" w:hanging="1440"/>
        <w:rPr>
          <w:rFonts w:ascii="Calibri" w:hAnsi="Calibri" w:cs="Calibri"/>
          <w:sz w:val="22"/>
          <w:szCs w:val="22"/>
        </w:rPr>
      </w:pPr>
      <w:r w:rsidRPr="009946B4">
        <w:rPr>
          <w:rFonts w:ascii="Calibri" w:hAnsi="Calibri" w:cs="Calibri"/>
          <w:sz w:val="22"/>
          <w:szCs w:val="22"/>
        </w:rPr>
        <w:t>HB 2406</w:t>
      </w:r>
      <w:r w:rsidRPr="009946B4">
        <w:rPr>
          <w:rFonts w:ascii="Calibri" w:hAnsi="Calibri" w:cs="Calibri"/>
          <w:sz w:val="22"/>
          <w:szCs w:val="22"/>
        </w:rPr>
        <w:tab/>
        <w:t xml:space="preserve">Increases cigarette tax by $1.69 per pack of 20 cigarettes beginning in 2018. Provides for distribution of increase in revenue to General Fund. </w:t>
      </w:r>
      <w:r w:rsidRPr="009946B4">
        <w:rPr>
          <w:rFonts w:ascii="Calibri" w:hAnsi="Calibri" w:cs="Calibri"/>
          <w:i/>
          <w:sz w:val="22"/>
          <w:szCs w:val="22"/>
        </w:rPr>
        <w:t xml:space="preserve">(Representative Lively, Representative </w:t>
      </w:r>
      <w:proofErr w:type="spellStart"/>
      <w:r w:rsidRPr="009946B4">
        <w:rPr>
          <w:rFonts w:ascii="Calibri" w:hAnsi="Calibri" w:cs="Calibri"/>
          <w:i/>
          <w:sz w:val="22"/>
          <w:szCs w:val="22"/>
        </w:rPr>
        <w:t>Nosse</w:t>
      </w:r>
      <w:proofErr w:type="spellEnd"/>
      <w:r w:rsidRPr="009946B4">
        <w:rPr>
          <w:rFonts w:ascii="Calibri" w:hAnsi="Calibri" w:cs="Calibri"/>
          <w:i/>
          <w:sz w:val="22"/>
          <w:szCs w:val="22"/>
        </w:rPr>
        <w:t>)</w:t>
      </w:r>
    </w:p>
    <w:p w:rsidR="009946B4" w:rsidRDefault="009946B4" w:rsidP="00134A8D">
      <w:pPr>
        <w:spacing w:after="0"/>
        <w:ind w:left="2160" w:hanging="1440"/>
        <w:rPr>
          <w:rFonts w:ascii="Calibri" w:hAnsi="Calibri" w:cs="Calibri"/>
          <w:sz w:val="22"/>
          <w:szCs w:val="22"/>
        </w:rPr>
      </w:pPr>
    </w:p>
    <w:p w:rsidR="003627D2" w:rsidRPr="003627D2" w:rsidRDefault="003627D2" w:rsidP="00134A8D">
      <w:pPr>
        <w:spacing w:after="0"/>
        <w:ind w:left="2160" w:hanging="1440"/>
        <w:rPr>
          <w:rFonts w:asciiTheme="minorHAnsi" w:hAnsiTheme="minorHAnsi" w:cstheme="minorHAnsi"/>
          <w:sz w:val="22"/>
          <w:szCs w:val="22"/>
        </w:rPr>
      </w:pPr>
      <w:r w:rsidRPr="003627D2">
        <w:rPr>
          <w:rFonts w:asciiTheme="minorHAnsi" w:hAnsiTheme="minorHAnsi" w:cstheme="minorHAnsi"/>
          <w:sz w:val="22"/>
          <w:szCs w:val="22"/>
        </w:rPr>
        <w:t>HB 2662</w:t>
      </w:r>
      <w:r w:rsidRPr="003627D2">
        <w:rPr>
          <w:rFonts w:asciiTheme="minorHAnsi" w:hAnsiTheme="minorHAnsi" w:cstheme="minorHAnsi"/>
          <w:sz w:val="22"/>
          <w:szCs w:val="22"/>
        </w:rPr>
        <w:tab/>
        <w:t xml:space="preserve">Increases cigarette tax by $1.60 per pack of 20 cigarettes beginning in 2018 and removes per-unit max tax. </w:t>
      </w:r>
      <w:r w:rsidRPr="003627D2">
        <w:rPr>
          <w:rFonts w:asciiTheme="minorHAnsi" w:hAnsiTheme="minorHAnsi" w:cstheme="minorHAnsi"/>
          <w:i/>
          <w:sz w:val="22"/>
          <w:szCs w:val="22"/>
        </w:rPr>
        <w:t xml:space="preserve">(Representative </w:t>
      </w:r>
      <w:proofErr w:type="spellStart"/>
      <w:r w:rsidRPr="003627D2">
        <w:rPr>
          <w:rFonts w:asciiTheme="minorHAnsi" w:hAnsiTheme="minorHAnsi" w:cstheme="minorHAnsi"/>
          <w:i/>
          <w:sz w:val="22"/>
          <w:szCs w:val="22"/>
        </w:rPr>
        <w:t>Keny-Guyer</w:t>
      </w:r>
      <w:proofErr w:type="spellEnd"/>
      <w:r w:rsidRPr="003627D2">
        <w:rPr>
          <w:rFonts w:asciiTheme="minorHAnsi" w:hAnsiTheme="minorHAnsi" w:cstheme="minorHAnsi"/>
          <w:i/>
          <w:sz w:val="22"/>
          <w:szCs w:val="22"/>
        </w:rPr>
        <w:t xml:space="preserve">, Senator Steiner Hayward, Representative </w:t>
      </w:r>
      <w:proofErr w:type="spellStart"/>
      <w:r w:rsidRPr="003627D2">
        <w:rPr>
          <w:rFonts w:asciiTheme="minorHAnsi" w:hAnsiTheme="minorHAnsi" w:cstheme="minorHAnsi"/>
          <w:i/>
          <w:sz w:val="22"/>
          <w:szCs w:val="22"/>
        </w:rPr>
        <w:t>Piluso</w:t>
      </w:r>
      <w:proofErr w:type="spellEnd"/>
      <w:r w:rsidRPr="003627D2">
        <w:rPr>
          <w:rFonts w:asciiTheme="minorHAnsi" w:hAnsiTheme="minorHAnsi" w:cstheme="minorHAnsi"/>
          <w:i/>
          <w:sz w:val="22"/>
          <w:szCs w:val="22"/>
        </w:rPr>
        <w:t>)</w:t>
      </w:r>
    </w:p>
    <w:p w:rsidR="0065458D" w:rsidRDefault="0065458D" w:rsidP="00134A8D">
      <w:pPr>
        <w:spacing w:after="0"/>
        <w:ind w:left="2160" w:hanging="1440"/>
        <w:rPr>
          <w:rFonts w:ascii="Calibri" w:hAnsi="Calibri" w:cs="Calibri"/>
          <w:sz w:val="22"/>
          <w:szCs w:val="22"/>
        </w:rPr>
      </w:pPr>
    </w:p>
    <w:p w:rsidR="009946B4" w:rsidRDefault="0065458D" w:rsidP="00134A8D">
      <w:pPr>
        <w:spacing w:after="0"/>
        <w:ind w:left="2160" w:hanging="1440"/>
        <w:rPr>
          <w:rFonts w:ascii="Calibri" w:hAnsi="Calibri" w:cs="Calibri"/>
          <w:i/>
          <w:sz w:val="22"/>
          <w:szCs w:val="22"/>
        </w:rPr>
      </w:pPr>
      <w:r w:rsidRPr="0065458D">
        <w:rPr>
          <w:rFonts w:ascii="Calibri" w:hAnsi="Calibri" w:cs="Calibri"/>
          <w:sz w:val="22"/>
          <w:szCs w:val="22"/>
        </w:rPr>
        <w:t>SB 180</w:t>
      </w:r>
      <w:r w:rsidRPr="0065458D">
        <w:rPr>
          <w:rFonts w:ascii="Calibri" w:hAnsi="Calibri" w:cs="Calibri"/>
          <w:sz w:val="22"/>
          <w:szCs w:val="22"/>
        </w:rPr>
        <w:tab/>
        <w:t>Defines inhalant-form nicotine. Imposes a 95% of wholesale tax on inhalant nicotine, and a 70% wholesale tax on inhalant delivery systems.</w:t>
      </w:r>
      <w:r w:rsidRPr="0065458D">
        <w:rPr>
          <w:rFonts w:ascii="Calibri" w:hAnsi="Calibri" w:cs="Calibri"/>
          <w:i/>
          <w:sz w:val="22"/>
          <w:szCs w:val="22"/>
        </w:rPr>
        <w:t xml:space="preserve"> (Senate Interim Committee on Finance and Revenue)</w:t>
      </w:r>
    </w:p>
    <w:p w:rsidR="00A01617" w:rsidRDefault="00A01617" w:rsidP="00A01617">
      <w:pPr>
        <w:pStyle w:val="ListParagraph"/>
        <w:ind w:left="0" w:firstLine="720"/>
        <w:rPr>
          <w:rFonts w:ascii="Calibri" w:hAnsi="Calibri" w:cs="Calibri"/>
          <w:b/>
          <w:sz w:val="22"/>
          <w:szCs w:val="22"/>
        </w:rPr>
      </w:pPr>
    </w:p>
    <w:p w:rsidR="00A01617" w:rsidRPr="009F47E8" w:rsidRDefault="00A01617" w:rsidP="00A01617">
      <w:pPr>
        <w:pStyle w:val="ListParagraph"/>
        <w:ind w:left="0" w:firstLine="720"/>
        <w:rPr>
          <w:rFonts w:ascii="Calibri" w:hAnsi="Calibri" w:cs="Calibri"/>
          <w:b/>
          <w:sz w:val="22"/>
          <w:szCs w:val="22"/>
        </w:rPr>
      </w:pPr>
      <w:r w:rsidRPr="009F47E8">
        <w:rPr>
          <w:rFonts w:ascii="Calibri" w:hAnsi="Calibri" w:cs="Calibri"/>
          <w:b/>
          <w:sz w:val="22"/>
          <w:szCs w:val="22"/>
        </w:rPr>
        <w:t xml:space="preserve">Tobacco </w:t>
      </w:r>
      <w:r w:rsidR="0012439B">
        <w:rPr>
          <w:rFonts w:ascii="Calibri" w:hAnsi="Calibri" w:cs="Calibri"/>
          <w:b/>
          <w:sz w:val="22"/>
          <w:szCs w:val="22"/>
        </w:rPr>
        <w:t xml:space="preserve">Master </w:t>
      </w:r>
      <w:r w:rsidRPr="009F47E8">
        <w:rPr>
          <w:rFonts w:ascii="Calibri" w:hAnsi="Calibri" w:cs="Calibri"/>
          <w:b/>
          <w:sz w:val="22"/>
          <w:szCs w:val="22"/>
        </w:rPr>
        <w:t xml:space="preserve">Settlement </w:t>
      </w:r>
      <w:r w:rsidR="003848C6">
        <w:rPr>
          <w:rFonts w:ascii="Calibri" w:hAnsi="Calibri" w:cs="Calibri"/>
          <w:b/>
          <w:sz w:val="22"/>
          <w:szCs w:val="22"/>
        </w:rPr>
        <w:t xml:space="preserve">Agreement </w:t>
      </w:r>
      <w:r w:rsidRPr="009F47E8">
        <w:rPr>
          <w:rFonts w:ascii="Calibri" w:hAnsi="Calibri" w:cs="Calibri"/>
          <w:b/>
          <w:sz w:val="22"/>
          <w:szCs w:val="22"/>
        </w:rPr>
        <w:t>Funds Account</w:t>
      </w:r>
    </w:p>
    <w:p w:rsidR="00A01617" w:rsidRDefault="00A01617" w:rsidP="00A01617">
      <w:pPr>
        <w:pStyle w:val="ListParagraph"/>
        <w:ind w:left="0" w:firstLine="720"/>
        <w:rPr>
          <w:rFonts w:ascii="Calibri" w:hAnsi="Calibri" w:cs="Calibri"/>
          <w:sz w:val="22"/>
          <w:szCs w:val="22"/>
        </w:rPr>
      </w:pPr>
    </w:p>
    <w:p w:rsidR="00A01617" w:rsidRDefault="00A01617" w:rsidP="00A01617">
      <w:pPr>
        <w:pStyle w:val="ListParagraph"/>
        <w:ind w:left="2160" w:hanging="1440"/>
        <w:rPr>
          <w:rFonts w:ascii="Calibri" w:hAnsi="Calibri" w:cs="Calibri"/>
          <w:i/>
          <w:sz w:val="22"/>
          <w:szCs w:val="22"/>
        </w:rPr>
      </w:pPr>
      <w:r w:rsidRPr="009F47E8">
        <w:rPr>
          <w:rFonts w:ascii="Calibri" w:hAnsi="Calibri" w:cs="Calibri"/>
          <w:sz w:val="22"/>
          <w:szCs w:val="22"/>
        </w:rPr>
        <w:t>SB 5539</w:t>
      </w:r>
      <w:r w:rsidRPr="009F47E8">
        <w:rPr>
          <w:rFonts w:ascii="Calibri" w:hAnsi="Calibri" w:cs="Calibri"/>
          <w:sz w:val="22"/>
          <w:szCs w:val="22"/>
        </w:rPr>
        <w:tab/>
        <w:t>Relating to the financial administration of the Tobacco Settlement Funds Account.</w:t>
      </w:r>
      <w:r>
        <w:rPr>
          <w:rFonts w:ascii="Calibri" w:hAnsi="Calibri" w:cs="Calibri"/>
          <w:sz w:val="22"/>
          <w:szCs w:val="22"/>
        </w:rPr>
        <w:t xml:space="preserve"> </w:t>
      </w:r>
      <w:r w:rsidRPr="00331561">
        <w:rPr>
          <w:rFonts w:ascii="Calibri" w:hAnsi="Calibri" w:cs="Calibri"/>
          <w:i/>
          <w:sz w:val="22"/>
          <w:szCs w:val="22"/>
        </w:rPr>
        <w:t>(Oregon Dept. of Administrative Services)</w:t>
      </w:r>
    </w:p>
    <w:p w:rsidR="00A01617" w:rsidRDefault="00A01617" w:rsidP="0027491A">
      <w:pPr>
        <w:pStyle w:val="ListParagraph"/>
        <w:rPr>
          <w:rFonts w:ascii="Calibri" w:hAnsi="Calibri" w:cs="Calibri"/>
          <w:b/>
          <w:sz w:val="22"/>
          <w:szCs w:val="22"/>
        </w:rPr>
      </w:pPr>
    </w:p>
    <w:p w:rsidR="00AA552A" w:rsidRDefault="0027491A" w:rsidP="0027491A">
      <w:pPr>
        <w:pStyle w:val="ListParagraph"/>
        <w:rPr>
          <w:rFonts w:ascii="Calibri" w:hAnsi="Calibri" w:cs="Calibri"/>
          <w:b/>
          <w:sz w:val="22"/>
          <w:szCs w:val="22"/>
        </w:rPr>
      </w:pPr>
      <w:r w:rsidRPr="0027491A">
        <w:rPr>
          <w:rFonts w:ascii="Calibri" w:hAnsi="Calibri" w:cs="Calibri"/>
          <w:b/>
          <w:sz w:val="22"/>
          <w:szCs w:val="22"/>
        </w:rPr>
        <w:lastRenderedPageBreak/>
        <w:t>Tobacco Retail Licensure (TRL)</w:t>
      </w:r>
      <w:r w:rsidRPr="0027491A">
        <w:rPr>
          <w:rFonts w:ascii="Calibri" w:hAnsi="Calibri" w:cs="Calibri"/>
          <w:sz w:val="22"/>
          <w:szCs w:val="22"/>
        </w:rPr>
        <w:t xml:space="preserve"> </w:t>
      </w:r>
      <w:r w:rsidRPr="0027491A">
        <w:rPr>
          <w:rFonts w:ascii="Calibri" w:hAnsi="Calibri" w:cs="Calibri"/>
          <w:b/>
          <w:sz w:val="22"/>
          <w:szCs w:val="22"/>
        </w:rPr>
        <w:br/>
      </w:r>
    </w:p>
    <w:p w:rsidR="00AA552A" w:rsidRPr="00AA552A" w:rsidRDefault="00AA552A" w:rsidP="00AA552A">
      <w:pPr>
        <w:pStyle w:val="ListParagraph"/>
        <w:ind w:left="2160" w:hanging="1440"/>
        <w:rPr>
          <w:rFonts w:ascii="Calibri" w:hAnsi="Calibri" w:cs="Calibri"/>
          <w:b/>
          <w:sz w:val="22"/>
          <w:szCs w:val="22"/>
        </w:rPr>
      </w:pPr>
      <w:r w:rsidRPr="00AA552A">
        <w:rPr>
          <w:rFonts w:ascii="Calibri" w:hAnsi="Calibri" w:cs="Calibri"/>
          <w:sz w:val="22"/>
          <w:szCs w:val="22"/>
        </w:rPr>
        <w:t>SB 235</w:t>
      </w:r>
      <w:r w:rsidRPr="00AA552A">
        <w:rPr>
          <w:rFonts w:ascii="Calibri" w:hAnsi="Calibri" w:cs="Calibri"/>
          <w:b/>
          <w:sz w:val="22"/>
          <w:szCs w:val="22"/>
        </w:rPr>
        <w:tab/>
      </w:r>
      <w:r w:rsidRPr="00AA552A">
        <w:rPr>
          <w:rFonts w:ascii="Calibri" w:hAnsi="Calibri" w:cs="Calibri"/>
          <w:sz w:val="22"/>
          <w:szCs w:val="22"/>
        </w:rPr>
        <w:t xml:space="preserve">Requires businesses that sell tobacco products or inhalant delivery system to have a retail license to sell these products. Local health authority shall regulate and enforce the licensing ordinance. </w:t>
      </w:r>
      <w:r w:rsidRPr="00AA552A">
        <w:rPr>
          <w:rFonts w:ascii="Calibri" w:hAnsi="Calibri" w:cs="Calibri"/>
          <w:i/>
          <w:sz w:val="22"/>
          <w:szCs w:val="22"/>
        </w:rPr>
        <w:t>(Senate Interim Committee on Human Services and Early Childhood)</w:t>
      </w:r>
    </w:p>
    <w:p w:rsidR="00233030" w:rsidRPr="00233030" w:rsidRDefault="00233030" w:rsidP="00233030">
      <w:pPr>
        <w:ind w:left="2160" w:hanging="1440"/>
        <w:rPr>
          <w:rFonts w:ascii="Calibri" w:hAnsi="Calibri" w:cs="Calibri"/>
          <w:b/>
          <w:sz w:val="22"/>
          <w:szCs w:val="22"/>
        </w:rPr>
      </w:pPr>
      <w:r w:rsidRPr="00233030">
        <w:rPr>
          <w:rFonts w:ascii="Calibri" w:hAnsi="Calibri" w:cs="Calibri"/>
          <w:b/>
          <w:sz w:val="22"/>
          <w:szCs w:val="22"/>
        </w:rPr>
        <w:t>Indoor Clean Air Act</w:t>
      </w:r>
      <w:r>
        <w:rPr>
          <w:rFonts w:ascii="Calibri" w:hAnsi="Calibri" w:cs="Calibri"/>
          <w:b/>
          <w:sz w:val="22"/>
          <w:szCs w:val="22"/>
        </w:rPr>
        <w:t xml:space="preserve"> (ICAA)</w:t>
      </w:r>
    </w:p>
    <w:p w:rsidR="00233030" w:rsidRDefault="00233030" w:rsidP="00233030">
      <w:pPr>
        <w:ind w:left="2160" w:hanging="1440"/>
        <w:rPr>
          <w:rFonts w:ascii="Calibri" w:hAnsi="Calibri" w:cs="Calibri"/>
          <w:i/>
          <w:sz w:val="22"/>
          <w:szCs w:val="22"/>
        </w:rPr>
      </w:pPr>
      <w:r w:rsidRPr="00A66252">
        <w:rPr>
          <w:rFonts w:ascii="Calibri" w:hAnsi="Calibri" w:cs="Calibri"/>
          <w:sz w:val="22"/>
          <w:szCs w:val="22"/>
        </w:rPr>
        <w:t>SB 307</w:t>
      </w:r>
      <w:r w:rsidRPr="00A66252">
        <w:rPr>
          <w:rFonts w:ascii="Calibri" w:hAnsi="Calibri" w:cs="Calibri"/>
          <w:sz w:val="22"/>
          <w:szCs w:val="22"/>
        </w:rPr>
        <w:tab/>
        <w:t>Allows an exemption to the to the Oregon Indoor Clean Air Act (ICAA), for consumption of marijuana items in designated areas of premises for which temporary event or cannabis lounge license has been issued by the OLCC.</w:t>
      </w:r>
      <w:r>
        <w:rPr>
          <w:rFonts w:ascii="Calibri" w:hAnsi="Calibri" w:cs="Calibri"/>
          <w:sz w:val="22"/>
          <w:szCs w:val="22"/>
        </w:rPr>
        <w:t xml:space="preserve"> </w:t>
      </w:r>
      <w:r w:rsidRPr="00A66252">
        <w:rPr>
          <w:rFonts w:ascii="Calibri" w:hAnsi="Calibri" w:cs="Calibri"/>
          <w:i/>
          <w:sz w:val="22"/>
          <w:szCs w:val="22"/>
        </w:rPr>
        <w:t>(Joint Interim Committee on Marijuana Legalization)</w:t>
      </w:r>
    </w:p>
    <w:p w:rsidR="0012439B" w:rsidRDefault="0012439B" w:rsidP="00233030">
      <w:pPr>
        <w:pStyle w:val="ListParagraph"/>
        <w:ind w:left="2160" w:hanging="1440"/>
        <w:rPr>
          <w:rFonts w:ascii="Calibri" w:hAnsi="Calibri" w:cs="Calibri"/>
          <w:b/>
          <w:sz w:val="22"/>
          <w:szCs w:val="22"/>
        </w:rPr>
      </w:pPr>
      <w:r>
        <w:rPr>
          <w:rFonts w:ascii="Calibri" w:hAnsi="Calibri" w:cs="Calibri"/>
          <w:b/>
          <w:sz w:val="22"/>
          <w:szCs w:val="22"/>
        </w:rPr>
        <w:t>Smoking in Cars with Kids</w:t>
      </w:r>
    </w:p>
    <w:p w:rsidR="0012439B" w:rsidRDefault="0012439B" w:rsidP="00233030">
      <w:pPr>
        <w:pStyle w:val="ListParagraph"/>
        <w:ind w:left="2160" w:hanging="1440"/>
        <w:rPr>
          <w:rFonts w:ascii="Calibri" w:hAnsi="Calibri" w:cs="Calibri"/>
          <w:sz w:val="22"/>
          <w:szCs w:val="22"/>
        </w:rPr>
      </w:pPr>
    </w:p>
    <w:p w:rsidR="0012439B" w:rsidRPr="0012439B" w:rsidRDefault="0012439B" w:rsidP="00233030">
      <w:pPr>
        <w:pStyle w:val="ListParagraph"/>
        <w:ind w:left="2160" w:hanging="1440"/>
        <w:rPr>
          <w:rFonts w:ascii="Calibri" w:hAnsi="Calibri" w:cs="Calibri"/>
          <w:sz w:val="22"/>
          <w:szCs w:val="22"/>
        </w:rPr>
      </w:pPr>
      <w:r w:rsidRPr="0012439B">
        <w:rPr>
          <w:rFonts w:ascii="Calibri" w:hAnsi="Calibri" w:cs="Calibri"/>
          <w:sz w:val="22"/>
          <w:szCs w:val="22"/>
        </w:rPr>
        <w:t>SB 122</w:t>
      </w:r>
      <w:r>
        <w:rPr>
          <w:rFonts w:ascii="Calibri" w:hAnsi="Calibri" w:cs="Calibri"/>
          <w:sz w:val="22"/>
          <w:szCs w:val="22"/>
        </w:rPr>
        <w:tab/>
      </w:r>
      <w:r w:rsidRPr="0012439B">
        <w:rPr>
          <w:rFonts w:ascii="Calibri" w:hAnsi="Calibri" w:cs="Calibri"/>
          <w:sz w:val="22"/>
          <w:szCs w:val="22"/>
        </w:rPr>
        <w:t xml:space="preserve">Smoking in a motor vehicle when a person under 18 years of age is in the </w:t>
      </w:r>
      <w:r>
        <w:rPr>
          <w:rFonts w:ascii="Calibri" w:hAnsi="Calibri" w:cs="Calibri"/>
          <w:sz w:val="22"/>
          <w:szCs w:val="22"/>
        </w:rPr>
        <w:t xml:space="preserve">motor vehicle a primary offense instead of a secondary offense. </w:t>
      </w:r>
    </w:p>
    <w:p w:rsidR="0012439B" w:rsidRDefault="0012439B" w:rsidP="00233030">
      <w:pPr>
        <w:pStyle w:val="ListParagraph"/>
        <w:ind w:left="2160" w:hanging="1440"/>
        <w:rPr>
          <w:rFonts w:ascii="Calibri" w:hAnsi="Calibri" w:cs="Calibri"/>
          <w:b/>
          <w:sz w:val="22"/>
          <w:szCs w:val="22"/>
        </w:rPr>
      </w:pPr>
    </w:p>
    <w:p w:rsidR="00233030" w:rsidRPr="00233030" w:rsidRDefault="00233030" w:rsidP="00233030">
      <w:pPr>
        <w:pStyle w:val="ListParagraph"/>
        <w:ind w:left="2160" w:hanging="1440"/>
        <w:rPr>
          <w:rFonts w:ascii="Calibri" w:hAnsi="Calibri" w:cs="Calibri"/>
          <w:b/>
          <w:sz w:val="22"/>
          <w:szCs w:val="22"/>
        </w:rPr>
      </w:pPr>
      <w:r w:rsidRPr="00233030">
        <w:rPr>
          <w:rFonts w:ascii="Calibri" w:hAnsi="Calibri" w:cs="Calibri"/>
          <w:b/>
          <w:sz w:val="22"/>
          <w:szCs w:val="22"/>
        </w:rPr>
        <w:t>Imported Tobacco</w:t>
      </w:r>
    </w:p>
    <w:p w:rsidR="00233030" w:rsidRPr="00233030" w:rsidRDefault="00233030" w:rsidP="00233030">
      <w:pPr>
        <w:pStyle w:val="ListParagraph"/>
        <w:ind w:left="2160" w:hanging="1440"/>
        <w:rPr>
          <w:rFonts w:ascii="Calibri" w:hAnsi="Calibri" w:cs="Calibri"/>
          <w:sz w:val="22"/>
          <w:szCs w:val="22"/>
        </w:rPr>
      </w:pPr>
    </w:p>
    <w:p w:rsidR="00233030" w:rsidRPr="005220C2" w:rsidRDefault="00233030" w:rsidP="00233030">
      <w:pPr>
        <w:pStyle w:val="ListParagraph"/>
        <w:ind w:left="2160" w:hanging="1440"/>
        <w:rPr>
          <w:rFonts w:ascii="Calibri" w:hAnsi="Calibri" w:cs="Calibri"/>
          <w:i/>
          <w:sz w:val="22"/>
          <w:szCs w:val="22"/>
        </w:rPr>
      </w:pPr>
      <w:r w:rsidRPr="00233030">
        <w:rPr>
          <w:rFonts w:ascii="Calibri" w:hAnsi="Calibri" w:cs="Calibri"/>
          <w:sz w:val="22"/>
          <w:szCs w:val="22"/>
        </w:rPr>
        <w:t>HB 2084</w:t>
      </w:r>
      <w:r w:rsidRPr="00233030">
        <w:rPr>
          <w:rFonts w:ascii="Calibri" w:hAnsi="Calibri" w:cs="Calibri"/>
          <w:sz w:val="22"/>
          <w:szCs w:val="22"/>
        </w:rPr>
        <w:tab/>
        <w:t>Department of Revenue shall create a list of persons that sell imported tobacco in Oregon that do not require age verification or fail to pay tax. (</w:t>
      </w:r>
      <w:r w:rsidRPr="005220C2">
        <w:rPr>
          <w:rFonts w:ascii="Calibri" w:hAnsi="Calibri" w:cs="Calibri"/>
          <w:i/>
          <w:sz w:val="22"/>
          <w:szCs w:val="22"/>
        </w:rPr>
        <w:t>House Interim Committee on Revenue)</w:t>
      </w:r>
    </w:p>
    <w:p w:rsidR="003848C6" w:rsidRPr="0027491A" w:rsidRDefault="003848C6" w:rsidP="003848C6">
      <w:pPr>
        <w:shd w:val="clear" w:color="auto" w:fill="B8CCE4" w:themeFill="accent1" w:themeFillTint="66"/>
        <w:rPr>
          <w:rFonts w:ascii="Calibri" w:hAnsi="Calibri" w:cs="Calibri"/>
          <w:b/>
          <w:sz w:val="22"/>
          <w:szCs w:val="22"/>
          <w:u w:val="single"/>
        </w:rPr>
      </w:pPr>
      <w:r>
        <w:rPr>
          <w:rFonts w:ascii="Calibri" w:hAnsi="Calibri" w:cs="Calibri"/>
          <w:b/>
          <w:sz w:val="22"/>
          <w:szCs w:val="22"/>
        </w:rPr>
        <w:t>Relating</w:t>
      </w:r>
      <w:r w:rsidRPr="0027491A">
        <w:rPr>
          <w:rFonts w:ascii="Calibri" w:hAnsi="Calibri" w:cs="Calibri"/>
          <w:b/>
          <w:sz w:val="22"/>
          <w:szCs w:val="22"/>
        </w:rPr>
        <w:t xml:space="preserve"> to Nutrition</w:t>
      </w:r>
    </w:p>
    <w:p w:rsidR="003848C6" w:rsidRPr="005A5A18" w:rsidRDefault="003848C6" w:rsidP="003848C6">
      <w:pPr>
        <w:ind w:left="2160" w:hanging="1440"/>
        <w:rPr>
          <w:rFonts w:asciiTheme="minorHAnsi" w:hAnsiTheme="minorHAnsi" w:cstheme="minorHAnsi"/>
          <w:sz w:val="22"/>
          <w:szCs w:val="22"/>
        </w:rPr>
      </w:pPr>
      <w:r w:rsidRPr="005A5A18">
        <w:rPr>
          <w:rFonts w:asciiTheme="minorHAnsi" w:hAnsiTheme="minorHAnsi" w:cstheme="minorHAnsi"/>
          <w:sz w:val="22"/>
          <w:szCs w:val="22"/>
        </w:rPr>
        <w:t>HB 2256</w:t>
      </w:r>
      <w:r w:rsidRPr="005A5A18">
        <w:rPr>
          <w:rFonts w:asciiTheme="minorHAnsi" w:hAnsiTheme="minorHAnsi" w:cstheme="minorHAnsi"/>
          <w:sz w:val="22"/>
          <w:szCs w:val="22"/>
        </w:rPr>
        <w:tab/>
      </w:r>
      <w:proofErr w:type="gramStart"/>
      <w:r w:rsidRPr="005A5A18">
        <w:rPr>
          <w:rFonts w:asciiTheme="minorHAnsi" w:hAnsiTheme="minorHAnsi" w:cstheme="minorHAnsi"/>
          <w:sz w:val="22"/>
          <w:szCs w:val="22"/>
        </w:rPr>
        <w:t>Defines</w:t>
      </w:r>
      <w:proofErr w:type="gramEnd"/>
      <w:r w:rsidRPr="005A5A18">
        <w:rPr>
          <w:rFonts w:asciiTheme="minorHAnsi" w:hAnsiTheme="minorHAnsi" w:cstheme="minorHAnsi"/>
          <w:sz w:val="22"/>
          <w:szCs w:val="22"/>
        </w:rPr>
        <w:t xml:space="preserve"> dietary supplements as food for purposes of Oregon Food Law and laws regulating sanitation for food and food establishments. </w:t>
      </w:r>
      <w:r w:rsidRPr="005A5A18">
        <w:rPr>
          <w:rFonts w:asciiTheme="minorHAnsi" w:hAnsiTheme="minorHAnsi" w:cstheme="minorHAnsi"/>
          <w:i/>
          <w:sz w:val="22"/>
          <w:szCs w:val="22"/>
        </w:rPr>
        <w:t>(Governor Kate Brown for State Department of Agriculture)</w:t>
      </w:r>
    </w:p>
    <w:p w:rsidR="003848C6" w:rsidRPr="005A5A18" w:rsidRDefault="003848C6" w:rsidP="003848C6">
      <w:pPr>
        <w:spacing w:after="0"/>
        <w:ind w:left="2160" w:hanging="1440"/>
        <w:rPr>
          <w:rFonts w:ascii="Calibri" w:hAnsi="Calibri" w:cs="Calibri"/>
          <w:sz w:val="22"/>
          <w:szCs w:val="22"/>
        </w:rPr>
      </w:pPr>
      <w:r w:rsidRPr="005A5A18">
        <w:rPr>
          <w:rFonts w:ascii="Calibri" w:hAnsi="Calibri" w:cs="Calibri"/>
          <w:sz w:val="22"/>
          <w:szCs w:val="22"/>
        </w:rPr>
        <w:t>HB</w:t>
      </w:r>
      <w:r w:rsidRPr="005A5A18">
        <w:rPr>
          <w:rFonts w:ascii="Calibri" w:hAnsi="Calibri" w:cs="Calibri"/>
          <w:b/>
          <w:sz w:val="22"/>
          <w:szCs w:val="22"/>
        </w:rPr>
        <w:t xml:space="preserve"> </w:t>
      </w:r>
      <w:r w:rsidRPr="005A5A18">
        <w:rPr>
          <w:rFonts w:ascii="Calibri" w:hAnsi="Calibri" w:cs="Calibri"/>
          <w:sz w:val="22"/>
          <w:szCs w:val="22"/>
        </w:rPr>
        <w:t>2438</w:t>
      </w:r>
      <w:r w:rsidRPr="005A5A18">
        <w:rPr>
          <w:rFonts w:ascii="Calibri" w:hAnsi="Calibri" w:cs="Calibri"/>
          <w:b/>
          <w:sz w:val="22"/>
          <w:szCs w:val="22"/>
        </w:rPr>
        <w:tab/>
      </w:r>
      <w:r w:rsidRPr="005A5A18">
        <w:rPr>
          <w:rFonts w:ascii="Calibri" w:hAnsi="Calibri" w:cs="Calibri"/>
          <w:sz w:val="22"/>
          <w:szCs w:val="22"/>
        </w:rPr>
        <w:t xml:space="preserve">Requires Department of Human Services to operate a pilot project to study prohibiting the purchase of “foods of minimal nutritional value” for SNAP recipients. </w:t>
      </w:r>
      <w:r w:rsidRPr="005A5A18">
        <w:rPr>
          <w:rFonts w:ascii="Calibri" w:hAnsi="Calibri" w:cs="Calibri"/>
          <w:i/>
          <w:sz w:val="22"/>
          <w:szCs w:val="22"/>
        </w:rPr>
        <w:t xml:space="preserve">(Representative Parrish, Representative </w:t>
      </w:r>
      <w:proofErr w:type="spellStart"/>
      <w:r w:rsidRPr="005A5A18">
        <w:rPr>
          <w:rFonts w:ascii="Calibri" w:hAnsi="Calibri" w:cs="Calibri"/>
          <w:i/>
          <w:sz w:val="22"/>
          <w:szCs w:val="22"/>
        </w:rPr>
        <w:t>Nearman</w:t>
      </w:r>
      <w:proofErr w:type="spellEnd"/>
      <w:r w:rsidRPr="005A5A18">
        <w:rPr>
          <w:rFonts w:ascii="Calibri" w:hAnsi="Calibri" w:cs="Calibri"/>
          <w:i/>
          <w:sz w:val="22"/>
          <w:szCs w:val="22"/>
        </w:rPr>
        <w:t>)</w:t>
      </w:r>
    </w:p>
    <w:p w:rsidR="003848C6" w:rsidRPr="005A5A18" w:rsidRDefault="003848C6" w:rsidP="003848C6">
      <w:pPr>
        <w:spacing w:after="0"/>
        <w:rPr>
          <w:rFonts w:ascii="Calibri" w:hAnsi="Calibri" w:cs="Calibri"/>
          <w:b/>
          <w:sz w:val="22"/>
          <w:szCs w:val="22"/>
        </w:rPr>
      </w:pPr>
    </w:p>
    <w:p w:rsidR="003848C6" w:rsidRDefault="003848C6" w:rsidP="003848C6">
      <w:pPr>
        <w:spacing w:after="0"/>
        <w:ind w:left="2160" w:hanging="1440"/>
        <w:rPr>
          <w:rFonts w:ascii="Calibri" w:hAnsi="Calibri" w:cs="Calibri"/>
          <w:i/>
          <w:sz w:val="22"/>
          <w:szCs w:val="22"/>
        </w:rPr>
      </w:pPr>
      <w:r w:rsidRPr="005A5A18">
        <w:rPr>
          <w:rFonts w:ascii="Calibri" w:hAnsi="Calibri" w:cs="Calibri"/>
          <w:sz w:val="22"/>
          <w:szCs w:val="22"/>
        </w:rPr>
        <w:t>HB 2454</w:t>
      </w:r>
      <w:r w:rsidRPr="005A5A18">
        <w:rPr>
          <w:rFonts w:ascii="Calibri" w:hAnsi="Calibri" w:cs="Calibri"/>
          <w:b/>
          <w:sz w:val="22"/>
          <w:szCs w:val="22"/>
        </w:rPr>
        <w:tab/>
      </w:r>
      <w:r w:rsidRPr="005A5A18">
        <w:rPr>
          <w:rFonts w:ascii="Calibri" w:hAnsi="Calibri" w:cs="Calibri"/>
          <w:sz w:val="22"/>
          <w:szCs w:val="22"/>
        </w:rPr>
        <w:t xml:space="preserve">Provides personal income tax credit for costs associated with growing produce. </w:t>
      </w:r>
      <w:r w:rsidRPr="005A5A18">
        <w:rPr>
          <w:rFonts w:ascii="Calibri" w:hAnsi="Calibri" w:cs="Calibri"/>
          <w:i/>
          <w:sz w:val="22"/>
          <w:szCs w:val="22"/>
        </w:rPr>
        <w:t>(Representative Parrish)</w:t>
      </w:r>
    </w:p>
    <w:p w:rsidR="009F47E8" w:rsidRPr="009F47E8" w:rsidRDefault="009F47E8" w:rsidP="009F47E8">
      <w:pPr>
        <w:pStyle w:val="ListParagraph"/>
        <w:ind w:left="0" w:firstLine="720"/>
        <w:rPr>
          <w:rFonts w:ascii="Calibri" w:hAnsi="Calibri" w:cs="Calibri"/>
          <w:color w:val="000000"/>
          <w:sz w:val="22"/>
          <w:szCs w:val="22"/>
        </w:rPr>
      </w:pPr>
    </w:p>
    <w:p w:rsidR="003848C6" w:rsidRPr="0027491A" w:rsidRDefault="003848C6" w:rsidP="003848C6">
      <w:pPr>
        <w:shd w:val="clear" w:color="auto" w:fill="B8CCE4" w:themeFill="accent1" w:themeFillTint="66"/>
        <w:rPr>
          <w:rFonts w:ascii="Calibri" w:hAnsi="Calibri" w:cs="Calibri"/>
          <w:b/>
          <w:sz w:val="22"/>
          <w:szCs w:val="22"/>
          <w:u w:val="single"/>
        </w:rPr>
      </w:pPr>
      <w:r>
        <w:rPr>
          <w:rFonts w:ascii="Calibri" w:hAnsi="Calibri" w:cs="Calibri"/>
          <w:b/>
          <w:sz w:val="22"/>
          <w:szCs w:val="22"/>
        </w:rPr>
        <w:t>Relating to Alcohol</w:t>
      </w:r>
    </w:p>
    <w:p w:rsidR="003848C6" w:rsidRPr="0027491A" w:rsidRDefault="003848C6" w:rsidP="003848C6">
      <w:pPr>
        <w:pStyle w:val="ListParagraph"/>
        <w:rPr>
          <w:rFonts w:ascii="Calibri" w:hAnsi="Calibri" w:cs="Calibri"/>
          <w:b/>
          <w:sz w:val="22"/>
          <w:szCs w:val="22"/>
        </w:rPr>
      </w:pPr>
      <w:r>
        <w:rPr>
          <w:rFonts w:ascii="Calibri" w:hAnsi="Calibri" w:cs="Calibri"/>
          <w:b/>
          <w:sz w:val="22"/>
          <w:szCs w:val="22"/>
        </w:rPr>
        <w:t>Distilled Liquor Privatization</w:t>
      </w:r>
      <w:r w:rsidRPr="0027491A">
        <w:rPr>
          <w:rFonts w:ascii="Calibri" w:hAnsi="Calibri" w:cs="Calibri"/>
          <w:sz w:val="22"/>
          <w:szCs w:val="22"/>
        </w:rPr>
        <w:t xml:space="preserve"> </w:t>
      </w:r>
    </w:p>
    <w:p w:rsidR="003848C6" w:rsidRDefault="003848C6" w:rsidP="003848C6">
      <w:pPr>
        <w:ind w:left="2160" w:hanging="1440"/>
        <w:rPr>
          <w:rFonts w:ascii="Calibri" w:hAnsi="Calibri" w:cs="Calibri"/>
          <w:i/>
          <w:sz w:val="22"/>
          <w:szCs w:val="22"/>
        </w:rPr>
      </w:pPr>
      <w:r w:rsidRPr="002F38FF">
        <w:rPr>
          <w:rFonts w:ascii="Calibri" w:hAnsi="Calibri" w:cs="Calibri"/>
          <w:sz w:val="22"/>
          <w:szCs w:val="22"/>
        </w:rPr>
        <w:t xml:space="preserve">HB 2032 </w:t>
      </w:r>
      <w:r w:rsidRPr="002F38FF">
        <w:rPr>
          <w:rFonts w:ascii="Calibri" w:hAnsi="Calibri" w:cs="Calibri"/>
          <w:sz w:val="22"/>
          <w:szCs w:val="22"/>
        </w:rPr>
        <w:tab/>
      </w:r>
      <w:proofErr w:type="gramStart"/>
      <w:r w:rsidRPr="002F38FF">
        <w:rPr>
          <w:rFonts w:ascii="Calibri" w:hAnsi="Calibri" w:cs="Calibri"/>
          <w:sz w:val="22"/>
          <w:szCs w:val="22"/>
        </w:rPr>
        <w:t>Creates</w:t>
      </w:r>
      <w:proofErr w:type="gramEnd"/>
      <w:r w:rsidRPr="002F38FF">
        <w:rPr>
          <w:rFonts w:ascii="Calibri" w:hAnsi="Calibri" w:cs="Calibri"/>
          <w:sz w:val="22"/>
          <w:szCs w:val="22"/>
        </w:rPr>
        <w:t xml:space="preserve"> a task force to identify and develop proposals for the privatization of the sale of distilled liquors. </w:t>
      </w:r>
      <w:r w:rsidRPr="002F38FF">
        <w:rPr>
          <w:rFonts w:ascii="Calibri" w:hAnsi="Calibri" w:cs="Calibri"/>
          <w:i/>
          <w:sz w:val="22"/>
          <w:szCs w:val="22"/>
        </w:rPr>
        <w:t>(Representative Clem)</w:t>
      </w:r>
    </w:p>
    <w:p w:rsidR="003848C6" w:rsidRDefault="003848C6" w:rsidP="003848C6">
      <w:pPr>
        <w:ind w:left="2160" w:hanging="1440"/>
        <w:rPr>
          <w:rFonts w:ascii="Calibri" w:hAnsi="Calibri" w:cs="Calibri"/>
          <w:sz w:val="22"/>
          <w:szCs w:val="22"/>
        </w:rPr>
      </w:pPr>
    </w:p>
    <w:p w:rsidR="003848C6" w:rsidRDefault="003848C6" w:rsidP="003848C6">
      <w:pPr>
        <w:shd w:val="clear" w:color="auto" w:fill="B8CCE4" w:themeFill="accent1" w:themeFillTint="66"/>
        <w:rPr>
          <w:rFonts w:ascii="Calibri" w:hAnsi="Calibri" w:cs="Calibri"/>
          <w:b/>
          <w:sz w:val="22"/>
          <w:szCs w:val="22"/>
        </w:rPr>
      </w:pPr>
      <w:r>
        <w:rPr>
          <w:rFonts w:ascii="Calibri" w:hAnsi="Calibri" w:cs="Calibri"/>
          <w:b/>
          <w:sz w:val="22"/>
          <w:szCs w:val="22"/>
        </w:rPr>
        <w:lastRenderedPageBreak/>
        <w:t>Relating to Physical Activity</w:t>
      </w:r>
    </w:p>
    <w:p w:rsidR="003848C6" w:rsidRDefault="003848C6" w:rsidP="003848C6">
      <w:pPr>
        <w:pStyle w:val="ListParagraph"/>
        <w:ind w:left="2160" w:hanging="1440"/>
        <w:rPr>
          <w:rFonts w:ascii="Calibri" w:hAnsi="Calibri" w:cs="Calibri"/>
          <w:i/>
          <w:sz w:val="22"/>
          <w:szCs w:val="22"/>
        </w:rPr>
      </w:pPr>
      <w:r w:rsidRPr="00274CDC">
        <w:rPr>
          <w:rFonts w:ascii="Calibri" w:hAnsi="Calibri" w:cs="Calibri"/>
          <w:sz w:val="22"/>
          <w:szCs w:val="22"/>
        </w:rPr>
        <w:t>SB 4</w:t>
      </w:r>
      <w:r w:rsidRPr="00274CDC">
        <w:rPr>
          <w:rFonts w:ascii="Calibri" w:hAnsi="Calibri" w:cs="Calibri"/>
          <w:sz w:val="22"/>
          <w:szCs w:val="22"/>
        </w:rPr>
        <w:tab/>
        <w:t xml:space="preserve">Directs State Board of Education to adopt rules that prorate number of minutes required for instruction in physical education under certain circumstances. </w:t>
      </w:r>
      <w:r w:rsidRPr="00274CDC">
        <w:rPr>
          <w:rFonts w:ascii="Calibri" w:hAnsi="Calibri" w:cs="Calibri"/>
          <w:i/>
          <w:sz w:val="22"/>
          <w:szCs w:val="22"/>
        </w:rPr>
        <w:t>(Senator Courtney)</w:t>
      </w:r>
    </w:p>
    <w:p w:rsidR="0027491A" w:rsidRDefault="0027491A" w:rsidP="0027491A">
      <w:pPr>
        <w:pStyle w:val="ListParagraph"/>
        <w:spacing w:after="0"/>
        <w:ind w:left="0"/>
        <w:rPr>
          <w:rFonts w:ascii="Calibri" w:hAnsi="Calibri" w:cs="Calibri"/>
          <w:sz w:val="22"/>
          <w:szCs w:val="22"/>
        </w:rPr>
      </w:pPr>
    </w:p>
    <w:p w:rsidR="003848C6" w:rsidRDefault="003848C6" w:rsidP="003848C6">
      <w:pPr>
        <w:pStyle w:val="ListParagraph"/>
        <w:shd w:val="clear" w:color="auto" w:fill="B8CCE4" w:themeFill="accent1" w:themeFillTint="66"/>
        <w:spacing w:after="0"/>
        <w:ind w:left="0"/>
        <w:rPr>
          <w:rFonts w:ascii="Calibri" w:hAnsi="Calibri" w:cs="Calibri"/>
          <w:b/>
          <w:color w:val="000000"/>
          <w:sz w:val="22"/>
          <w:szCs w:val="22"/>
        </w:rPr>
      </w:pPr>
      <w:r w:rsidRPr="0027491A">
        <w:rPr>
          <w:rFonts w:ascii="Calibri" w:hAnsi="Calibri" w:cs="Calibri"/>
          <w:b/>
          <w:sz w:val="22"/>
          <w:szCs w:val="22"/>
        </w:rPr>
        <w:t xml:space="preserve">Relating to </w:t>
      </w:r>
      <w:r w:rsidRPr="0027491A">
        <w:rPr>
          <w:rFonts w:ascii="Calibri" w:hAnsi="Calibri" w:cs="Calibri"/>
          <w:b/>
          <w:color w:val="000000"/>
          <w:sz w:val="22"/>
          <w:szCs w:val="22"/>
        </w:rPr>
        <w:t>Health Systems</w:t>
      </w:r>
    </w:p>
    <w:p w:rsidR="003848C6" w:rsidRPr="00320CBA" w:rsidRDefault="003848C6" w:rsidP="003848C6">
      <w:pPr>
        <w:pStyle w:val="ListParagraph"/>
        <w:spacing w:after="0"/>
        <w:ind w:left="0"/>
        <w:rPr>
          <w:rFonts w:ascii="Calibri" w:hAnsi="Calibri" w:cs="Calibri"/>
          <w:b/>
          <w:sz w:val="22"/>
          <w:szCs w:val="22"/>
        </w:rPr>
      </w:pPr>
    </w:p>
    <w:p w:rsidR="003848C6" w:rsidRPr="00A01617" w:rsidRDefault="003848C6" w:rsidP="003848C6">
      <w:pPr>
        <w:spacing w:after="0"/>
        <w:ind w:firstLine="720"/>
        <w:rPr>
          <w:rFonts w:asciiTheme="minorHAnsi" w:hAnsiTheme="minorHAnsi" w:cstheme="minorHAnsi"/>
          <w:b/>
          <w:sz w:val="22"/>
          <w:szCs w:val="22"/>
        </w:rPr>
      </w:pPr>
      <w:r w:rsidRPr="00A01617">
        <w:rPr>
          <w:rFonts w:asciiTheme="minorHAnsi" w:hAnsiTheme="minorHAnsi" w:cstheme="minorHAnsi"/>
          <w:b/>
          <w:sz w:val="22"/>
          <w:szCs w:val="22"/>
        </w:rPr>
        <w:t>Coordinated Care Organizations</w:t>
      </w:r>
    </w:p>
    <w:p w:rsidR="003848C6" w:rsidRDefault="003848C6" w:rsidP="003848C6">
      <w:pPr>
        <w:pStyle w:val="ListParagraph"/>
        <w:spacing w:after="0"/>
        <w:ind w:left="2160" w:hanging="1440"/>
        <w:rPr>
          <w:rFonts w:asciiTheme="minorHAnsi" w:hAnsiTheme="minorHAnsi" w:cstheme="minorHAnsi"/>
          <w:sz w:val="22"/>
          <w:szCs w:val="22"/>
        </w:rPr>
      </w:pPr>
    </w:p>
    <w:p w:rsidR="003848C6" w:rsidRPr="00320CBA" w:rsidRDefault="003848C6" w:rsidP="003848C6">
      <w:pPr>
        <w:pStyle w:val="ListParagraph"/>
        <w:spacing w:after="0"/>
        <w:ind w:left="2160" w:hanging="1440"/>
        <w:rPr>
          <w:rFonts w:asciiTheme="minorHAnsi" w:hAnsiTheme="minorHAnsi" w:cstheme="minorHAnsi"/>
          <w:sz w:val="22"/>
          <w:szCs w:val="22"/>
        </w:rPr>
      </w:pPr>
      <w:r w:rsidRPr="00320CBA">
        <w:rPr>
          <w:rFonts w:asciiTheme="minorHAnsi" w:hAnsiTheme="minorHAnsi" w:cstheme="minorHAnsi"/>
          <w:sz w:val="22"/>
          <w:szCs w:val="22"/>
        </w:rPr>
        <w:t>HB 2122</w:t>
      </w:r>
      <w:r w:rsidRPr="00320CBA">
        <w:rPr>
          <w:rFonts w:asciiTheme="minorHAnsi" w:hAnsiTheme="minorHAnsi" w:cstheme="minorHAnsi"/>
          <w:b/>
          <w:sz w:val="22"/>
          <w:szCs w:val="22"/>
        </w:rPr>
        <w:tab/>
      </w:r>
      <w:r w:rsidRPr="00320CBA">
        <w:rPr>
          <w:rFonts w:asciiTheme="minorHAnsi" w:hAnsiTheme="minorHAnsi" w:cstheme="minorHAnsi"/>
          <w:sz w:val="22"/>
          <w:szCs w:val="22"/>
        </w:rPr>
        <w:t xml:space="preserve">Requires Coordinated Care Organizations (CCOs) to be community-based nonprofit organizations, have a local governing body and distribute at least 80% of payments to providers using alternative methodologies. </w:t>
      </w:r>
      <w:r w:rsidRPr="00320CBA">
        <w:rPr>
          <w:rFonts w:asciiTheme="minorHAnsi" w:hAnsiTheme="minorHAnsi" w:cstheme="minorHAnsi"/>
          <w:i/>
          <w:sz w:val="22"/>
          <w:szCs w:val="22"/>
        </w:rPr>
        <w:t xml:space="preserve">(Representative </w:t>
      </w:r>
      <w:proofErr w:type="spellStart"/>
      <w:r w:rsidRPr="00320CBA">
        <w:rPr>
          <w:rFonts w:asciiTheme="minorHAnsi" w:hAnsiTheme="minorHAnsi" w:cstheme="minorHAnsi"/>
          <w:i/>
          <w:sz w:val="22"/>
          <w:szCs w:val="22"/>
        </w:rPr>
        <w:t>Greenlick</w:t>
      </w:r>
      <w:proofErr w:type="spellEnd"/>
      <w:r w:rsidRPr="00320CBA">
        <w:rPr>
          <w:rFonts w:asciiTheme="minorHAnsi" w:hAnsiTheme="minorHAnsi" w:cstheme="minorHAnsi"/>
          <w:i/>
          <w:sz w:val="22"/>
          <w:szCs w:val="22"/>
        </w:rPr>
        <w:t>)</w:t>
      </w:r>
    </w:p>
    <w:p w:rsidR="003848C6" w:rsidRPr="00320CBA" w:rsidRDefault="003848C6" w:rsidP="003848C6">
      <w:pPr>
        <w:pStyle w:val="ListParagraph"/>
        <w:spacing w:after="0"/>
        <w:ind w:left="0"/>
        <w:rPr>
          <w:rFonts w:ascii="Calibri" w:hAnsi="Calibri" w:cs="Calibri"/>
          <w:sz w:val="22"/>
          <w:szCs w:val="22"/>
        </w:rPr>
      </w:pPr>
      <w:r w:rsidRPr="00320CBA">
        <w:rPr>
          <w:rFonts w:ascii="Calibri" w:hAnsi="Calibri" w:cs="Calibri"/>
          <w:sz w:val="22"/>
          <w:szCs w:val="22"/>
        </w:rPr>
        <w:tab/>
      </w:r>
    </w:p>
    <w:p w:rsidR="003848C6" w:rsidRPr="00320CBA" w:rsidRDefault="003848C6" w:rsidP="003848C6">
      <w:pPr>
        <w:pStyle w:val="ListParagraph"/>
        <w:spacing w:after="0"/>
        <w:ind w:left="2160" w:hanging="1440"/>
        <w:rPr>
          <w:rFonts w:ascii="Calibri" w:hAnsi="Calibri" w:cs="Calibri"/>
          <w:i/>
          <w:sz w:val="22"/>
          <w:szCs w:val="22"/>
        </w:rPr>
      </w:pPr>
      <w:r w:rsidRPr="00320CBA">
        <w:rPr>
          <w:rFonts w:ascii="Calibri" w:hAnsi="Calibri" w:cs="Calibri"/>
          <w:sz w:val="22"/>
          <w:szCs w:val="22"/>
        </w:rPr>
        <w:t>HB 2304</w:t>
      </w:r>
      <w:r w:rsidRPr="00320CBA">
        <w:rPr>
          <w:rFonts w:ascii="Calibri" w:hAnsi="Calibri" w:cs="Calibri"/>
          <w:sz w:val="22"/>
          <w:szCs w:val="22"/>
        </w:rPr>
        <w:tab/>
        <w:t>Modifies definition of certain support specialists. Requires CCO</w:t>
      </w:r>
      <w:r>
        <w:rPr>
          <w:rFonts w:ascii="Calibri" w:hAnsi="Calibri" w:cs="Calibri"/>
          <w:sz w:val="22"/>
          <w:szCs w:val="22"/>
        </w:rPr>
        <w:t>s</w:t>
      </w:r>
      <w:r w:rsidRPr="00320CBA">
        <w:rPr>
          <w:rFonts w:ascii="Calibri" w:hAnsi="Calibri" w:cs="Calibri"/>
          <w:sz w:val="22"/>
          <w:szCs w:val="22"/>
        </w:rPr>
        <w:t xml:space="preserve"> to ensure access to peer support specialists. OHA may adopt qualification criteria for traditional health workers used by CCO. </w:t>
      </w:r>
      <w:r w:rsidRPr="00320CBA">
        <w:rPr>
          <w:rFonts w:ascii="Calibri" w:hAnsi="Calibri" w:cs="Calibri"/>
          <w:i/>
          <w:sz w:val="22"/>
          <w:szCs w:val="22"/>
        </w:rPr>
        <w:t>(Governor Kate Brown for Oregon Health Authority)</w:t>
      </w:r>
    </w:p>
    <w:p w:rsidR="003848C6" w:rsidRDefault="003848C6" w:rsidP="003848C6">
      <w:pPr>
        <w:pStyle w:val="ListParagraph"/>
        <w:spacing w:after="0"/>
        <w:ind w:left="2160" w:hanging="1440"/>
        <w:rPr>
          <w:rFonts w:ascii="Calibri" w:hAnsi="Calibri" w:cs="Calibri"/>
          <w:i/>
          <w:sz w:val="22"/>
          <w:szCs w:val="22"/>
        </w:rPr>
      </w:pPr>
    </w:p>
    <w:p w:rsidR="003848C6" w:rsidRDefault="003848C6" w:rsidP="003848C6">
      <w:pPr>
        <w:pStyle w:val="ListParagraph"/>
        <w:spacing w:after="0"/>
        <w:ind w:left="2160" w:hanging="1440"/>
        <w:rPr>
          <w:rFonts w:ascii="Calibri" w:hAnsi="Calibri" w:cs="Calibri"/>
          <w:i/>
          <w:sz w:val="22"/>
          <w:szCs w:val="22"/>
        </w:rPr>
      </w:pPr>
      <w:r w:rsidRPr="00392A6E">
        <w:rPr>
          <w:rFonts w:ascii="Calibri" w:hAnsi="Calibri" w:cs="Calibri"/>
          <w:sz w:val="22"/>
          <w:szCs w:val="22"/>
        </w:rPr>
        <w:t>HB 2675</w:t>
      </w:r>
      <w:r w:rsidRPr="00392A6E">
        <w:rPr>
          <w:rFonts w:ascii="Calibri" w:hAnsi="Calibri" w:cs="Calibri"/>
          <w:sz w:val="22"/>
          <w:szCs w:val="22"/>
        </w:rPr>
        <w:tab/>
        <w:t xml:space="preserve">Requires Community Health Improvement Plans (CHIP) adopted by CCOs and community advisory councils to focus on and develop strategy for integrating physical, behavioral and oral health care services. </w:t>
      </w:r>
      <w:r w:rsidRPr="00392A6E">
        <w:rPr>
          <w:rFonts w:ascii="Calibri" w:hAnsi="Calibri" w:cs="Calibri"/>
          <w:i/>
          <w:sz w:val="22"/>
          <w:szCs w:val="22"/>
        </w:rPr>
        <w:t xml:space="preserve">(Representative </w:t>
      </w:r>
      <w:proofErr w:type="spellStart"/>
      <w:r w:rsidRPr="00392A6E">
        <w:rPr>
          <w:rFonts w:ascii="Calibri" w:hAnsi="Calibri" w:cs="Calibri"/>
          <w:i/>
          <w:sz w:val="22"/>
          <w:szCs w:val="22"/>
        </w:rPr>
        <w:t>Nosse</w:t>
      </w:r>
      <w:proofErr w:type="spellEnd"/>
      <w:r w:rsidRPr="00392A6E">
        <w:rPr>
          <w:rFonts w:ascii="Calibri" w:hAnsi="Calibri" w:cs="Calibri"/>
          <w:i/>
          <w:sz w:val="22"/>
          <w:szCs w:val="22"/>
        </w:rPr>
        <w:t>)</w:t>
      </w:r>
    </w:p>
    <w:p w:rsidR="003848C6" w:rsidRDefault="003848C6" w:rsidP="003848C6">
      <w:pPr>
        <w:pStyle w:val="ListParagraph"/>
        <w:spacing w:after="0"/>
        <w:ind w:left="2160" w:hanging="1440"/>
        <w:rPr>
          <w:rFonts w:ascii="Calibri" w:hAnsi="Calibri" w:cs="Calibri"/>
          <w:i/>
          <w:sz w:val="22"/>
          <w:szCs w:val="22"/>
        </w:rPr>
      </w:pPr>
    </w:p>
    <w:p w:rsidR="003848C6" w:rsidRPr="00A01617" w:rsidRDefault="003848C6" w:rsidP="003848C6">
      <w:pPr>
        <w:ind w:firstLine="720"/>
        <w:rPr>
          <w:rFonts w:ascii="Calibri" w:hAnsi="Calibri" w:cs="Calibri"/>
          <w:b/>
          <w:sz w:val="22"/>
          <w:szCs w:val="22"/>
        </w:rPr>
      </w:pPr>
      <w:r w:rsidRPr="00A01617">
        <w:rPr>
          <w:rFonts w:ascii="Calibri" w:hAnsi="Calibri" w:cs="Calibri"/>
          <w:b/>
          <w:sz w:val="22"/>
          <w:szCs w:val="22"/>
        </w:rPr>
        <w:t>Health Equity</w:t>
      </w:r>
    </w:p>
    <w:p w:rsidR="003848C6" w:rsidRDefault="003848C6" w:rsidP="003848C6">
      <w:pPr>
        <w:ind w:left="2160" w:hanging="1440"/>
        <w:rPr>
          <w:rFonts w:ascii="Calibri" w:hAnsi="Calibri" w:cs="Calibri"/>
          <w:sz w:val="22"/>
          <w:szCs w:val="22"/>
        </w:rPr>
      </w:pPr>
      <w:r w:rsidRPr="00320CBA">
        <w:rPr>
          <w:rFonts w:ascii="Calibri" w:hAnsi="Calibri" w:cs="Calibri"/>
          <w:sz w:val="22"/>
          <w:szCs w:val="22"/>
        </w:rPr>
        <w:t>HB 2261</w:t>
      </w:r>
      <w:r w:rsidRPr="00320CBA">
        <w:rPr>
          <w:rFonts w:ascii="Calibri" w:hAnsi="Calibri" w:cs="Calibri"/>
          <w:sz w:val="22"/>
          <w:szCs w:val="22"/>
        </w:rPr>
        <w:tab/>
        <w:t xml:space="preserve">Expands allowed responsibilities of Youth Development Council to include coordinating statewide services to youth who identify as LGBTQ. </w:t>
      </w:r>
      <w:r w:rsidRPr="00320CBA">
        <w:rPr>
          <w:rFonts w:ascii="Calibri" w:hAnsi="Calibri" w:cs="Calibri"/>
          <w:i/>
          <w:sz w:val="22"/>
          <w:szCs w:val="22"/>
        </w:rPr>
        <w:t>(Governor Kate Brown for Department of Education)</w:t>
      </w:r>
    </w:p>
    <w:p w:rsidR="003848C6" w:rsidRPr="00A01617" w:rsidRDefault="003848C6" w:rsidP="003848C6">
      <w:pPr>
        <w:ind w:firstLine="720"/>
        <w:rPr>
          <w:rFonts w:ascii="Calibri" w:hAnsi="Calibri" w:cs="Calibri"/>
          <w:b/>
          <w:sz w:val="22"/>
          <w:szCs w:val="22"/>
        </w:rPr>
      </w:pPr>
      <w:r w:rsidRPr="00A01617">
        <w:rPr>
          <w:rFonts w:ascii="Calibri" w:hAnsi="Calibri" w:cs="Calibri"/>
          <w:b/>
          <w:sz w:val="22"/>
          <w:szCs w:val="22"/>
        </w:rPr>
        <w:t>Pharmaceuticals</w:t>
      </w:r>
      <w:r>
        <w:rPr>
          <w:rFonts w:ascii="Calibri" w:hAnsi="Calibri" w:cs="Calibri"/>
          <w:b/>
          <w:sz w:val="22"/>
          <w:szCs w:val="22"/>
        </w:rPr>
        <w:t>/Prescriptions</w:t>
      </w:r>
    </w:p>
    <w:p w:rsidR="003848C6" w:rsidRDefault="003848C6" w:rsidP="003848C6">
      <w:pPr>
        <w:ind w:left="2160" w:hanging="1440"/>
        <w:rPr>
          <w:rFonts w:ascii="Calibri" w:hAnsi="Calibri" w:cs="Calibri"/>
          <w:i/>
          <w:sz w:val="22"/>
          <w:szCs w:val="22"/>
        </w:rPr>
      </w:pPr>
      <w:r w:rsidRPr="002F1E8E">
        <w:rPr>
          <w:rFonts w:ascii="Calibri" w:hAnsi="Calibri" w:cs="Calibri"/>
          <w:sz w:val="22"/>
          <w:szCs w:val="22"/>
        </w:rPr>
        <w:t>HB 2116</w:t>
      </w:r>
      <w:r w:rsidRPr="002F1E8E">
        <w:rPr>
          <w:rFonts w:ascii="Calibri" w:hAnsi="Calibri" w:cs="Calibri"/>
          <w:sz w:val="22"/>
          <w:szCs w:val="22"/>
        </w:rPr>
        <w:tab/>
        <w:t xml:space="preserve">Creates </w:t>
      </w:r>
      <w:r>
        <w:rPr>
          <w:rFonts w:ascii="Calibri" w:hAnsi="Calibri" w:cs="Calibri"/>
          <w:i/>
          <w:sz w:val="22"/>
          <w:szCs w:val="22"/>
        </w:rPr>
        <w:t>Help i</w:t>
      </w:r>
      <w:r w:rsidRPr="002F1E8E">
        <w:rPr>
          <w:rFonts w:ascii="Calibri" w:hAnsi="Calibri" w:cs="Calibri"/>
          <w:i/>
          <w:sz w:val="22"/>
          <w:szCs w:val="22"/>
        </w:rPr>
        <w:t>n Cutting Costs for Unusual Pharmaceuticals</w:t>
      </w:r>
      <w:r w:rsidRPr="002F1E8E">
        <w:rPr>
          <w:rFonts w:ascii="Calibri" w:hAnsi="Calibri" w:cs="Calibri"/>
          <w:sz w:val="22"/>
          <w:szCs w:val="22"/>
        </w:rPr>
        <w:t xml:space="preserve"> program in Oregon Health Authority to reimburse high costs incurred by persons in this state to purchase certain pharmaceutical products.</w:t>
      </w:r>
      <w:r>
        <w:rPr>
          <w:rFonts w:ascii="Calibri" w:hAnsi="Calibri" w:cs="Calibri"/>
          <w:sz w:val="22"/>
          <w:szCs w:val="22"/>
        </w:rPr>
        <w:t xml:space="preserve"> (</w:t>
      </w:r>
      <w:r w:rsidRPr="002264ED">
        <w:rPr>
          <w:rFonts w:ascii="Calibri" w:hAnsi="Calibri" w:cs="Calibri"/>
          <w:i/>
          <w:sz w:val="22"/>
          <w:szCs w:val="22"/>
        </w:rPr>
        <w:t xml:space="preserve">Representative </w:t>
      </w:r>
      <w:proofErr w:type="spellStart"/>
      <w:r w:rsidRPr="002264ED">
        <w:rPr>
          <w:rFonts w:ascii="Calibri" w:hAnsi="Calibri" w:cs="Calibri"/>
          <w:i/>
          <w:sz w:val="22"/>
          <w:szCs w:val="22"/>
        </w:rPr>
        <w:t>Greenlick</w:t>
      </w:r>
      <w:proofErr w:type="spellEnd"/>
      <w:r w:rsidRPr="002264ED">
        <w:rPr>
          <w:rFonts w:ascii="Calibri" w:hAnsi="Calibri" w:cs="Calibri"/>
          <w:i/>
          <w:sz w:val="22"/>
          <w:szCs w:val="22"/>
        </w:rPr>
        <w:t>)</w:t>
      </w:r>
    </w:p>
    <w:p w:rsidR="003848C6" w:rsidRPr="002245E7" w:rsidRDefault="003848C6" w:rsidP="003848C6">
      <w:pPr>
        <w:ind w:left="2160" w:hanging="1440"/>
        <w:rPr>
          <w:rFonts w:asciiTheme="minorHAnsi" w:hAnsiTheme="minorHAnsi" w:cstheme="minorHAnsi"/>
          <w:sz w:val="22"/>
          <w:szCs w:val="22"/>
        </w:rPr>
      </w:pPr>
      <w:r w:rsidRPr="002245E7">
        <w:rPr>
          <w:rFonts w:asciiTheme="minorHAnsi" w:hAnsiTheme="minorHAnsi" w:cstheme="minorHAnsi"/>
          <w:sz w:val="22"/>
          <w:szCs w:val="22"/>
        </w:rPr>
        <w:t>SB 270</w:t>
      </w:r>
      <w:r w:rsidRPr="002245E7">
        <w:rPr>
          <w:rFonts w:asciiTheme="minorHAnsi" w:hAnsiTheme="minorHAnsi" w:cstheme="minorHAnsi"/>
          <w:sz w:val="22"/>
          <w:szCs w:val="22"/>
        </w:rPr>
        <w:tab/>
        <w:t xml:space="preserve">Limits opiate prescriptions to adults for outpatient use to no more than a seven-day supply. Limits initial and refill prescription for opiates to minors for outpatient use to no more than a seven-day supply. </w:t>
      </w:r>
      <w:r w:rsidRPr="002245E7">
        <w:rPr>
          <w:rFonts w:asciiTheme="minorHAnsi" w:hAnsiTheme="minorHAnsi" w:cstheme="minorHAnsi"/>
          <w:i/>
          <w:sz w:val="22"/>
          <w:szCs w:val="22"/>
        </w:rPr>
        <w:t>(</w:t>
      </w:r>
      <w:r w:rsidRPr="002245E7">
        <w:rPr>
          <w:rFonts w:asciiTheme="minorHAnsi" w:eastAsiaTheme="minorHAnsi" w:hAnsiTheme="minorHAnsi" w:cstheme="minorHAnsi"/>
          <w:i/>
          <w:sz w:val="22"/>
          <w:szCs w:val="22"/>
        </w:rPr>
        <w:t>Senate Interim Committee on Health Care for Oregon Department of Justice</w:t>
      </w:r>
      <w:r w:rsidRPr="002245E7">
        <w:rPr>
          <w:rFonts w:asciiTheme="minorHAnsi" w:hAnsiTheme="minorHAnsi" w:cstheme="minorHAnsi"/>
          <w:i/>
          <w:sz w:val="22"/>
          <w:szCs w:val="22"/>
        </w:rPr>
        <w:t>)</w:t>
      </w:r>
    </w:p>
    <w:p w:rsidR="003848C6" w:rsidRPr="007E1614" w:rsidRDefault="003848C6" w:rsidP="003848C6">
      <w:pPr>
        <w:spacing w:after="0"/>
        <w:ind w:left="360" w:firstLine="360"/>
        <w:rPr>
          <w:rFonts w:ascii="Calibri" w:hAnsi="Calibri" w:cs="Calibri"/>
          <w:b/>
          <w:sz w:val="22"/>
          <w:szCs w:val="22"/>
        </w:rPr>
      </w:pPr>
      <w:r w:rsidRPr="007E1614">
        <w:rPr>
          <w:rFonts w:ascii="Calibri" w:hAnsi="Calibri" w:cs="Calibri"/>
          <w:b/>
          <w:sz w:val="22"/>
          <w:szCs w:val="22"/>
        </w:rPr>
        <w:t>Oregon State Cancer Registry</w:t>
      </w:r>
    </w:p>
    <w:p w:rsidR="003848C6" w:rsidRPr="007E1614" w:rsidRDefault="003848C6" w:rsidP="003848C6">
      <w:pPr>
        <w:spacing w:after="0"/>
        <w:ind w:left="2160" w:hanging="1440"/>
        <w:rPr>
          <w:rFonts w:asciiTheme="minorHAnsi" w:hAnsiTheme="minorHAnsi" w:cstheme="minorHAnsi"/>
          <w:sz w:val="22"/>
          <w:szCs w:val="22"/>
        </w:rPr>
      </w:pPr>
      <w:r w:rsidRPr="007E1614">
        <w:rPr>
          <w:rFonts w:asciiTheme="minorHAnsi" w:hAnsiTheme="minorHAnsi" w:cstheme="minorHAnsi"/>
          <w:sz w:val="22"/>
          <w:szCs w:val="22"/>
        </w:rPr>
        <w:t>HB 2301</w:t>
      </w:r>
      <w:r w:rsidRPr="007E1614">
        <w:rPr>
          <w:rFonts w:asciiTheme="minorHAnsi" w:hAnsiTheme="minorHAnsi" w:cstheme="minorHAnsi"/>
          <w:sz w:val="22"/>
          <w:szCs w:val="22"/>
        </w:rPr>
        <w:tab/>
        <w:t xml:space="preserve">Expands cancer registry data to include borderline tumors of brain and central nervous system.  </w:t>
      </w:r>
      <w:r w:rsidRPr="007E1614">
        <w:rPr>
          <w:rFonts w:asciiTheme="minorHAnsi" w:hAnsiTheme="minorHAnsi" w:cstheme="minorHAnsi"/>
          <w:i/>
          <w:sz w:val="22"/>
          <w:szCs w:val="22"/>
        </w:rPr>
        <w:t>(</w:t>
      </w:r>
      <w:r w:rsidRPr="007E1614">
        <w:rPr>
          <w:rFonts w:asciiTheme="minorHAnsi" w:hAnsiTheme="minorHAnsi" w:cstheme="minorHAnsi"/>
          <w:i/>
          <w:color w:val="333333"/>
          <w:sz w:val="22"/>
          <w:szCs w:val="22"/>
        </w:rPr>
        <w:t>Governor Kate Brown for Oregon Health Authority</w:t>
      </w:r>
      <w:r w:rsidRPr="007E1614">
        <w:rPr>
          <w:rFonts w:asciiTheme="minorHAnsi" w:hAnsiTheme="minorHAnsi" w:cstheme="minorHAnsi"/>
          <w:i/>
          <w:sz w:val="22"/>
          <w:szCs w:val="22"/>
        </w:rPr>
        <w:t>)</w:t>
      </w:r>
    </w:p>
    <w:p w:rsidR="003848C6" w:rsidRDefault="003848C6" w:rsidP="0027491A">
      <w:pPr>
        <w:pStyle w:val="ListParagraph"/>
        <w:spacing w:after="0"/>
        <w:ind w:left="0"/>
        <w:rPr>
          <w:rFonts w:ascii="Calibri" w:hAnsi="Calibri" w:cs="Calibri"/>
          <w:sz w:val="22"/>
          <w:szCs w:val="22"/>
        </w:rPr>
      </w:pPr>
    </w:p>
    <w:p w:rsidR="0014280D" w:rsidRDefault="0014280D" w:rsidP="0027491A">
      <w:pPr>
        <w:pStyle w:val="ListParagraph"/>
        <w:spacing w:after="0"/>
        <w:ind w:left="0"/>
        <w:rPr>
          <w:rFonts w:ascii="Calibri" w:hAnsi="Calibri" w:cs="Calibri"/>
          <w:sz w:val="22"/>
          <w:szCs w:val="22"/>
        </w:rPr>
      </w:pPr>
    </w:p>
    <w:p w:rsidR="0014280D" w:rsidRDefault="0014280D" w:rsidP="0027491A">
      <w:pPr>
        <w:pStyle w:val="ListParagraph"/>
        <w:spacing w:after="0"/>
        <w:ind w:left="0"/>
        <w:rPr>
          <w:rFonts w:ascii="Calibri" w:hAnsi="Calibri" w:cs="Calibri"/>
          <w:sz w:val="22"/>
          <w:szCs w:val="22"/>
        </w:rPr>
      </w:pPr>
      <w:bookmarkStart w:id="0" w:name="_GoBack"/>
      <w:bookmarkEnd w:id="0"/>
    </w:p>
    <w:p w:rsidR="003848C6" w:rsidRPr="0027491A" w:rsidRDefault="003848C6" w:rsidP="0027491A">
      <w:pPr>
        <w:pStyle w:val="ListParagraph"/>
        <w:spacing w:after="0"/>
        <w:ind w:left="0"/>
        <w:rPr>
          <w:rFonts w:ascii="Calibri" w:hAnsi="Calibri" w:cs="Calibri"/>
          <w:sz w:val="22"/>
          <w:szCs w:val="22"/>
        </w:rPr>
      </w:pPr>
    </w:p>
    <w:p w:rsidR="0027491A" w:rsidRPr="0027491A" w:rsidRDefault="0027491A" w:rsidP="0094395B">
      <w:pPr>
        <w:pStyle w:val="ListParagraph"/>
        <w:shd w:val="clear" w:color="auto" w:fill="B8CCE4" w:themeFill="accent1" w:themeFillTint="66"/>
        <w:spacing w:after="0"/>
        <w:ind w:left="0"/>
        <w:rPr>
          <w:rFonts w:ascii="Calibri" w:hAnsi="Calibri" w:cs="Calibri"/>
          <w:b/>
          <w:sz w:val="22"/>
          <w:szCs w:val="22"/>
        </w:rPr>
      </w:pPr>
      <w:r w:rsidRPr="0027491A">
        <w:rPr>
          <w:rFonts w:ascii="Calibri" w:hAnsi="Calibri" w:cs="Calibri"/>
          <w:b/>
          <w:sz w:val="22"/>
          <w:szCs w:val="22"/>
        </w:rPr>
        <w:lastRenderedPageBreak/>
        <w:t>Relating to Marijuana</w:t>
      </w:r>
    </w:p>
    <w:p w:rsidR="0027491A" w:rsidRDefault="0027491A" w:rsidP="0027491A">
      <w:pPr>
        <w:pStyle w:val="ListParagraph"/>
        <w:spacing w:after="0"/>
        <w:ind w:left="0"/>
        <w:rPr>
          <w:rFonts w:ascii="Calibri" w:hAnsi="Calibri" w:cs="Calibri"/>
          <w:b/>
          <w:sz w:val="22"/>
          <w:szCs w:val="22"/>
        </w:rPr>
      </w:pPr>
    </w:p>
    <w:p w:rsidR="000001C4" w:rsidRPr="000001C4" w:rsidRDefault="000001C4" w:rsidP="000001C4">
      <w:pPr>
        <w:pStyle w:val="ListParagraph"/>
        <w:spacing w:after="0"/>
        <w:ind w:left="2160" w:hanging="1440"/>
        <w:rPr>
          <w:rFonts w:ascii="Calibri" w:hAnsi="Calibri" w:cs="Calibri"/>
          <w:color w:val="333333"/>
          <w:sz w:val="22"/>
          <w:szCs w:val="22"/>
        </w:rPr>
      </w:pPr>
      <w:r w:rsidRPr="000001C4">
        <w:rPr>
          <w:rFonts w:ascii="Calibri" w:hAnsi="Calibri" w:cs="Calibri"/>
          <w:sz w:val="22"/>
          <w:szCs w:val="22"/>
        </w:rPr>
        <w:t>HB 2197</w:t>
      </w:r>
      <w:r w:rsidRPr="000001C4">
        <w:rPr>
          <w:rFonts w:ascii="Calibri" w:hAnsi="Calibri" w:cs="Calibri"/>
          <w:b/>
          <w:sz w:val="22"/>
          <w:szCs w:val="22"/>
        </w:rPr>
        <w:tab/>
      </w:r>
      <w:r w:rsidRPr="000001C4">
        <w:rPr>
          <w:rFonts w:ascii="Calibri" w:hAnsi="Calibri" w:cs="Calibri"/>
          <w:sz w:val="22"/>
          <w:szCs w:val="22"/>
        </w:rPr>
        <w:t xml:space="preserve">Directs Oregon Liquor Control Commission (OLCC) to enter into agreement with a nongovernmental entity that conducts or funds research and data on cannabis and cannabis-derived products. </w:t>
      </w:r>
      <w:r w:rsidRPr="000001C4">
        <w:rPr>
          <w:rFonts w:ascii="Calibri" w:hAnsi="Calibri" w:cs="Calibri"/>
          <w:i/>
          <w:sz w:val="22"/>
          <w:szCs w:val="22"/>
        </w:rPr>
        <w:t>(Joint Interim Committee on Marijuana Legalization)</w:t>
      </w:r>
    </w:p>
    <w:p w:rsidR="000001C4" w:rsidRDefault="000001C4" w:rsidP="0027491A">
      <w:pPr>
        <w:pStyle w:val="ListParagraph"/>
        <w:spacing w:after="0"/>
        <w:ind w:left="0"/>
        <w:rPr>
          <w:rFonts w:ascii="Helvetica" w:hAnsi="Helvetica"/>
          <w:color w:val="333333"/>
          <w:sz w:val="21"/>
          <w:szCs w:val="21"/>
        </w:rPr>
      </w:pPr>
    </w:p>
    <w:p w:rsidR="00A173DB" w:rsidRPr="00AD7E25" w:rsidRDefault="00A173DB" w:rsidP="00A173DB">
      <w:pPr>
        <w:pStyle w:val="ListParagraph"/>
        <w:spacing w:after="0"/>
        <w:ind w:left="2160" w:hanging="1440"/>
        <w:rPr>
          <w:rFonts w:asciiTheme="minorHAnsi" w:hAnsiTheme="minorHAnsi" w:cstheme="minorHAnsi"/>
          <w:i/>
          <w:sz w:val="22"/>
          <w:szCs w:val="22"/>
        </w:rPr>
      </w:pPr>
      <w:r w:rsidRPr="00AD7E25">
        <w:rPr>
          <w:rFonts w:asciiTheme="minorHAnsi" w:hAnsiTheme="minorHAnsi" w:cstheme="minorHAnsi"/>
          <w:color w:val="333333"/>
          <w:sz w:val="22"/>
          <w:szCs w:val="22"/>
        </w:rPr>
        <w:t>HB 2198</w:t>
      </w:r>
      <w:r w:rsidRPr="00AD7E25">
        <w:rPr>
          <w:rFonts w:asciiTheme="minorHAnsi" w:hAnsiTheme="minorHAnsi" w:cstheme="minorHAnsi"/>
          <w:color w:val="333333"/>
          <w:sz w:val="22"/>
          <w:szCs w:val="22"/>
        </w:rPr>
        <w:tab/>
      </w:r>
      <w:r w:rsidRPr="00AD7E25">
        <w:rPr>
          <w:rFonts w:asciiTheme="minorHAnsi" w:hAnsiTheme="minorHAnsi" w:cstheme="minorHAnsi"/>
          <w:sz w:val="22"/>
          <w:szCs w:val="22"/>
        </w:rPr>
        <w:t xml:space="preserve">Creates </w:t>
      </w:r>
      <w:r w:rsidRPr="00AD7E25">
        <w:rPr>
          <w:rFonts w:asciiTheme="minorHAnsi" w:hAnsiTheme="minorHAnsi" w:cstheme="minorHAnsi"/>
          <w:i/>
          <w:sz w:val="22"/>
          <w:szCs w:val="22"/>
        </w:rPr>
        <w:t>Medical Use of Cannabis Board</w:t>
      </w:r>
      <w:r w:rsidRPr="00AD7E25">
        <w:rPr>
          <w:rFonts w:asciiTheme="minorHAnsi" w:hAnsiTheme="minorHAnsi" w:cstheme="minorHAnsi"/>
          <w:sz w:val="22"/>
          <w:szCs w:val="22"/>
        </w:rPr>
        <w:t xml:space="preserve">. </w:t>
      </w:r>
      <w:r w:rsidRPr="00AD7E25">
        <w:rPr>
          <w:rFonts w:asciiTheme="minorHAnsi" w:hAnsiTheme="minorHAnsi" w:cstheme="minorHAnsi"/>
          <w:i/>
          <w:sz w:val="22"/>
          <w:szCs w:val="22"/>
        </w:rPr>
        <w:t>(Joint Interim Committee on Marijuana Legalization)</w:t>
      </w:r>
    </w:p>
    <w:p w:rsidR="00AD7E25" w:rsidRPr="00AD7E25" w:rsidRDefault="00AD7E25" w:rsidP="00A173DB">
      <w:pPr>
        <w:pStyle w:val="ListParagraph"/>
        <w:spacing w:after="0"/>
        <w:ind w:left="2160" w:hanging="1440"/>
        <w:rPr>
          <w:rFonts w:asciiTheme="minorHAnsi" w:hAnsiTheme="minorHAnsi" w:cstheme="minorHAnsi"/>
          <w:color w:val="333333"/>
          <w:sz w:val="22"/>
          <w:szCs w:val="22"/>
        </w:rPr>
      </w:pPr>
    </w:p>
    <w:p w:rsidR="00AD7E25" w:rsidRDefault="00AD7E25" w:rsidP="00AD7E25">
      <w:pPr>
        <w:autoSpaceDE w:val="0"/>
        <w:autoSpaceDN w:val="0"/>
        <w:adjustRightInd w:val="0"/>
        <w:spacing w:after="0"/>
        <w:ind w:left="2160" w:hanging="1440"/>
        <w:rPr>
          <w:rFonts w:asciiTheme="minorHAnsi" w:hAnsiTheme="minorHAnsi" w:cstheme="minorHAnsi"/>
          <w:i/>
          <w:sz w:val="22"/>
          <w:szCs w:val="22"/>
        </w:rPr>
      </w:pPr>
      <w:r w:rsidRPr="00AD7E25">
        <w:rPr>
          <w:rFonts w:asciiTheme="minorHAnsi" w:hAnsiTheme="minorHAnsi" w:cstheme="minorHAnsi"/>
          <w:color w:val="333333"/>
          <w:sz w:val="22"/>
          <w:szCs w:val="22"/>
        </w:rPr>
        <w:t>HB 2199</w:t>
      </w:r>
      <w:r w:rsidRPr="00AD7E25">
        <w:rPr>
          <w:rFonts w:asciiTheme="minorHAnsi" w:hAnsiTheme="minorHAnsi" w:cstheme="minorHAnsi"/>
          <w:color w:val="333333"/>
          <w:sz w:val="22"/>
          <w:szCs w:val="22"/>
        </w:rPr>
        <w:tab/>
      </w:r>
      <w:r w:rsidRPr="00AD7E25">
        <w:rPr>
          <w:rFonts w:asciiTheme="minorHAnsi" w:eastAsiaTheme="minorHAnsi" w:hAnsiTheme="minorHAnsi" w:cstheme="minorHAnsi"/>
          <w:sz w:val="22"/>
          <w:szCs w:val="22"/>
        </w:rPr>
        <w:t>Qualifies  provision  providing  that  cannabis-related  business  license  expires  upon  death  of</w:t>
      </w:r>
      <w:r>
        <w:rPr>
          <w:rFonts w:asciiTheme="minorHAnsi" w:eastAsiaTheme="minorHAnsi" w:hAnsiTheme="minorHAnsi" w:cstheme="minorHAnsi"/>
          <w:sz w:val="22"/>
          <w:szCs w:val="22"/>
        </w:rPr>
        <w:t xml:space="preserve"> licensee. </w:t>
      </w:r>
      <w:r w:rsidRPr="00AD7E25">
        <w:rPr>
          <w:rFonts w:asciiTheme="minorHAnsi" w:hAnsiTheme="minorHAnsi" w:cstheme="minorHAnsi"/>
          <w:i/>
          <w:sz w:val="22"/>
          <w:szCs w:val="22"/>
        </w:rPr>
        <w:t>(Joint Interim Committee on Marijuana Legalization)</w:t>
      </w:r>
    </w:p>
    <w:p w:rsidR="00233030" w:rsidRDefault="00233030" w:rsidP="00AD7E25">
      <w:pPr>
        <w:autoSpaceDE w:val="0"/>
        <w:autoSpaceDN w:val="0"/>
        <w:adjustRightInd w:val="0"/>
        <w:spacing w:after="0"/>
        <w:ind w:left="2160" w:hanging="1440"/>
        <w:rPr>
          <w:rFonts w:asciiTheme="minorHAnsi" w:hAnsiTheme="minorHAnsi" w:cstheme="minorHAnsi"/>
          <w:i/>
          <w:sz w:val="22"/>
          <w:szCs w:val="22"/>
        </w:rPr>
      </w:pPr>
    </w:p>
    <w:p w:rsidR="00071F41" w:rsidRPr="00071F41" w:rsidRDefault="009048B4" w:rsidP="009048B4">
      <w:pPr>
        <w:spacing w:after="0"/>
        <w:ind w:left="2160" w:hanging="1440"/>
        <w:rPr>
          <w:rFonts w:ascii="Calibri" w:hAnsi="Calibri" w:cs="Calibri"/>
          <w:i/>
          <w:sz w:val="22"/>
          <w:szCs w:val="22"/>
        </w:rPr>
      </w:pPr>
      <w:r w:rsidRPr="00071F41">
        <w:rPr>
          <w:rFonts w:ascii="Calibri" w:eastAsiaTheme="minorHAnsi" w:hAnsi="Calibri" w:cs="Calibri"/>
          <w:sz w:val="22"/>
          <w:szCs w:val="22"/>
        </w:rPr>
        <w:t>HB 2200</w:t>
      </w:r>
      <w:r w:rsidRPr="00071F41">
        <w:rPr>
          <w:rFonts w:ascii="Calibri" w:eastAsiaTheme="minorHAnsi" w:hAnsi="Calibri" w:cs="Calibri"/>
          <w:sz w:val="22"/>
          <w:szCs w:val="22"/>
        </w:rPr>
        <w:tab/>
      </w:r>
      <w:r w:rsidRPr="00071F41">
        <w:rPr>
          <w:rFonts w:ascii="Calibri" w:hAnsi="Calibri" w:cs="Calibri"/>
          <w:sz w:val="22"/>
          <w:szCs w:val="22"/>
        </w:rPr>
        <w:t xml:space="preserve">Changes name of Oregon Liquor Control Commission to Oregon Liquor and Cannabis Commission. </w:t>
      </w:r>
      <w:r w:rsidRPr="00071F41">
        <w:rPr>
          <w:rFonts w:ascii="Calibri" w:hAnsi="Calibri" w:cs="Calibri"/>
          <w:i/>
          <w:sz w:val="22"/>
          <w:szCs w:val="22"/>
        </w:rPr>
        <w:t>(Joint Interim Committee on Marijuana Legalization)</w:t>
      </w:r>
    </w:p>
    <w:p w:rsidR="00071F41" w:rsidRPr="00071F41" w:rsidRDefault="00071F41" w:rsidP="009048B4">
      <w:pPr>
        <w:spacing w:after="0"/>
        <w:ind w:left="2160" w:hanging="1440"/>
        <w:rPr>
          <w:rFonts w:ascii="Calibri" w:hAnsi="Calibri" w:cs="Calibri"/>
          <w:i/>
          <w:sz w:val="22"/>
          <w:szCs w:val="22"/>
        </w:rPr>
      </w:pPr>
    </w:p>
    <w:p w:rsidR="00071F41" w:rsidRPr="00071F41" w:rsidRDefault="00071F41" w:rsidP="009048B4">
      <w:pPr>
        <w:spacing w:after="0"/>
        <w:ind w:left="2160" w:hanging="1440"/>
        <w:rPr>
          <w:rFonts w:ascii="Calibri" w:hAnsi="Calibri" w:cs="Calibri"/>
          <w:i/>
          <w:sz w:val="22"/>
          <w:szCs w:val="22"/>
        </w:rPr>
      </w:pPr>
      <w:r w:rsidRPr="00071F41">
        <w:rPr>
          <w:rFonts w:ascii="Calibri" w:hAnsi="Calibri" w:cs="Calibri"/>
          <w:sz w:val="22"/>
          <w:szCs w:val="22"/>
        </w:rPr>
        <w:t>HB 2201</w:t>
      </w:r>
      <w:r w:rsidRPr="00071F41">
        <w:rPr>
          <w:rFonts w:ascii="Calibri" w:hAnsi="Calibri" w:cs="Calibri"/>
          <w:sz w:val="22"/>
          <w:szCs w:val="22"/>
        </w:rPr>
        <w:tab/>
        <w:t xml:space="preserve">Corrects and conforms definitions for "cannabinoid concentrate" and "cannabinoid extract" in laws regulating cannabis. </w:t>
      </w:r>
      <w:r w:rsidRPr="00071F41">
        <w:rPr>
          <w:rFonts w:ascii="Calibri" w:hAnsi="Calibri" w:cs="Calibri"/>
          <w:i/>
          <w:sz w:val="22"/>
          <w:szCs w:val="22"/>
        </w:rPr>
        <w:t>(Joint Interim Committee on Marijuana Legalization)</w:t>
      </w:r>
    </w:p>
    <w:p w:rsidR="00071F41" w:rsidRPr="00071F41" w:rsidRDefault="00071F41" w:rsidP="009048B4">
      <w:pPr>
        <w:spacing w:after="0"/>
        <w:ind w:left="2160" w:hanging="1440"/>
        <w:rPr>
          <w:rFonts w:ascii="Calibri" w:hAnsi="Calibri" w:cs="Calibri"/>
          <w:i/>
          <w:sz w:val="22"/>
          <w:szCs w:val="22"/>
        </w:rPr>
      </w:pPr>
    </w:p>
    <w:p w:rsidR="007B2299" w:rsidRDefault="00071F41" w:rsidP="009048B4">
      <w:pPr>
        <w:spacing w:after="0"/>
        <w:ind w:left="2160" w:hanging="1440"/>
        <w:rPr>
          <w:rFonts w:ascii="Calibri" w:hAnsi="Calibri" w:cs="Calibri"/>
          <w:i/>
          <w:sz w:val="22"/>
          <w:szCs w:val="22"/>
        </w:rPr>
      </w:pPr>
      <w:r w:rsidRPr="00071F41">
        <w:rPr>
          <w:rFonts w:ascii="Calibri" w:hAnsi="Calibri" w:cs="Calibri"/>
          <w:sz w:val="22"/>
          <w:szCs w:val="22"/>
        </w:rPr>
        <w:t>HB 2202</w:t>
      </w:r>
      <w:r w:rsidRPr="00071F41">
        <w:rPr>
          <w:rFonts w:ascii="Calibri" w:hAnsi="Calibri" w:cs="Calibri"/>
          <w:sz w:val="22"/>
          <w:szCs w:val="22"/>
        </w:rPr>
        <w:tab/>
        <w:t xml:space="preserve">Modifies statute under which lien may be imposed against building or premises used to illegally produce, process, sell or use marijuana items. </w:t>
      </w:r>
      <w:r w:rsidRPr="00071F41">
        <w:rPr>
          <w:rFonts w:ascii="Calibri" w:hAnsi="Calibri" w:cs="Calibri"/>
          <w:i/>
          <w:sz w:val="22"/>
          <w:szCs w:val="22"/>
        </w:rPr>
        <w:t>(Joint Interim Committee on Marijuana Legalization)</w:t>
      </w:r>
    </w:p>
    <w:p w:rsidR="007B2299" w:rsidRDefault="007B2299" w:rsidP="009048B4">
      <w:pPr>
        <w:spacing w:after="0"/>
        <w:ind w:left="2160" w:hanging="1440"/>
        <w:rPr>
          <w:rFonts w:ascii="Calibri" w:hAnsi="Calibri" w:cs="Calibri"/>
          <w:sz w:val="22"/>
          <w:szCs w:val="22"/>
        </w:rPr>
      </w:pPr>
    </w:p>
    <w:p w:rsidR="00DD536D" w:rsidRDefault="007B2299" w:rsidP="009048B4">
      <w:pPr>
        <w:spacing w:after="0"/>
        <w:ind w:left="2160" w:hanging="1440"/>
        <w:rPr>
          <w:rFonts w:ascii="Calibri" w:hAnsi="Calibri" w:cs="Calibri"/>
          <w:i/>
          <w:sz w:val="22"/>
          <w:szCs w:val="22"/>
        </w:rPr>
      </w:pPr>
      <w:r w:rsidRPr="007B2299">
        <w:rPr>
          <w:rFonts w:ascii="Calibri" w:hAnsi="Calibri" w:cs="Calibri"/>
          <w:sz w:val="22"/>
          <w:szCs w:val="22"/>
        </w:rPr>
        <w:t>HB 2203</w:t>
      </w:r>
      <w:r w:rsidRPr="007B2299">
        <w:rPr>
          <w:rFonts w:ascii="Calibri" w:hAnsi="Calibri" w:cs="Calibri"/>
          <w:sz w:val="22"/>
          <w:szCs w:val="22"/>
        </w:rPr>
        <w:tab/>
        <w:t xml:space="preserve">Relating to distribution of moneys collected as a tax imposed on the retail sale of marijuana items. </w:t>
      </w:r>
      <w:r w:rsidRPr="007B2299">
        <w:rPr>
          <w:rFonts w:ascii="Calibri" w:hAnsi="Calibri" w:cs="Calibri"/>
          <w:i/>
          <w:sz w:val="22"/>
          <w:szCs w:val="22"/>
        </w:rPr>
        <w:t>(Joint Interim Committee on Marijuana Legalization)</w:t>
      </w:r>
    </w:p>
    <w:p w:rsidR="00DD536D" w:rsidRDefault="00DD536D" w:rsidP="009048B4">
      <w:pPr>
        <w:spacing w:after="0"/>
        <w:ind w:left="2160" w:hanging="1440"/>
        <w:rPr>
          <w:rFonts w:ascii="Calibri" w:hAnsi="Calibri" w:cs="Calibri"/>
          <w:i/>
          <w:sz w:val="22"/>
          <w:szCs w:val="22"/>
        </w:rPr>
      </w:pPr>
    </w:p>
    <w:p w:rsidR="00030E06" w:rsidRDefault="00DD536D" w:rsidP="009048B4">
      <w:pPr>
        <w:spacing w:after="0"/>
        <w:ind w:left="2160" w:hanging="1440"/>
        <w:rPr>
          <w:rFonts w:asciiTheme="minorHAnsi" w:hAnsiTheme="minorHAnsi" w:cstheme="minorHAnsi"/>
          <w:i/>
          <w:sz w:val="22"/>
          <w:szCs w:val="22"/>
        </w:rPr>
      </w:pPr>
      <w:r w:rsidRPr="00DD536D">
        <w:rPr>
          <w:rFonts w:asciiTheme="minorHAnsi" w:hAnsiTheme="minorHAnsi" w:cstheme="minorHAnsi"/>
          <w:sz w:val="22"/>
          <w:szCs w:val="22"/>
        </w:rPr>
        <w:t>HB 2556</w:t>
      </w:r>
      <w:r w:rsidRPr="00DD536D">
        <w:rPr>
          <w:rFonts w:asciiTheme="minorHAnsi" w:hAnsiTheme="minorHAnsi" w:cstheme="minorHAnsi"/>
          <w:sz w:val="22"/>
          <w:szCs w:val="22"/>
        </w:rPr>
        <w:tab/>
        <w:t xml:space="preserve">Restricts sale and delivery of marijuana paraphernalia. </w:t>
      </w:r>
      <w:r w:rsidRPr="00DD536D">
        <w:rPr>
          <w:rFonts w:asciiTheme="minorHAnsi" w:hAnsiTheme="minorHAnsi" w:cstheme="minorHAnsi"/>
          <w:i/>
          <w:sz w:val="22"/>
          <w:szCs w:val="22"/>
        </w:rPr>
        <w:t>(Representative Hack)</w:t>
      </w:r>
    </w:p>
    <w:p w:rsidR="00030E06" w:rsidRDefault="00030E06" w:rsidP="009048B4">
      <w:pPr>
        <w:spacing w:after="0"/>
        <w:ind w:left="2160" w:hanging="1440"/>
        <w:rPr>
          <w:rFonts w:asciiTheme="minorHAnsi" w:hAnsiTheme="minorHAnsi" w:cstheme="minorHAnsi"/>
          <w:i/>
          <w:sz w:val="22"/>
          <w:szCs w:val="22"/>
        </w:rPr>
      </w:pPr>
    </w:p>
    <w:p w:rsidR="0056428C" w:rsidRDefault="00030E06" w:rsidP="009048B4">
      <w:pPr>
        <w:spacing w:after="0"/>
        <w:ind w:left="2160" w:hanging="1440"/>
        <w:rPr>
          <w:rFonts w:asciiTheme="minorHAnsi" w:hAnsiTheme="minorHAnsi" w:cstheme="minorHAnsi"/>
          <w:i/>
          <w:sz w:val="22"/>
          <w:szCs w:val="22"/>
        </w:rPr>
      </w:pPr>
      <w:r w:rsidRPr="00030E06">
        <w:rPr>
          <w:rFonts w:asciiTheme="minorHAnsi" w:hAnsiTheme="minorHAnsi" w:cstheme="minorHAnsi"/>
          <w:sz w:val="22"/>
          <w:szCs w:val="22"/>
        </w:rPr>
        <w:t>SB 108</w:t>
      </w:r>
      <w:r w:rsidRPr="00030E06">
        <w:rPr>
          <w:rFonts w:asciiTheme="minorHAnsi" w:hAnsiTheme="minorHAnsi" w:cstheme="minorHAnsi"/>
          <w:sz w:val="22"/>
          <w:szCs w:val="22"/>
        </w:rPr>
        <w:tab/>
        <w:t xml:space="preserve">Imposes tax on retail sale of marijuana seeds. </w:t>
      </w:r>
      <w:r w:rsidRPr="00030E06">
        <w:rPr>
          <w:rFonts w:asciiTheme="minorHAnsi" w:hAnsiTheme="minorHAnsi" w:cstheme="minorHAnsi"/>
          <w:i/>
          <w:sz w:val="22"/>
          <w:szCs w:val="22"/>
        </w:rPr>
        <w:t>(</w:t>
      </w:r>
      <w:r w:rsidRPr="00030E06">
        <w:rPr>
          <w:rFonts w:asciiTheme="minorHAnsi" w:eastAsiaTheme="minorHAnsi" w:hAnsiTheme="minorHAnsi" w:cstheme="minorHAnsi"/>
          <w:i/>
          <w:sz w:val="22"/>
          <w:szCs w:val="22"/>
        </w:rPr>
        <w:t>Governor Kate Brown</w:t>
      </w:r>
      <w:r w:rsidRPr="00030E06">
        <w:rPr>
          <w:rFonts w:asciiTheme="minorHAnsi" w:hAnsiTheme="minorHAnsi" w:cstheme="minorHAnsi"/>
          <w:i/>
          <w:sz w:val="22"/>
          <w:szCs w:val="22"/>
        </w:rPr>
        <w:t>)</w:t>
      </w:r>
    </w:p>
    <w:p w:rsidR="0056428C" w:rsidRDefault="0056428C" w:rsidP="009048B4">
      <w:pPr>
        <w:spacing w:after="0"/>
        <w:ind w:left="2160" w:hanging="1440"/>
        <w:rPr>
          <w:rFonts w:asciiTheme="minorHAnsi" w:hAnsiTheme="minorHAnsi" w:cstheme="minorHAnsi"/>
          <w:i/>
          <w:sz w:val="22"/>
          <w:szCs w:val="22"/>
        </w:rPr>
      </w:pPr>
    </w:p>
    <w:p w:rsidR="003848C6" w:rsidRDefault="0056428C" w:rsidP="009048B4">
      <w:pPr>
        <w:spacing w:after="0"/>
        <w:ind w:left="2160" w:hanging="1440"/>
        <w:rPr>
          <w:rFonts w:ascii="Calibri" w:hAnsi="Calibri" w:cs="Calibri"/>
          <w:i/>
          <w:sz w:val="22"/>
          <w:szCs w:val="22"/>
        </w:rPr>
      </w:pPr>
      <w:r w:rsidRPr="00323A54">
        <w:rPr>
          <w:rFonts w:asciiTheme="minorHAnsi" w:hAnsiTheme="minorHAnsi" w:cstheme="minorHAnsi"/>
          <w:sz w:val="22"/>
          <w:szCs w:val="22"/>
        </w:rPr>
        <w:t>SB 122</w:t>
      </w:r>
      <w:r w:rsidRPr="00323A54">
        <w:rPr>
          <w:rFonts w:asciiTheme="minorHAnsi" w:hAnsiTheme="minorHAnsi" w:cstheme="minorHAnsi"/>
          <w:i/>
          <w:sz w:val="22"/>
          <w:szCs w:val="22"/>
        </w:rPr>
        <w:tab/>
      </w:r>
      <w:r w:rsidRPr="00323A54">
        <w:rPr>
          <w:rFonts w:ascii="Calibri" w:hAnsi="Calibri" w:cs="Calibri"/>
          <w:sz w:val="22"/>
          <w:szCs w:val="22"/>
        </w:rPr>
        <w:t xml:space="preserve">Changes smoking/vaporizing in a motor vehicle when a person under 18 years of age is in the motor vehicle from a secondary offense to a primary offense. </w:t>
      </w:r>
      <w:r w:rsidRPr="00323A54">
        <w:rPr>
          <w:rFonts w:ascii="Calibri" w:hAnsi="Calibri" w:cs="Calibri"/>
          <w:i/>
          <w:sz w:val="22"/>
          <w:szCs w:val="22"/>
        </w:rPr>
        <w:t>(Senator Riley)</w:t>
      </w:r>
    </w:p>
    <w:p w:rsidR="00AD7E25" w:rsidRPr="00323A54" w:rsidRDefault="00AD7E25" w:rsidP="009048B4">
      <w:pPr>
        <w:spacing w:after="0"/>
        <w:ind w:left="2160" w:hanging="1440"/>
        <w:rPr>
          <w:rFonts w:ascii="Calibri" w:hAnsi="Calibri" w:cs="Calibri"/>
          <w:b/>
          <w:sz w:val="22"/>
          <w:szCs w:val="22"/>
        </w:rPr>
      </w:pPr>
      <w:r w:rsidRPr="00323A54">
        <w:rPr>
          <w:rFonts w:asciiTheme="minorHAnsi" w:hAnsiTheme="minorHAnsi" w:cstheme="minorHAnsi"/>
          <w:vanish/>
          <w:sz w:val="22"/>
          <w:szCs w:val="22"/>
        </w:rPr>
        <w:t>Qualifies provision providing that cannabis-related business license expires upon death of licenseeQualifies provision providing that cannabis-related business license expires upon death of licensee. Qualifies provision providing that cannabis-related business license expires upon death of licensee. Qualifies provision providing that cannabis-related business license expires upon death of licensee. Qualifies provision providing that cannabis-related business license expires upon death of licensee.</w:t>
      </w:r>
    </w:p>
    <w:p w:rsidR="00A01617" w:rsidRDefault="00A01617" w:rsidP="00A01617">
      <w:pPr>
        <w:shd w:val="clear" w:color="auto" w:fill="B8CCE4" w:themeFill="accent1" w:themeFillTint="66"/>
        <w:rPr>
          <w:rFonts w:ascii="Calibri" w:hAnsi="Calibri" w:cs="Calibri"/>
          <w:b/>
          <w:sz w:val="22"/>
          <w:szCs w:val="22"/>
        </w:rPr>
      </w:pPr>
      <w:r>
        <w:rPr>
          <w:rFonts w:ascii="Calibri" w:hAnsi="Calibri" w:cs="Calibri"/>
          <w:b/>
          <w:sz w:val="22"/>
          <w:szCs w:val="22"/>
        </w:rPr>
        <w:t>Relating to Environmental Health</w:t>
      </w:r>
    </w:p>
    <w:p w:rsidR="00A01617" w:rsidRPr="002264ED" w:rsidRDefault="00A01617" w:rsidP="00A01617">
      <w:pPr>
        <w:pStyle w:val="ListParagraph"/>
        <w:ind w:left="2160" w:hanging="1440"/>
        <w:rPr>
          <w:rFonts w:asciiTheme="minorHAnsi" w:hAnsiTheme="minorHAnsi" w:cstheme="minorHAnsi"/>
          <w:sz w:val="22"/>
          <w:szCs w:val="22"/>
        </w:rPr>
      </w:pPr>
      <w:r w:rsidRPr="002264ED">
        <w:rPr>
          <w:rFonts w:asciiTheme="minorHAnsi" w:hAnsiTheme="minorHAnsi" w:cstheme="minorHAnsi"/>
          <w:sz w:val="22"/>
          <w:szCs w:val="22"/>
        </w:rPr>
        <w:t>HB 2236</w:t>
      </w:r>
      <w:r w:rsidRPr="002264ED">
        <w:rPr>
          <w:rFonts w:asciiTheme="minorHAnsi" w:hAnsiTheme="minorHAnsi" w:cstheme="minorHAnsi"/>
          <w:sz w:val="22"/>
          <w:szCs w:val="22"/>
        </w:rPr>
        <w:tab/>
        <w:t xml:space="preserve">Requires Department of Environmental Quality (DEQ) to conduct a study and develop recommendations related to emissions of air contaminants from industrial </w:t>
      </w:r>
      <w:proofErr w:type="gramStart"/>
      <w:r w:rsidRPr="002264ED">
        <w:rPr>
          <w:rFonts w:asciiTheme="minorHAnsi" w:hAnsiTheme="minorHAnsi" w:cstheme="minorHAnsi"/>
          <w:sz w:val="22"/>
          <w:szCs w:val="22"/>
        </w:rPr>
        <w:t>sources</w:t>
      </w:r>
      <w:proofErr w:type="gramEnd"/>
      <w:r w:rsidRPr="002264ED">
        <w:rPr>
          <w:rFonts w:asciiTheme="minorHAnsi" w:hAnsiTheme="minorHAnsi" w:cstheme="minorHAnsi"/>
          <w:sz w:val="22"/>
          <w:szCs w:val="22"/>
        </w:rPr>
        <w:t xml:space="preserve">. </w:t>
      </w:r>
      <w:r w:rsidRPr="002264ED">
        <w:rPr>
          <w:rFonts w:asciiTheme="minorHAnsi" w:hAnsiTheme="minorHAnsi" w:cstheme="minorHAnsi"/>
          <w:i/>
          <w:sz w:val="22"/>
          <w:szCs w:val="22"/>
        </w:rPr>
        <w:t>(Governor Kate Brown)</w:t>
      </w:r>
    </w:p>
    <w:p w:rsidR="00A01617" w:rsidRPr="002264ED" w:rsidRDefault="00A01617" w:rsidP="00A01617">
      <w:pPr>
        <w:spacing w:before="240"/>
        <w:ind w:left="2160" w:hanging="1440"/>
        <w:rPr>
          <w:rFonts w:ascii="Calibri" w:hAnsi="Calibri" w:cs="Calibri"/>
          <w:sz w:val="22"/>
          <w:szCs w:val="22"/>
        </w:rPr>
      </w:pPr>
      <w:r w:rsidRPr="002264ED">
        <w:rPr>
          <w:rFonts w:ascii="Calibri" w:hAnsi="Calibri" w:cs="Calibri"/>
          <w:sz w:val="22"/>
          <w:szCs w:val="22"/>
        </w:rPr>
        <w:t>HB 2269</w:t>
      </w:r>
      <w:r w:rsidRPr="002264ED">
        <w:rPr>
          <w:rFonts w:ascii="Calibri" w:hAnsi="Calibri" w:cs="Calibri"/>
          <w:sz w:val="22"/>
          <w:szCs w:val="22"/>
        </w:rPr>
        <w:tab/>
        <w:t xml:space="preserve">Modifies fee schedule for sources subject to federal operating permit program under Title V of federal Clean Air Act. </w:t>
      </w:r>
      <w:r w:rsidRPr="002264ED">
        <w:rPr>
          <w:rFonts w:ascii="Calibri" w:hAnsi="Calibri" w:cs="Calibri"/>
          <w:i/>
          <w:sz w:val="22"/>
          <w:szCs w:val="22"/>
        </w:rPr>
        <w:t>(Governor Kate Brown for Department of Environmental Quality)</w:t>
      </w:r>
    </w:p>
    <w:p w:rsidR="00A01617" w:rsidRPr="002264ED" w:rsidRDefault="00A01617" w:rsidP="00A01617">
      <w:pPr>
        <w:ind w:left="2160" w:hanging="1440"/>
        <w:rPr>
          <w:rFonts w:ascii="Calibri" w:hAnsi="Calibri" w:cs="Calibri"/>
          <w:b/>
          <w:sz w:val="22"/>
          <w:szCs w:val="22"/>
        </w:rPr>
      </w:pPr>
      <w:r w:rsidRPr="002264ED">
        <w:rPr>
          <w:rFonts w:ascii="Calibri" w:hAnsi="Calibri" w:cs="Calibri"/>
          <w:sz w:val="22"/>
          <w:szCs w:val="22"/>
        </w:rPr>
        <w:lastRenderedPageBreak/>
        <w:t>HB 2669</w:t>
      </w:r>
      <w:r w:rsidRPr="002264ED">
        <w:rPr>
          <w:rFonts w:ascii="Calibri" w:hAnsi="Calibri" w:cs="Calibri"/>
          <w:b/>
          <w:sz w:val="22"/>
          <w:szCs w:val="22"/>
        </w:rPr>
        <w:tab/>
      </w:r>
      <w:r w:rsidRPr="002264ED">
        <w:rPr>
          <w:rFonts w:ascii="Calibri" w:hAnsi="Calibri" w:cs="Calibri"/>
          <w:sz w:val="22"/>
          <w:szCs w:val="22"/>
        </w:rPr>
        <w:t xml:space="preserve">Modifies requirements for local </w:t>
      </w:r>
      <w:r w:rsidRPr="002264ED">
        <w:rPr>
          <w:rFonts w:ascii="Calibri" w:hAnsi="Calibri" w:cs="Calibri"/>
          <w:i/>
          <w:sz w:val="22"/>
          <w:szCs w:val="22"/>
        </w:rPr>
        <w:t xml:space="preserve">Right to </w:t>
      </w:r>
      <w:proofErr w:type="gramStart"/>
      <w:r w:rsidRPr="002264ED">
        <w:rPr>
          <w:rFonts w:ascii="Calibri" w:hAnsi="Calibri" w:cs="Calibri"/>
          <w:i/>
          <w:sz w:val="22"/>
          <w:szCs w:val="22"/>
        </w:rPr>
        <w:t>Know</w:t>
      </w:r>
      <w:proofErr w:type="gramEnd"/>
      <w:r w:rsidRPr="002264ED">
        <w:rPr>
          <w:rFonts w:ascii="Calibri" w:hAnsi="Calibri" w:cs="Calibri"/>
          <w:sz w:val="22"/>
          <w:szCs w:val="22"/>
        </w:rPr>
        <w:t xml:space="preserve"> regulatory programs for toxic substances and harmful substances. </w:t>
      </w:r>
      <w:r w:rsidRPr="002264ED">
        <w:rPr>
          <w:rFonts w:ascii="Calibri" w:hAnsi="Calibri" w:cs="Calibri"/>
          <w:i/>
          <w:sz w:val="22"/>
          <w:szCs w:val="22"/>
        </w:rPr>
        <w:t xml:space="preserve">(Representative </w:t>
      </w:r>
      <w:proofErr w:type="spellStart"/>
      <w:r w:rsidRPr="002264ED">
        <w:rPr>
          <w:rFonts w:ascii="Calibri" w:hAnsi="Calibri" w:cs="Calibri"/>
          <w:i/>
          <w:sz w:val="22"/>
          <w:szCs w:val="22"/>
        </w:rPr>
        <w:t>Nosse</w:t>
      </w:r>
      <w:proofErr w:type="spellEnd"/>
      <w:r w:rsidRPr="002264ED">
        <w:rPr>
          <w:rFonts w:ascii="Calibri" w:hAnsi="Calibri" w:cs="Calibri"/>
          <w:i/>
          <w:sz w:val="22"/>
          <w:szCs w:val="22"/>
        </w:rPr>
        <w:t xml:space="preserve">, Senator Taylor, Representative </w:t>
      </w:r>
      <w:proofErr w:type="spellStart"/>
      <w:r w:rsidRPr="002264ED">
        <w:rPr>
          <w:rFonts w:ascii="Calibri" w:hAnsi="Calibri" w:cs="Calibri"/>
          <w:i/>
          <w:sz w:val="22"/>
          <w:szCs w:val="22"/>
        </w:rPr>
        <w:t>Keny-Guyer</w:t>
      </w:r>
      <w:proofErr w:type="spellEnd"/>
      <w:r w:rsidRPr="002264ED">
        <w:rPr>
          <w:rFonts w:ascii="Calibri" w:hAnsi="Calibri" w:cs="Calibri"/>
          <w:i/>
          <w:sz w:val="22"/>
          <w:szCs w:val="22"/>
        </w:rPr>
        <w:t>)</w:t>
      </w:r>
    </w:p>
    <w:p w:rsidR="00A01617" w:rsidRPr="002264ED" w:rsidRDefault="00A01617" w:rsidP="00A01617">
      <w:pPr>
        <w:ind w:left="2160" w:hanging="1440"/>
        <w:rPr>
          <w:rFonts w:ascii="Calibri" w:hAnsi="Calibri" w:cs="Calibri"/>
          <w:i/>
          <w:sz w:val="22"/>
          <w:szCs w:val="22"/>
        </w:rPr>
      </w:pPr>
      <w:r w:rsidRPr="002264ED">
        <w:rPr>
          <w:rFonts w:ascii="Calibri" w:hAnsi="Calibri" w:cs="Calibri"/>
          <w:sz w:val="22"/>
          <w:szCs w:val="22"/>
        </w:rPr>
        <w:t>HB 2725</w:t>
      </w:r>
      <w:r w:rsidRPr="002264ED">
        <w:rPr>
          <w:rFonts w:ascii="Calibri" w:hAnsi="Calibri" w:cs="Calibri"/>
          <w:b/>
          <w:sz w:val="22"/>
          <w:szCs w:val="22"/>
        </w:rPr>
        <w:tab/>
      </w:r>
      <w:r w:rsidRPr="002264ED">
        <w:rPr>
          <w:rFonts w:ascii="Calibri" w:hAnsi="Calibri" w:cs="Calibri"/>
          <w:sz w:val="22"/>
          <w:szCs w:val="22"/>
        </w:rPr>
        <w:t xml:space="preserve">Requires Environmental Quality Commission to develop and implement woodstove replacement rebate programs. </w:t>
      </w:r>
      <w:r w:rsidRPr="002264ED">
        <w:rPr>
          <w:rFonts w:ascii="Calibri" w:hAnsi="Calibri" w:cs="Calibri"/>
          <w:i/>
          <w:sz w:val="22"/>
          <w:szCs w:val="22"/>
        </w:rPr>
        <w:t xml:space="preserve">(Representative Helm, Senator </w:t>
      </w:r>
      <w:proofErr w:type="spellStart"/>
      <w:r w:rsidRPr="002264ED">
        <w:rPr>
          <w:rFonts w:ascii="Calibri" w:hAnsi="Calibri" w:cs="Calibri"/>
          <w:i/>
          <w:sz w:val="22"/>
          <w:szCs w:val="22"/>
        </w:rPr>
        <w:t>Prozanski</w:t>
      </w:r>
      <w:proofErr w:type="spellEnd"/>
      <w:r w:rsidRPr="002264ED">
        <w:rPr>
          <w:rFonts w:ascii="Calibri" w:hAnsi="Calibri" w:cs="Calibri"/>
          <w:i/>
          <w:sz w:val="22"/>
          <w:szCs w:val="22"/>
        </w:rPr>
        <w:t xml:space="preserve">, Representative </w:t>
      </w:r>
      <w:proofErr w:type="spellStart"/>
      <w:r w:rsidRPr="002264ED">
        <w:rPr>
          <w:rFonts w:ascii="Calibri" w:hAnsi="Calibri" w:cs="Calibri"/>
          <w:i/>
          <w:sz w:val="22"/>
          <w:szCs w:val="22"/>
        </w:rPr>
        <w:t>Keny-Guyer</w:t>
      </w:r>
      <w:proofErr w:type="spellEnd"/>
      <w:r w:rsidRPr="002264ED">
        <w:rPr>
          <w:rFonts w:ascii="Calibri" w:hAnsi="Calibri" w:cs="Calibri"/>
          <w:i/>
          <w:sz w:val="22"/>
          <w:szCs w:val="22"/>
        </w:rPr>
        <w:t>)</w:t>
      </w:r>
    </w:p>
    <w:p w:rsidR="00A01617" w:rsidRPr="002264ED" w:rsidRDefault="00A01617" w:rsidP="00A01617">
      <w:pPr>
        <w:ind w:left="2160" w:hanging="1440"/>
        <w:rPr>
          <w:rFonts w:ascii="Calibri" w:hAnsi="Calibri" w:cs="Calibri"/>
          <w:sz w:val="22"/>
          <w:szCs w:val="22"/>
        </w:rPr>
      </w:pPr>
      <w:r w:rsidRPr="002264ED">
        <w:rPr>
          <w:rFonts w:ascii="Calibri" w:hAnsi="Calibri" w:cs="Calibri"/>
          <w:sz w:val="22"/>
          <w:szCs w:val="22"/>
        </w:rPr>
        <w:t>SB 461</w:t>
      </w:r>
      <w:r w:rsidRPr="002264ED">
        <w:rPr>
          <w:rFonts w:ascii="Calibri" w:hAnsi="Calibri" w:cs="Calibri"/>
          <w:sz w:val="22"/>
          <w:szCs w:val="22"/>
        </w:rPr>
        <w:tab/>
        <w:t xml:space="preserve">Requires Environmental Quality Commission to prepare certain revisions to Oregon's State Implementation Plan under federal Clean Air Act. </w:t>
      </w:r>
      <w:r w:rsidRPr="002264ED">
        <w:rPr>
          <w:rFonts w:ascii="Calibri" w:hAnsi="Calibri" w:cs="Calibri"/>
          <w:i/>
          <w:sz w:val="22"/>
          <w:szCs w:val="22"/>
        </w:rPr>
        <w:t>(</w:t>
      </w:r>
      <w:r w:rsidRPr="002264ED">
        <w:rPr>
          <w:rFonts w:ascii="Calibri" w:eastAsiaTheme="minorHAnsi" w:hAnsi="Calibri" w:cs="Calibri"/>
          <w:i/>
          <w:sz w:val="22"/>
          <w:szCs w:val="22"/>
        </w:rPr>
        <w:t>Senator Thomsen</w:t>
      </w:r>
      <w:r w:rsidRPr="002264ED">
        <w:rPr>
          <w:rFonts w:ascii="Calibri" w:hAnsi="Calibri" w:cs="Calibri"/>
          <w:i/>
          <w:sz w:val="22"/>
          <w:szCs w:val="22"/>
        </w:rPr>
        <w:t>)</w:t>
      </w:r>
    </w:p>
    <w:p w:rsidR="00A01617" w:rsidRPr="0027491A" w:rsidRDefault="00A01617" w:rsidP="00A01617">
      <w:pPr>
        <w:shd w:val="clear" w:color="auto" w:fill="B8CCE4" w:themeFill="accent1" w:themeFillTint="66"/>
        <w:rPr>
          <w:rFonts w:ascii="Calibri" w:hAnsi="Calibri" w:cs="Calibri"/>
          <w:b/>
          <w:sz w:val="22"/>
          <w:szCs w:val="22"/>
          <w:u w:val="single"/>
        </w:rPr>
      </w:pPr>
      <w:r>
        <w:rPr>
          <w:rFonts w:ascii="Calibri" w:hAnsi="Calibri" w:cs="Calibri"/>
          <w:b/>
          <w:sz w:val="22"/>
          <w:szCs w:val="22"/>
        </w:rPr>
        <w:t>Other</w:t>
      </w:r>
    </w:p>
    <w:p w:rsidR="00A01617" w:rsidRPr="003452AA" w:rsidRDefault="00A01617" w:rsidP="00A01617">
      <w:pPr>
        <w:spacing w:after="0"/>
        <w:ind w:left="360"/>
        <w:rPr>
          <w:rFonts w:ascii="Calibri" w:hAnsi="Calibri" w:cs="Calibri"/>
          <w:b/>
          <w:sz w:val="22"/>
          <w:szCs w:val="22"/>
        </w:rPr>
      </w:pPr>
      <w:r>
        <w:rPr>
          <w:rFonts w:ascii="Calibri" w:hAnsi="Calibri" w:cs="Calibri"/>
          <w:sz w:val="22"/>
          <w:szCs w:val="22"/>
        </w:rPr>
        <w:tab/>
      </w:r>
      <w:r w:rsidRPr="003452AA">
        <w:rPr>
          <w:rFonts w:ascii="Calibri" w:hAnsi="Calibri" w:cs="Calibri"/>
          <w:b/>
          <w:sz w:val="22"/>
          <w:szCs w:val="22"/>
        </w:rPr>
        <w:t>Tax Credit</w:t>
      </w:r>
      <w:r>
        <w:rPr>
          <w:rFonts w:ascii="Calibri" w:hAnsi="Calibri" w:cs="Calibri"/>
          <w:b/>
          <w:sz w:val="22"/>
          <w:szCs w:val="22"/>
        </w:rPr>
        <w:t xml:space="preserve"> for Employers</w:t>
      </w:r>
    </w:p>
    <w:p w:rsidR="00A01617" w:rsidRDefault="00A01617" w:rsidP="00A01617">
      <w:pPr>
        <w:pStyle w:val="ListParagraph"/>
        <w:ind w:left="2160" w:hanging="1440"/>
        <w:rPr>
          <w:rFonts w:ascii="Calibri" w:hAnsi="Calibri" w:cs="Calibri"/>
          <w:sz w:val="22"/>
          <w:szCs w:val="22"/>
        </w:rPr>
      </w:pPr>
    </w:p>
    <w:p w:rsidR="00A01617" w:rsidRDefault="00A01617" w:rsidP="00A01617">
      <w:pPr>
        <w:pStyle w:val="ListParagraph"/>
        <w:ind w:left="2160" w:hanging="1440"/>
        <w:rPr>
          <w:rFonts w:ascii="Calibri" w:hAnsi="Calibri" w:cs="Calibri"/>
          <w:i/>
        </w:rPr>
      </w:pPr>
      <w:r>
        <w:rPr>
          <w:rFonts w:ascii="Calibri" w:hAnsi="Calibri" w:cs="Calibri"/>
          <w:sz w:val="22"/>
          <w:szCs w:val="22"/>
        </w:rPr>
        <w:t>SB 543</w:t>
      </w:r>
      <w:r>
        <w:rPr>
          <w:rFonts w:ascii="Calibri" w:hAnsi="Calibri" w:cs="Calibri"/>
          <w:sz w:val="22"/>
          <w:szCs w:val="22"/>
        </w:rPr>
        <w:tab/>
      </w:r>
      <w:r w:rsidRPr="00A909C5">
        <w:rPr>
          <w:rFonts w:ascii="Calibri" w:hAnsi="Calibri" w:cs="Calibri"/>
        </w:rPr>
        <w:t xml:space="preserve">Creates </w:t>
      </w:r>
      <w:r>
        <w:rPr>
          <w:rFonts w:ascii="Calibri" w:hAnsi="Calibri" w:cs="Calibri"/>
        </w:rPr>
        <w:t xml:space="preserve">an </w:t>
      </w:r>
      <w:r w:rsidRPr="00A909C5">
        <w:rPr>
          <w:rFonts w:ascii="Calibri" w:hAnsi="Calibri" w:cs="Calibri"/>
        </w:rPr>
        <w:t>income tax credit for certain employers that provide paid family leave, with restrictions.</w:t>
      </w:r>
      <w:r>
        <w:rPr>
          <w:rFonts w:ascii="Calibri" w:hAnsi="Calibri" w:cs="Calibri"/>
        </w:rPr>
        <w:t xml:space="preserve"> </w:t>
      </w:r>
      <w:r w:rsidRPr="003452AA">
        <w:rPr>
          <w:rFonts w:ascii="Calibri" w:hAnsi="Calibri" w:cs="Calibri"/>
          <w:i/>
        </w:rPr>
        <w:t>(Senator Thatcher)</w:t>
      </w:r>
    </w:p>
    <w:p w:rsidR="00A01617" w:rsidRPr="00274CDC" w:rsidRDefault="00A01617" w:rsidP="00274CDC">
      <w:pPr>
        <w:pStyle w:val="ListParagraph"/>
        <w:ind w:left="2160" w:hanging="1440"/>
        <w:rPr>
          <w:rFonts w:ascii="Calibri" w:hAnsi="Calibri" w:cs="Calibri"/>
          <w:sz w:val="22"/>
          <w:szCs w:val="22"/>
        </w:rPr>
      </w:pPr>
    </w:p>
    <w:sectPr w:rsidR="00A01617" w:rsidRPr="00274CDC" w:rsidSect="0098296D">
      <w:headerReference w:type="default" r:id="rId7"/>
      <w:footerReference w:type="default" r:id="rId8"/>
      <w:pgSz w:w="12240" w:h="15840"/>
      <w:pgMar w:top="1440" w:right="108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90D" w:rsidRDefault="00F7790D" w:rsidP="00EB2A48">
      <w:pPr>
        <w:spacing w:after="0"/>
      </w:pPr>
      <w:r>
        <w:separator/>
      </w:r>
    </w:p>
  </w:endnote>
  <w:endnote w:type="continuationSeparator" w:id="0">
    <w:p w:rsidR="00F7790D" w:rsidRDefault="00F7790D" w:rsidP="00EB2A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17" w:rsidRPr="0027491A" w:rsidRDefault="00A01617" w:rsidP="00A01617">
    <w:pPr>
      <w:rPr>
        <w:rFonts w:ascii="Calibri" w:hAnsi="Calibri" w:cs="Calibri"/>
        <w:b/>
      </w:rPr>
    </w:pPr>
    <w:r w:rsidRPr="0027491A">
      <w:rPr>
        <w:rFonts w:ascii="Calibri" w:hAnsi="Calibri" w:cs="Calibri"/>
        <w:b/>
      </w:rPr>
      <w:t>January 2017</w:t>
    </w:r>
  </w:p>
  <w:p w:rsidR="00A01617" w:rsidRDefault="00A01617">
    <w:pPr>
      <w:pStyle w:val="Footer"/>
    </w:pPr>
  </w:p>
  <w:p w:rsidR="00F7790D" w:rsidRPr="007F7086" w:rsidRDefault="00F7790D" w:rsidP="007F7086">
    <w:pPr>
      <w:pStyle w:val="Footer"/>
      <w:jc w:val="center"/>
      <w:rPr>
        <w:rFonts w:ascii="Arial" w:hAnsi="Arial" w:cs="Arial"/>
        <w:i/>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90D" w:rsidRDefault="00F7790D" w:rsidP="00EB2A48">
      <w:pPr>
        <w:spacing w:after="0"/>
      </w:pPr>
      <w:r>
        <w:separator/>
      </w:r>
    </w:p>
  </w:footnote>
  <w:footnote w:type="continuationSeparator" w:id="0">
    <w:p w:rsidR="00F7790D" w:rsidRDefault="00F7790D" w:rsidP="00EB2A4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306" w:tblpY="-158"/>
      <w:tblW w:w="10827" w:type="dxa"/>
      <w:tblBorders>
        <w:bottom w:val="single" w:sz="8" w:space="0" w:color="F79646"/>
        <w:insideH w:val="single" w:sz="4" w:space="0" w:color="F79646"/>
      </w:tblBorders>
      <w:tblLayout w:type="fixed"/>
      <w:tblLook w:val="00A0" w:firstRow="1" w:lastRow="0" w:firstColumn="1" w:lastColumn="0" w:noHBand="0" w:noVBand="0"/>
    </w:tblPr>
    <w:tblGrid>
      <w:gridCol w:w="1161"/>
      <w:gridCol w:w="6507"/>
      <w:gridCol w:w="3159"/>
    </w:tblGrid>
    <w:tr w:rsidR="00F7790D" w:rsidRPr="00B238A2" w:rsidTr="00B238A2">
      <w:trPr>
        <w:cantSplit/>
        <w:trHeight w:val="903"/>
      </w:trPr>
      <w:tc>
        <w:tcPr>
          <w:tcW w:w="1161" w:type="dxa"/>
          <w:vMerge w:val="restart"/>
          <w:tcBorders>
            <w:top w:val="nil"/>
          </w:tcBorders>
          <w:vAlign w:val="bottom"/>
        </w:tcPr>
        <w:p w:rsidR="00F7790D" w:rsidRPr="00B238A2" w:rsidRDefault="00F7790D" w:rsidP="00B238A2">
          <w:pPr>
            <w:spacing w:after="0"/>
            <w:ind w:left="-115"/>
            <w:jc w:val="right"/>
            <w:rPr>
              <w:rFonts w:ascii="Arial" w:hAnsi="Arial"/>
              <w:color w:val="005595"/>
              <w:w w:val="90"/>
            </w:rPr>
          </w:pPr>
          <w:r>
            <w:rPr>
              <w:rFonts w:ascii="Arial" w:hAnsi="Arial"/>
              <w:noProof/>
              <w:color w:val="005595"/>
              <w:w w:val="90"/>
            </w:rPr>
            <w:drawing>
              <wp:inline distT="0" distB="0" distL="0" distR="0" wp14:anchorId="5E084061" wp14:editId="7D9AC46B">
                <wp:extent cx="561975" cy="561975"/>
                <wp:effectExtent l="0" t="0" r="9525" b="9525"/>
                <wp:docPr id="3" name="Picture 3"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6507" w:type="dxa"/>
          <w:tcBorders>
            <w:top w:val="nil"/>
            <w:bottom w:val="single" w:sz="12" w:space="0" w:color="F79646"/>
          </w:tcBorders>
          <w:vAlign w:val="center"/>
        </w:tcPr>
        <w:p w:rsidR="00F7790D" w:rsidRPr="00B238A2" w:rsidRDefault="00F7790D" w:rsidP="00B238A2">
          <w:pPr>
            <w:spacing w:after="0"/>
            <w:ind w:left="-101"/>
            <w:rPr>
              <w:rFonts w:ascii="Arial" w:hAnsi="Arial"/>
              <w:color w:val="005595"/>
              <w:w w:val="90"/>
              <w:sz w:val="22"/>
            </w:rPr>
          </w:pPr>
          <w:r w:rsidRPr="00B238A2">
            <w:rPr>
              <w:rFonts w:ascii="Arial" w:hAnsi="Arial"/>
              <w:color w:val="005595"/>
              <w:w w:val="90"/>
              <w:sz w:val="22"/>
            </w:rPr>
            <w:br/>
            <w:t>OREGON PUBLIC HEALTH DIVISION</w:t>
          </w:r>
          <w:r w:rsidRPr="00B238A2">
            <w:rPr>
              <w:rFonts w:ascii="Arial" w:hAnsi="Arial"/>
              <w:color w:val="005595"/>
              <w:w w:val="90"/>
              <w:sz w:val="22"/>
            </w:rPr>
            <w:br/>
            <w:t>Health Promotion &amp; Chronic Disease Prevention Section</w:t>
          </w:r>
        </w:p>
      </w:tc>
      <w:tc>
        <w:tcPr>
          <w:tcW w:w="3159" w:type="dxa"/>
          <w:vMerge w:val="restart"/>
          <w:tcBorders>
            <w:top w:val="nil"/>
            <w:bottom w:val="single" w:sz="4" w:space="0" w:color="F79646"/>
          </w:tcBorders>
          <w:vAlign w:val="center"/>
        </w:tcPr>
        <w:p w:rsidR="00F7790D" w:rsidRPr="00B238A2" w:rsidRDefault="00F7790D" w:rsidP="00B238A2">
          <w:pPr>
            <w:spacing w:after="0" w:line="60" w:lineRule="exact"/>
            <w:rPr>
              <w:rFonts w:ascii="Arial" w:hAnsi="Arial"/>
              <w:w w:val="90"/>
            </w:rPr>
          </w:pPr>
        </w:p>
        <w:p w:rsidR="00F7790D" w:rsidRPr="00B238A2" w:rsidRDefault="00F7790D" w:rsidP="00B238A2">
          <w:pPr>
            <w:spacing w:after="0"/>
            <w:rPr>
              <w:rFonts w:ascii="Arial" w:hAnsi="Arial"/>
              <w:w w:val="90"/>
            </w:rPr>
          </w:pPr>
          <w:r>
            <w:rPr>
              <w:rFonts w:ascii="Arial" w:hAnsi="Arial"/>
              <w:noProof/>
              <w:w w:val="90"/>
            </w:rPr>
            <w:drawing>
              <wp:inline distT="0" distB="0" distL="0" distR="0" wp14:anchorId="356E2E63" wp14:editId="5EF66CFF">
                <wp:extent cx="186690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695325"/>
                        </a:xfrm>
                        <a:prstGeom prst="rect">
                          <a:avLst/>
                        </a:prstGeom>
                        <a:noFill/>
                        <a:ln>
                          <a:noFill/>
                        </a:ln>
                      </pic:spPr>
                    </pic:pic>
                  </a:graphicData>
                </a:graphic>
              </wp:inline>
            </w:drawing>
          </w:r>
        </w:p>
      </w:tc>
    </w:tr>
    <w:tr w:rsidR="00F7790D" w:rsidRPr="00B238A2" w:rsidTr="00B238A2">
      <w:trPr>
        <w:cantSplit/>
        <w:trHeight w:val="225"/>
      </w:trPr>
      <w:tc>
        <w:tcPr>
          <w:tcW w:w="1161" w:type="dxa"/>
          <w:vMerge/>
          <w:tcBorders>
            <w:bottom w:val="nil"/>
          </w:tcBorders>
        </w:tcPr>
        <w:p w:rsidR="00F7790D" w:rsidRPr="00B238A2" w:rsidRDefault="00F7790D" w:rsidP="00B238A2">
          <w:pPr>
            <w:spacing w:after="0"/>
            <w:ind w:left="-108"/>
            <w:rPr>
              <w:rFonts w:ascii="Arial" w:hAnsi="Arial"/>
              <w:color w:val="005595"/>
              <w:w w:val="90"/>
              <w:sz w:val="18"/>
            </w:rPr>
          </w:pPr>
        </w:p>
      </w:tc>
      <w:tc>
        <w:tcPr>
          <w:tcW w:w="6507" w:type="dxa"/>
          <w:tcBorders>
            <w:top w:val="single" w:sz="12" w:space="0" w:color="F79646"/>
            <w:bottom w:val="nil"/>
          </w:tcBorders>
        </w:tcPr>
        <w:p w:rsidR="00F7790D" w:rsidRPr="00B238A2" w:rsidRDefault="00F7790D" w:rsidP="00B238A2">
          <w:pPr>
            <w:spacing w:before="60" w:after="0"/>
            <w:ind w:left="-101"/>
            <w:rPr>
              <w:rFonts w:ascii="Arial" w:hAnsi="Arial"/>
              <w:color w:val="005595"/>
              <w:w w:val="90"/>
              <w:sz w:val="18"/>
            </w:rPr>
          </w:pPr>
          <w:r w:rsidRPr="00B238A2">
            <w:rPr>
              <w:rFonts w:ascii="Arial" w:hAnsi="Arial"/>
              <w:color w:val="005595"/>
              <w:w w:val="90"/>
              <w:sz w:val="18"/>
            </w:rPr>
            <w:t>Kate Brown, Governor</w:t>
          </w:r>
        </w:p>
      </w:tc>
      <w:tc>
        <w:tcPr>
          <w:tcW w:w="3159" w:type="dxa"/>
          <w:vMerge/>
          <w:tcBorders>
            <w:top w:val="single" w:sz="4" w:space="0" w:color="F79646"/>
            <w:bottom w:val="nil"/>
          </w:tcBorders>
          <w:vAlign w:val="bottom"/>
        </w:tcPr>
        <w:p w:rsidR="00F7790D" w:rsidRPr="00B238A2" w:rsidRDefault="00F7790D" w:rsidP="00B238A2">
          <w:pPr>
            <w:spacing w:after="0"/>
            <w:jc w:val="right"/>
            <w:rPr>
              <w:rFonts w:ascii="Arial" w:hAnsi="Arial"/>
              <w:w w:val="90"/>
            </w:rPr>
          </w:pPr>
        </w:p>
      </w:tc>
    </w:tr>
  </w:tbl>
  <w:p w:rsidR="00F7790D" w:rsidRDefault="00F779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413F"/>
    <w:multiLevelType w:val="hybridMultilevel"/>
    <w:tmpl w:val="48122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6073F"/>
    <w:multiLevelType w:val="hybridMultilevel"/>
    <w:tmpl w:val="4F061446"/>
    <w:lvl w:ilvl="0" w:tplc="A15A7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207CF"/>
    <w:multiLevelType w:val="hybridMultilevel"/>
    <w:tmpl w:val="0644C9E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371A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1DA56D23"/>
    <w:multiLevelType w:val="hybridMultilevel"/>
    <w:tmpl w:val="E012A32E"/>
    <w:lvl w:ilvl="0" w:tplc="DB18E2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0730F2"/>
    <w:multiLevelType w:val="hybridMultilevel"/>
    <w:tmpl w:val="8CD08B44"/>
    <w:lvl w:ilvl="0" w:tplc="82927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9453D4"/>
    <w:multiLevelType w:val="hybridMultilevel"/>
    <w:tmpl w:val="376EE30C"/>
    <w:lvl w:ilvl="0" w:tplc="6B589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1F20B2"/>
    <w:multiLevelType w:val="hybridMultilevel"/>
    <w:tmpl w:val="F1B69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24AFE"/>
    <w:multiLevelType w:val="hybridMultilevel"/>
    <w:tmpl w:val="12B4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534B2"/>
    <w:multiLevelType w:val="hybridMultilevel"/>
    <w:tmpl w:val="0A0E0C0E"/>
    <w:lvl w:ilvl="0" w:tplc="040E00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C0DF5"/>
    <w:multiLevelType w:val="hybridMultilevel"/>
    <w:tmpl w:val="87C4E4CA"/>
    <w:lvl w:ilvl="0" w:tplc="D8EED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7A743E"/>
    <w:multiLevelType w:val="hybridMultilevel"/>
    <w:tmpl w:val="A0402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F4DA4"/>
    <w:multiLevelType w:val="hybridMultilevel"/>
    <w:tmpl w:val="36DE60E8"/>
    <w:lvl w:ilvl="0" w:tplc="2D789A1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0A3435"/>
    <w:multiLevelType w:val="hybridMultilevel"/>
    <w:tmpl w:val="A22E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E24D9"/>
    <w:multiLevelType w:val="hybridMultilevel"/>
    <w:tmpl w:val="F5BA9D9C"/>
    <w:lvl w:ilvl="0" w:tplc="1F684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442E4F"/>
    <w:multiLevelType w:val="hybridMultilevel"/>
    <w:tmpl w:val="EE802382"/>
    <w:lvl w:ilvl="0" w:tplc="37288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734D62"/>
    <w:multiLevelType w:val="hybridMultilevel"/>
    <w:tmpl w:val="CFA0D350"/>
    <w:lvl w:ilvl="0" w:tplc="2A2083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7E4656"/>
    <w:multiLevelType w:val="hybridMultilevel"/>
    <w:tmpl w:val="0E5AD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5D28C1"/>
    <w:multiLevelType w:val="hybridMultilevel"/>
    <w:tmpl w:val="CA6414BC"/>
    <w:lvl w:ilvl="0" w:tplc="A260A3D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7"/>
  </w:num>
  <w:num w:numId="2">
    <w:abstractNumId w:val="18"/>
  </w:num>
  <w:num w:numId="3">
    <w:abstractNumId w:val="3"/>
  </w:num>
  <w:num w:numId="4">
    <w:abstractNumId w:val="11"/>
  </w:num>
  <w:num w:numId="5">
    <w:abstractNumId w:val="8"/>
  </w:num>
  <w:num w:numId="6">
    <w:abstractNumId w:val="14"/>
  </w:num>
  <w:num w:numId="7">
    <w:abstractNumId w:val="6"/>
  </w:num>
  <w:num w:numId="8">
    <w:abstractNumId w:val="12"/>
  </w:num>
  <w:num w:numId="9">
    <w:abstractNumId w:val="15"/>
  </w:num>
  <w:num w:numId="10">
    <w:abstractNumId w:val="5"/>
  </w:num>
  <w:num w:numId="11">
    <w:abstractNumId w:val="1"/>
  </w:num>
  <w:num w:numId="12">
    <w:abstractNumId w:val="10"/>
  </w:num>
  <w:num w:numId="13">
    <w:abstractNumId w:val="4"/>
  </w:num>
  <w:num w:numId="14">
    <w:abstractNumId w:val="16"/>
  </w:num>
  <w:num w:numId="15">
    <w:abstractNumId w:val="17"/>
  </w:num>
  <w:num w:numId="16">
    <w:abstractNumId w:val="13"/>
  </w:num>
  <w:num w:numId="17">
    <w:abstractNumId w:val="0"/>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48"/>
    <w:rsid w:val="000001C4"/>
    <w:rsid w:val="00030E06"/>
    <w:rsid w:val="00071F41"/>
    <w:rsid w:val="00095612"/>
    <w:rsid w:val="000963C5"/>
    <w:rsid w:val="00097393"/>
    <w:rsid w:val="000A6375"/>
    <w:rsid w:val="000C4B75"/>
    <w:rsid w:val="000D22DF"/>
    <w:rsid w:val="000D3848"/>
    <w:rsid w:val="000E78CA"/>
    <w:rsid w:val="00104C03"/>
    <w:rsid w:val="0012439B"/>
    <w:rsid w:val="00134A8D"/>
    <w:rsid w:val="0014280D"/>
    <w:rsid w:val="0016054B"/>
    <w:rsid w:val="001718E9"/>
    <w:rsid w:val="00196475"/>
    <w:rsid w:val="001A0858"/>
    <w:rsid w:val="001B5330"/>
    <w:rsid w:val="001C77D9"/>
    <w:rsid w:val="001F660E"/>
    <w:rsid w:val="00205BDC"/>
    <w:rsid w:val="0020665C"/>
    <w:rsid w:val="0021759D"/>
    <w:rsid w:val="002245E7"/>
    <w:rsid w:val="002264ED"/>
    <w:rsid w:val="00233030"/>
    <w:rsid w:val="0027491A"/>
    <w:rsid w:val="00274CDC"/>
    <w:rsid w:val="00275C98"/>
    <w:rsid w:val="00291284"/>
    <w:rsid w:val="002E29D1"/>
    <w:rsid w:val="002E4A4E"/>
    <w:rsid w:val="002F1E8E"/>
    <w:rsid w:val="002F38FF"/>
    <w:rsid w:val="00311F45"/>
    <w:rsid w:val="00320CBA"/>
    <w:rsid w:val="00323A54"/>
    <w:rsid w:val="00331561"/>
    <w:rsid w:val="003355C8"/>
    <w:rsid w:val="003452AA"/>
    <w:rsid w:val="003627D2"/>
    <w:rsid w:val="003848C6"/>
    <w:rsid w:val="00392A6E"/>
    <w:rsid w:val="003967D0"/>
    <w:rsid w:val="003B0121"/>
    <w:rsid w:val="003B6969"/>
    <w:rsid w:val="003D2A7E"/>
    <w:rsid w:val="00456AEB"/>
    <w:rsid w:val="004B373E"/>
    <w:rsid w:val="004F16BC"/>
    <w:rsid w:val="004F1EE8"/>
    <w:rsid w:val="005220C2"/>
    <w:rsid w:val="00526B8A"/>
    <w:rsid w:val="005504D1"/>
    <w:rsid w:val="0056428C"/>
    <w:rsid w:val="00584C71"/>
    <w:rsid w:val="005A5A18"/>
    <w:rsid w:val="005B141A"/>
    <w:rsid w:val="005C57C3"/>
    <w:rsid w:val="005C78CA"/>
    <w:rsid w:val="005D6FDA"/>
    <w:rsid w:val="005E34A4"/>
    <w:rsid w:val="0065458D"/>
    <w:rsid w:val="006720F8"/>
    <w:rsid w:val="0074063C"/>
    <w:rsid w:val="00750F6B"/>
    <w:rsid w:val="0077645E"/>
    <w:rsid w:val="007878E5"/>
    <w:rsid w:val="007A1416"/>
    <w:rsid w:val="007B2299"/>
    <w:rsid w:val="007E1614"/>
    <w:rsid w:val="007E672D"/>
    <w:rsid w:val="007F7086"/>
    <w:rsid w:val="00855E8B"/>
    <w:rsid w:val="00863DB0"/>
    <w:rsid w:val="008867FF"/>
    <w:rsid w:val="008A4A6B"/>
    <w:rsid w:val="008B00E0"/>
    <w:rsid w:val="008B05BE"/>
    <w:rsid w:val="009048B4"/>
    <w:rsid w:val="0091445F"/>
    <w:rsid w:val="00925C03"/>
    <w:rsid w:val="0094395B"/>
    <w:rsid w:val="009730C7"/>
    <w:rsid w:val="009730F7"/>
    <w:rsid w:val="0098296D"/>
    <w:rsid w:val="009946B4"/>
    <w:rsid w:val="009A6B3D"/>
    <w:rsid w:val="009B1D9E"/>
    <w:rsid w:val="009B344E"/>
    <w:rsid w:val="009F47E8"/>
    <w:rsid w:val="009F4E26"/>
    <w:rsid w:val="00A01617"/>
    <w:rsid w:val="00A1612D"/>
    <w:rsid w:val="00A173DB"/>
    <w:rsid w:val="00A248DF"/>
    <w:rsid w:val="00A54B59"/>
    <w:rsid w:val="00A66252"/>
    <w:rsid w:val="00A727DD"/>
    <w:rsid w:val="00A87B35"/>
    <w:rsid w:val="00A926D2"/>
    <w:rsid w:val="00AA552A"/>
    <w:rsid w:val="00AD7E25"/>
    <w:rsid w:val="00AE61CC"/>
    <w:rsid w:val="00B238A2"/>
    <w:rsid w:val="00B242F2"/>
    <w:rsid w:val="00B57DA3"/>
    <w:rsid w:val="00B656B8"/>
    <w:rsid w:val="00B8197F"/>
    <w:rsid w:val="00B8404F"/>
    <w:rsid w:val="00BF78F6"/>
    <w:rsid w:val="00C570E4"/>
    <w:rsid w:val="00C62BBB"/>
    <w:rsid w:val="00C63828"/>
    <w:rsid w:val="00C700E4"/>
    <w:rsid w:val="00C86DB9"/>
    <w:rsid w:val="00CD34CA"/>
    <w:rsid w:val="00CD3AC1"/>
    <w:rsid w:val="00CF4396"/>
    <w:rsid w:val="00D02B05"/>
    <w:rsid w:val="00D03BEB"/>
    <w:rsid w:val="00D868D4"/>
    <w:rsid w:val="00DA03CE"/>
    <w:rsid w:val="00DB6B6C"/>
    <w:rsid w:val="00DC43F9"/>
    <w:rsid w:val="00DD536D"/>
    <w:rsid w:val="00DE32F6"/>
    <w:rsid w:val="00E04829"/>
    <w:rsid w:val="00E11C40"/>
    <w:rsid w:val="00E2111B"/>
    <w:rsid w:val="00E4202C"/>
    <w:rsid w:val="00E46183"/>
    <w:rsid w:val="00E935DE"/>
    <w:rsid w:val="00E94EB3"/>
    <w:rsid w:val="00E978F6"/>
    <w:rsid w:val="00EB2A48"/>
    <w:rsid w:val="00F0138E"/>
    <w:rsid w:val="00F01C01"/>
    <w:rsid w:val="00F462CC"/>
    <w:rsid w:val="00F7790D"/>
    <w:rsid w:val="00F94C37"/>
    <w:rsid w:val="00FD5DE2"/>
    <w:rsid w:val="00FE3A54"/>
    <w:rsid w:val="00FF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AAD7FEA3-9867-41A5-A450-36ECEF4E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A48"/>
    <w:pPr>
      <w:spacing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A48"/>
    <w:pPr>
      <w:tabs>
        <w:tab w:val="center" w:pos="4680"/>
        <w:tab w:val="right" w:pos="9360"/>
      </w:tabs>
      <w:spacing w:after="0"/>
    </w:pPr>
  </w:style>
  <w:style w:type="character" w:customStyle="1" w:styleId="HeaderChar">
    <w:name w:val="Header Char"/>
    <w:basedOn w:val="DefaultParagraphFont"/>
    <w:link w:val="Header"/>
    <w:uiPriority w:val="99"/>
    <w:rsid w:val="00EB2A48"/>
  </w:style>
  <w:style w:type="paragraph" w:styleId="Footer">
    <w:name w:val="footer"/>
    <w:basedOn w:val="Normal"/>
    <w:link w:val="FooterChar"/>
    <w:uiPriority w:val="99"/>
    <w:unhideWhenUsed/>
    <w:rsid w:val="00EB2A48"/>
    <w:pPr>
      <w:tabs>
        <w:tab w:val="center" w:pos="4680"/>
        <w:tab w:val="right" w:pos="9360"/>
      </w:tabs>
      <w:spacing w:after="0"/>
    </w:pPr>
  </w:style>
  <w:style w:type="character" w:customStyle="1" w:styleId="FooterChar">
    <w:name w:val="Footer Char"/>
    <w:basedOn w:val="DefaultParagraphFont"/>
    <w:link w:val="Footer"/>
    <w:uiPriority w:val="99"/>
    <w:rsid w:val="00EB2A48"/>
  </w:style>
  <w:style w:type="paragraph" w:styleId="BalloonText">
    <w:name w:val="Balloon Text"/>
    <w:basedOn w:val="Normal"/>
    <w:link w:val="BalloonTextChar"/>
    <w:uiPriority w:val="99"/>
    <w:semiHidden/>
    <w:unhideWhenUsed/>
    <w:rsid w:val="00EB2A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A48"/>
    <w:rPr>
      <w:rFonts w:ascii="Tahoma" w:hAnsi="Tahoma" w:cs="Tahoma"/>
      <w:sz w:val="16"/>
      <w:szCs w:val="16"/>
    </w:rPr>
  </w:style>
  <w:style w:type="paragraph" w:customStyle="1" w:styleId="ColorfulList-Accent11">
    <w:name w:val="Colorful List - Accent 11"/>
    <w:basedOn w:val="Normal"/>
    <w:uiPriority w:val="34"/>
    <w:qFormat/>
    <w:rsid w:val="00EB2A48"/>
    <w:pPr>
      <w:ind w:left="720"/>
      <w:contextualSpacing/>
    </w:pPr>
  </w:style>
  <w:style w:type="paragraph" w:styleId="ListParagraph">
    <w:name w:val="List Paragraph"/>
    <w:basedOn w:val="Normal"/>
    <w:uiPriority w:val="34"/>
    <w:qFormat/>
    <w:rsid w:val="005B141A"/>
    <w:pPr>
      <w:ind w:left="720"/>
      <w:contextualSpacing/>
    </w:pPr>
  </w:style>
  <w:style w:type="character" w:styleId="CommentReference">
    <w:name w:val="annotation reference"/>
    <w:basedOn w:val="DefaultParagraphFont"/>
    <w:uiPriority w:val="99"/>
    <w:semiHidden/>
    <w:unhideWhenUsed/>
    <w:rsid w:val="00A926D2"/>
    <w:rPr>
      <w:sz w:val="16"/>
      <w:szCs w:val="16"/>
    </w:rPr>
  </w:style>
  <w:style w:type="paragraph" w:styleId="CommentText">
    <w:name w:val="annotation text"/>
    <w:basedOn w:val="Normal"/>
    <w:link w:val="CommentTextChar"/>
    <w:uiPriority w:val="99"/>
    <w:semiHidden/>
    <w:unhideWhenUsed/>
    <w:rsid w:val="00A926D2"/>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926D2"/>
    <w:rPr>
      <w:sz w:val="20"/>
      <w:szCs w:val="20"/>
    </w:rPr>
  </w:style>
  <w:style w:type="character" w:styleId="Hyperlink">
    <w:name w:val="Hyperlink"/>
    <w:basedOn w:val="DefaultParagraphFont"/>
    <w:uiPriority w:val="99"/>
    <w:semiHidden/>
    <w:unhideWhenUsed/>
    <w:rsid w:val="008B00E0"/>
    <w:rPr>
      <w:strike w:val="0"/>
      <w:dstrike w:val="0"/>
      <w:color w:val="428BCA"/>
      <w:u w:val="none"/>
      <w:effect w:val="none"/>
      <w:shd w:val="clear" w:color="auto" w:fill="auto"/>
    </w:rPr>
  </w:style>
  <w:style w:type="table" w:styleId="GridTable4">
    <w:name w:val="Grid Table 4"/>
    <w:basedOn w:val="TableNormal"/>
    <w:uiPriority w:val="49"/>
    <w:rsid w:val="00DC43F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47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DHS-OHA</Company>
  <LinksUpToDate>false</LinksUpToDate>
  <CharactersWithSpaces>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DHS-OIS-NDS</dc:creator>
  <cp:keywords/>
  <dc:description/>
  <cp:lastModifiedBy>LACROIX Kimberly W</cp:lastModifiedBy>
  <cp:revision>10</cp:revision>
  <cp:lastPrinted>2017-01-26T16:11:00Z</cp:lastPrinted>
  <dcterms:created xsi:type="dcterms:W3CDTF">2017-01-25T23:09:00Z</dcterms:created>
  <dcterms:modified xsi:type="dcterms:W3CDTF">2017-01-27T16:13:00Z</dcterms:modified>
</cp:coreProperties>
</file>