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D7" w:rsidRDefault="00B02CAD" w:rsidP="004B5313">
      <w:pPr>
        <w:ind w:left="-540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15240</wp:posOffset>
            </wp:positionV>
            <wp:extent cx="1047750" cy="1047750"/>
            <wp:effectExtent l="0" t="0" r="0" b="0"/>
            <wp:wrapSquare wrapText="bothSides"/>
            <wp:docPr id="4" name="Picture 4" descr="Campaign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paignBut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549910</wp:posOffset>
                </wp:positionV>
                <wp:extent cx="7543800" cy="2997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CB8" w:rsidRPr="00E85958" w:rsidRDefault="002A1CB8" w:rsidP="00544C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FATHER'S DAY DATA ON SMOKING DADS AND RELATED HARMS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25pt;margin-top:43.3pt;width:594pt;height:2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6nggIAAA8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" stroked="f">
                <v:textbox>
                  <w:txbxContent>
                    <w:p w:rsidR="002A1CB8" w:rsidRPr="00E85958" w:rsidRDefault="002A1CB8" w:rsidP="00544C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FATHER'S DAY DATA ON SMOKING DADS AND RELATED HARMS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23D7" w:rsidRPr="0090281B" w:rsidRDefault="007F23D7">
      <w:pPr>
        <w:rPr>
          <w:b/>
          <w:sz w:val="16"/>
          <w:szCs w:val="16"/>
        </w:rPr>
      </w:pPr>
    </w:p>
    <w:p w:rsidR="00DC463A" w:rsidRDefault="00DC463A">
      <w:pPr>
        <w:rPr>
          <w:sz w:val="20"/>
        </w:rPr>
      </w:pPr>
    </w:p>
    <w:p w:rsidR="00DC463A" w:rsidRDefault="00B02CAD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550545</wp:posOffset>
                </wp:positionV>
                <wp:extent cx="78105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43.35pt" to="600.7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E+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" strokecolor="#c00" strokeweight="2.25pt"/>
            </w:pict>
          </mc:Fallback>
        </mc:AlternateContent>
      </w:r>
    </w:p>
    <w:p w:rsidR="00DC463A" w:rsidRDefault="00DC463A">
      <w:pPr>
        <w:rPr>
          <w:sz w:val="20"/>
        </w:rPr>
      </w:pPr>
    </w:p>
    <w:p w:rsidR="007F23D7" w:rsidRDefault="007F23D7">
      <w:r>
        <w:rPr>
          <w:sz w:val="20"/>
        </w:rPr>
        <w:t>For many kids, Father</w:t>
      </w:r>
      <w:r w:rsidR="00C105CC">
        <w:rPr>
          <w:sz w:val="20"/>
        </w:rPr>
        <w:t>’</w:t>
      </w:r>
      <w:r>
        <w:rPr>
          <w:sz w:val="20"/>
        </w:rPr>
        <w:t xml:space="preserve">s Day means taking dad out </w:t>
      </w:r>
      <w:r w:rsidR="00256449">
        <w:rPr>
          <w:sz w:val="20"/>
        </w:rPr>
        <w:t xml:space="preserve">to breakfast, giving him a gift or just saying thanks. </w:t>
      </w:r>
      <w:r>
        <w:rPr>
          <w:sz w:val="20"/>
        </w:rPr>
        <w:t xml:space="preserve">But hundreds of thousands of kids throughout the </w:t>
      </w:r>
      <w:r w:rsidR="00256449">
        <w:rPr>
          <w:sz w:val="20"/>
        </w:rPr>
        <w:t>United States</w:t>
      </w:r>
      <w:r w:rsidR="002E6155">
        <w:rPr>
          <w:sz w:val="20"/>
        </w:rPr>
        <w:t xml:space="preserve"> have</w:t>
      </w:r>
      <w:r w:rsidR="00CE4C4F">
        <w:rPr>
          <w:sz w:val="20"/>
        </w:rPr>
        <w:t xml:space="preserve"> fathers who smoke, and smoking still is</w:t>
      </w:r>
      <w:r w:rsidR="002E6155">
        <w:rPr>
          <w:sz w:val="20"/>
        </w:rPr>
        <w:t xml:space="preserve"> </w:t>
      </w:r>
      <w:r>
        <w:rPr>
          <w:sz w:val="20"/>
        </w:rPr>
        <w:t xml:space="preserve">America’s number one preventable cause of death. On this special day for dads, one </w:t>
      </w:r>
      <w:r w:rsidR="002E6155">
        <w:rPr>
          <w:sz w:val="20"/>
        </w:rPr>
        <w:t>great</w:t>
      </w:r>
      <w:r>
        <w:rPr>
          <w:sz w:val="20"/>
        </w:rPr>
        <w:t xml:space="preserve"> way to celebrate </w:t>
      </w:r>
      <w:r w:rsidR="005A20DA">
        <w:rPr>
          <w:sz w:val="20"/>
        </w:rPr>
        <w:t>could</w:t>
      </w:r>
      <w:r>
        <w:rPr>
          <w:sz w:val="20"/>
        </w:rPr>
        <w:t xml:space="preserve"> be to pledge to give dads who currently smoke the kind of loving support and encouragement that </w:t>
      </w:r>
      <w:r w:rsidR="002E6155">
        <w:rPr>
          <w:sz w:val="20"/>
        </w:rPr>
        <w:t>will</w:t>
      </w:r>
      <w:r>
        <w:rPr>
          <w:sz w:val="20"/>
        </w:rPr>
        <w:t xml:space="preserve"> help them </w:t>
      </w:r>
      <w:r w:rsidR="002E6155">
        <w:rPr>
          <w:sz w:val="20"/>
        </w:rPr>
        <w:t xml:space="preserve">make this the year that they </w:t>
      </w:r>
      <w:r w:rsidR="00256449">
        <w:rPr>
          <w:sz w:val="20"/>
        </w:rPr>
        <w:t>become</w:t>
      </w:r>
      <w:r>
        <w:rPr>
          <w:sz w:val="20"/>
        </w:rPr>
        <w:t xml:space="preserve"> tobacco-free</w:t>
      </w:r>
      <w:r w:rsidR="00256449">
        <w:rPr>
          <w:sz w:val="20"/>
        </w:rPr>
        <w:t xml:space="preserve">. </w:t>
      </w:r>
      <w:r>
        <w:rPr>
          <w:sz w:val="20"/>
        </w:rPr>
        <w:t xml:space="preserve">Another lasting tribute </w:t>
      </w:r>
      <w:r w:rsidR="002E6155">
        <w:rPr>
          <w:sz w:val="20"/>
        </w:rPr>
        <w:t>c</w:t>
      </w:r>
      <w:r>
        <w:rPr>
          <w:sz w:val="20"/>
        </w:rPr>
        <w:t>ould be to support</w:t>
      </w:r>
      <w:r w:rsidR="00753B5B">
        <w:rPr>
          <w:sz w:val="20"/>
        </w:rPr>
        <w:t xml:space="preserve"> new tobacco </w:t>
      </w:r>
      <w:r>
        <w:rPr>
          <w:sz w:val="20"/>
        </w:rPr>
        <w:t>control initiatives</w:t>
      </w:r>
      <w:r w:rsidR="005A20DA">
        <w:rPr>
          <w:sz w:val="20"/>
        </w:rPr>
        <w:t xml:space="preserve"> in your state or community</w:t>
      </w:r>
      <w:r w:rsidR="002E6155">
        <w:rPr>
          <w:sz w:val="20"/>
        </w:rPr>
        <w:t>—like smoke-free policies, tobacco taxes and state funding for tobacco cessation programs—</w:t>
      </w:r>
      <w:r>
        <w:rPr>
          <w:sz w:val="20"/>
        </w:rPr>
        <w:t xml:space="preserve">that will not only help smoking </w:t>
      </w:r>
      <w:r w:rsidR="002E6155">
        <w:rPr>
          <w:sz w:val="20"/>
        </w:rPr>
        <w:t xml:space="preserve">dads quit but </w:t>
      </w:r>
      <w:r>
        <w:rPr>
          <w:sz w:val="20"/>
        </w:rPr>
        <w:t xml:space="preserve">also prevent their </w:t>
      </w:r>
      <w:r w:rsidR="00256449">
        <w:rPr>
          <w:sz w:val="20"/>
        </w:rPr>
        <w:t>children</w:t>
      </w:r>
      <w:r>
        <w:rPr>
          <w:sz w:val="20"/>
        </w:rPr>
        <w:t xml:space="preserve"> from becoming another statistic i</w:t>
      </w:r>
      <w:r w:rsidR="00182D64">
        <w:rPr>
          <w:sz w:val="20"/>
        </w:rPr>
        <w:t>n</w:t>
      </w:r>
      <w:r>
        <w:rPr>
          <w:sz w:val="20"/>
        </w:rPr>
        <w:t xml:space="preserve"> the terrible toll that tobacco addiction takes on America’s dads and their families.</w:t>
      </w:r>
    </w:p>
    <w:p w:rsidR="007F23D7" w:rsidRDefault="007F23D7">
      <w:pPr>
        <w:rPr>
          <w:sz w:val="16"/>
        </w:rPr>
      </w:pPr>
    </w:p>
    <w:tbl>
      <w:tblPr>
        <w:tblW w:w="0" w:type="auto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97"/>
        <w:gridCol w:w="1344"/>
        <w:gridCol w:w="1350"/>
        <w:gridCol w:w="1440"/>
        <w:gridCol w:w="1530"/>
        <w:gridCol w:w="1440"/>
        <w:gridCol w:w="1566"/>
        <w:gridCol w:w="1674"/>
        <w:gridCol w:w="1320"/>
      </w:tblGrid>
      <w:tr w:rsidR="007F23D7" w:rsidTr="00090B2E">
        <w:trPr>
          <w:tblHeader/>
          <w:jc w:val="center"/>
        </w:trPr>
        <w:tc>
          <w:tcPr>
            <w:tcW w:w="1597" w:type="dxa"/>
            <w:vAlign w:val="center"/>
          </w:tcPr>
          <w:p w:rsidR="007F23D7" w:rsidRPr="00F15906" w:rsidRDefault="007F23D7" w:rsidP="00090B2E">
            <w:pP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States</w:t>
            </w:r>
          </w:p>
        </w:tc>
        <w:tc>
          <w:tcPr>
            <w:tcW w:w="1344" w:type="dxa"/>
            <w:vAlign w:val="center"/>
          </w:tcPr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Smoking Rate Among Men</w:t>
            </w:r>
          </w:p>
        </w:tc>
        <w:tc>
          <w:tcPr>
            <w:tcW w:w="1350" w:type="dxa"/>
            <w:vAlign w:val="center"/>
          </w:tcPr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State Rank</w:t>
            </w:r>
          </w:p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Men Smoking</w:t>
            </w:r>
          </w:p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(1</w:t>
            </w: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st</w:t>
            </w: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is lowest)</w:t>
            </w:r>
          </w:p>
        </w:tc>
        <w:tc>
          <w:tcPr>
            <w:tcW w:w="1440" w:type="dxa"/>
            <w:vAlign w:val="center"/>
          </w:tcPr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Number of</w:t>
            </w:r>
          </w:p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Men Smokers</w:t>
            </w:r>
          </w:p>
        </w:tc>
        <w:tc>
          <w:tcPr>
            <w:tcW w:w="1530" w:type="dxa"/>
            <w:vAlign w:val="center"/>
          </w:tcPr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Annual Smoking Deaths Among Men</w:t>
            </w:r>
          </w:p>
        </w:tc>
        <w:tc>
          <w:tcPr>
            <w:tcW w:w="1440" w:type="dxa"/>
            <w:vAlign w:val="center"/>
          </w:tcPr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Kids in State Who Have Already Lost Their Dads to Smoking</w:t>
            </w:r>
          </w:p>
        </w:tc>
        <w:tc>
          <w:tcPr>
            <w:tcW w:w="1566" w:type="dxa"/>
            <w:vAlign w:val="center"/>
          </w:tcPr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New Kids Who Lose Their Dads to Smoking Each Year</w:t>
            </w:r>
          </w:p>
        </w:tc>
        <w:tc>
          <w:tcPr>
            <w:tcW w:w="1674" w:type="dxa"/>
            <w:vAlign w:val="center"/>
          </w:tcPr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Taxes paid for SSSI Payments to Kids With Dads Lost to Smoking</w:t>
            </w:r>
          </w:p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(millions/year)</w:t>
            </w:r>
          </w:p>
        </w:tc>
        <w:tc>
          <w:tcPr>
            <w:tcW w:w="1320" w:type="dxa"/>
            <w:vAlign w:val="center"/>
          </w:tcPr>
          <w:p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F15906">
                  <w:rPr>
                    <w:rFonts w:cs="Arial"/>
                    <w:b/>
                    <w:snapToGrid w:val="0"/>
                    <w:color w:val="000000"/>
                    <w:sz w:val="18"/>
                    <w:szCs w:val="18"/>
                  </w:rPr>
                  <w:t>Total</w:t>
                </w:r>
              </w:smartTag>
              <w:r w:rsidRPr="00F15906">
                <w:rPr>
                  <w:rFonts w:cs="Arial"/>
                  <w:b/>
                  <w:snapToGrid w:val="0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F15906">
                  <w:rPr>
                    <w:rFonts w:cs="Arial"/>
                    <w:b/>
                    <w:snapToGrid w:val="0"/>
                    <w:color w:val="000000"/>
                    <w:sz w:val="18"/>
                    <w:szCs w:val="18"/>
                  </w:rPr>
                  <w:t>State</w:t>
                </w:r>
              </w:smartTag>
            </w:smartTag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Health Costs to Treat Male Smokers (millions/year)</w:t>
            </w:r>
          </w:p>
        </w:tc>
      </w:tr>
      <w:tr w:rsidR="003E6BC2" w:rsidTr="003E6BC2">
        <w:trPr>
          <w:trHeight w:val="225"/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_Hlk245894621"/>
            <w:r w:rsidRPr="00BC2EE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134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17.5</w:t>
            </w: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vAlign w:val="center"/>
          </w:tcPr>
          <w:p w:rsidR="003E6BC2" w:rsidRPr="00DC2C89" w:rsidRDefault="003E6BC2" w:rsidP="00DC2C89">
            <w:pPr>
              <w:pStyle w:val="Heading3"/>
              <w:rPr>
                <w:rFonts w:cs="Arial"/>
                <w:szCs w:val="18"/>
              </w:rPr>
            </w:pPr>
            <w:r w:rsidRPr="00DC2C89">
              <w:rPr>
                <w:rFonts w:cs="Arial"/>
                <w:szCs w:val="18"/>
              </w:rPr>
              <w:t>--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E6BC2">
              <w:rPr>
                <w:rFonts w:cs="Arial"/>
                <w:b/>
                <w:bCs/>
                <w:sz w:val="18"/>
                <w:szCs w:val="18"/>
              </w:rPr>
              <w:t>20,660,000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z w:val="18"/>
                <w:szCs w:val="18"/>
              </w:rPr>
              <w:t>254,100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216,000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$2.7 billion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z w:val="18"/>
                <w:szCs w:val="18"/>
              </w:rPr>
              <w:t>$98.8 billion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bookmarkStart w:id="1" w:name="_Hlk263673368"/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Alabama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E6BC2">
              <w:rPr>
                <w:rFonts w:cs="Arial"/>
                <w:color w:val="000000"/>
                <w:sz w:val="18"/>
                <w:szCs w:val="18"/>
              </w:rPr>
              <w:t>23.3%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42nd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418,600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5,200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$37.4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$1,153.4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Alaska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E6BC2">
              <w:rPr>
                <w:rFonts w:cs="Arial"/>
                <w:color w:val="000000"/>
                <w:sz w:val="18"/>
                <w:szCs w:val="18"/>
              </w:rPr>
              <w:t>21.2%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35th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61,800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$6.2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$258.5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Arizona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E6BC2">
              <w:rPr>
                <w:rFonts w:cs="Arial"/>
                <w:color w:val="000000"/>
                <w:sz w:val="18"/>
                <w:szCs w:val="18"/>
              </w:rPr>
              <w:t>17.5%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15th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456,900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4,700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3,900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$42.7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$1,363.4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Arkansas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E6BC2">
              <w:rPr>
                <w:rFonts w:cs="Arial"/>
                <w:color w:val="000000"/>
                <w:sz w:val="18"/>
                <w:szCs w:val="18"/>
              </w:rPr>
              <w:t>24.8%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48th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274,500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3,500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$19.6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$734.5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California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13.8%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2nd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2,049,200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22,600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21,800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$316.8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$7,526.0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Colorado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17.7%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16th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378,800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2,800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2,700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$40.9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$1,051.8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Connecticut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14.8%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201,300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2,500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$44.5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$1,065.3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Delaware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E6BC2">
              <w:rPr>
                <w:rFonts w:cs="Arial"/>
                <w:color w:val="000000"/>
                <w:sz w:val="18"/>
                <w:szCs w:val="18"/>
              </w:rPr>
              <w:t>19.0%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28th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67,800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$9.6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$291.9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Washington, DC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E6BC2">
              <w:rPr>
                <w:rFonts w:cs="Arial"/>
                <w:color w:val="000000"/>
                <w:sz w:val="18"/>
                <w:szCs w:val="18"/>
              </w:rPr>
              <w:t>17.7%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16th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46,400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$8.4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$222.7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Florida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17.8%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19th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1,415,700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18,400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14,200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$133.5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$4,929.5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21.2%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35th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793,200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6,900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7,200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$78.3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$1,903.3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Hawaii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15.1%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6th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84,400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900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$12.3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$340.8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Idaho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E6BC2">
              <w:rPr>
                <w:rFonts w:cs="Arial"/>
                <w:color w:val="000000"/>
                <w:sz w:val="18"/>
                <w:szCs w:val="18"/>
              </w:rPr>
              <w:t>14.7%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3rd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91,100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$10.7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$302.0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Illinois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18.7%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24th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897,200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10,300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8,600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$135.3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$3,105.8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Indiana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23.6%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43rd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581,300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6,300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$64.1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$1,675.4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Iowa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17.7%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16th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209,700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3,000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$28.5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$760.4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Kansas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18.7%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24th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202,200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2,500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$26.7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$652.6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Kentucky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25.0%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49th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417,200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5,100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$33.8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$1,113.6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Louisiana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25.6%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50th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440,700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4,300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$32.0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$1,133.6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Maine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21.6%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38th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112,600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1,300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$10.9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$458.1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Maryland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15.6%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8th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347,400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4,000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4,400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$60.5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$1,454.5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15.5%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7th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403,200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4,800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$73.0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$2,128.3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Michigan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22.3%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39th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839,300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9,100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7,600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$115.7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$2,603.0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Minnesota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16.6%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10th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346,800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3,400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$57.0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$1,466.2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Mississippi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24.3%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45th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262,700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3,300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3,300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$21.4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$768.3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Missouri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24.5%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46th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559,200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6,200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5,200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$51.6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$1,719.1</w:t>
            </w:r>
          </w:p>
        </w:tc>
      </w:tr>
      <w:bookmarkEnd w:id="1"/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Montana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19.8%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31st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80,700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$7.3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$249.4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Nebraska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18.6%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23rd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131,700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1,400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$16.6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$471.9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Nevada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18.9%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27th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213,100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2,200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$17.1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$610.7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New Hampshire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18.5%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22nd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97,600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$14.6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$394.6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New Jersey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14.9%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5th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499,800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6,300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$112.1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$2,178.0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New Mexico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19.4%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29th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151,400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1,500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$13.9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$491.0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16.7%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11th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1,244,300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14,800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11,700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$217.2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$5,462.4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North Carolina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20.7%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33rd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778,700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8,300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6,400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$76.5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$2,245.3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North Dakota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22.3%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39th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66,500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$5.7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$202.9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24.7%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47th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1,076,000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11,500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7,200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$108.6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$3,218.1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Oklahoma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21.4%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37th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310,700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4,300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$26.7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$946.3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Oregon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18.1%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21st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286,400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3,000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$33.8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$868.8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Pennsylvania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20.1%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32nd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983,200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12,400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8,100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$131.7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$3,596.1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16.9%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12th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68,600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900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$11.0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$327.2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South Carolina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22.9%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41st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423,600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4,400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3,900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$35.6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$1,179.0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South Dakota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21.1%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34th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68,900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$6.2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$229.8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Tennessee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23.9%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44th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591,800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6,700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5,800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$55.2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$1,590.2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17.3%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14th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1,749,600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16,500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$178.0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$5,235.2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Utah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10.4%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1st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110,500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$17.8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$355.9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Vermont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19.5%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30th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48,200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$6.1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$192.1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Virginia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17.0%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13th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540,900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5,800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$71.2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$1,775.4</w:t>
            </w:r>
          </w:p>
        </w:tc>
      </w:tr>
      <w:tr w:rsidR="003E6BC2" w:rsidTr="003E6BC2">
        <w:trPr>
          <w:trHeight w:val="188"/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16.0%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9th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449,300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4,600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3,900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$64.1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$1,563.7</w:t>
            </w:r>
          </w:p>
        </w:tc>
      </w:tr>
      <w:tr w:rsidR="003E6BC2" w:rsidTr="003E6BC2">
        <w:trPr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West Virginia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25.8%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51st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184,100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2,400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$14.4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$574.7</w:t>
            </w:r>
          </w:p>
        </w:tc>
      </w:tr>
      <w:tr w:rsidR="003E6BC2" w:rsidTr="003E6BC2">
        <w:trPr>
          <w:trHeight w:val="225"/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Wisconsin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18.0%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20th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398,600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4,500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2,900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$58.7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$1,536.7</w:t>
            </w:r>
          </w:p>
        </w:tc>
      </w:tr>
      <w:tr w:rsidR="003E6BC2" w:rsidTr="003E6BC2">
        <w:trPr>
          <w:trHeight w:val="225"/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1344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18.8%</w:t>
            </w:r>
          </w:p>
        </w:tc>
        <w:tc>
          <w:tcPr>
            <w:tcW w:w="135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26th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sz w:val="18"/>
                <w:szCs w:val="18"/>
              </w:rPr>
            </w:pPr>
            <w:r w:rsidRPr="003E6BC2">
              <w:rPr>
                <w:rFonts w:cs="Arial"/>
                <w:sz w:val="18"/>
                <w:szCs w:val="18"/>
              </w:rPr>
              <w:t>42,700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$4.5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$145.1</w:t>
            </w:r>
          </w:p>
        </w:tc>
      </w:tr>
      <w:tr w:rsidR="003E6BC2" w:rsidTr="003E6BC2">
        <w:trPr>
          <w:trHeight w:val="225"/>
          <w:jc w:val="center"/>
        </w:trPr>
        <w:tc>
          <w:tcPr>
            <w:tcW w:w="1597" w:type="dxa"/>
            <w:vAlign w:val="center"/>
          </w:tcPr>
          <w:p w:rsidR="003E6BC2" w:rsidRPr="00BC2EEB" w:rsidRDefault="003E6BC2" w:rsidP="00BC2EEB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134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17.5</w:t>
            </w:r>
            <w:r w:rsidRPr="00DC2C89">
              <w:rPr>
                <w:rFonts w:cs="Arial"/>
                <w:b/>
                <w:sz w:val="18"/>
                <w:szCs w:val="18"/>
              </w:rPr>
              <w:t>%</w:t>
            </w:r>
          </w:p>
        </w:tc>
        <w:tc>
          <w:tcPr>
            <w:tcW w:w="1350" w:type="dxa"/>
            <w:vAlign w:val="center"/>
          </w:tcPr>
          <w:p w:rsidR="003E6BC2" w:rsidRPr="00DC2C89" w:rsidRDefault="003E6BC2" w:rsidP="00DC2C89">
            <w:pPr>
              <w:pStyle w:val="Heading3"/>
              <w:rPr>
                <w:rFonts w:cs="Arial"/>
                <w:szCs w:val="18"/>
                <w:highlight w:val="yellow"/>
              </w:rPr>
            </w:pPr>
            <w:r w:rsidRPr="00DC2C89">
              <w:rPr>
                <w:rFonts w:cs="Arial"/>
                <w:szCs w:val="18"/>
              </w:rPr>
              <w:t>--</w:t>
            </w:r>
          </w:p>
        </w:tc>
        <w:tc>
          <w:tcPr>
            <w:tcW w:w="1440" w:type="dxa"/>
            <w:vAlign w:val="center"/>
          </w:tcPr>
          <w:p w:rsidR="003E6BC2" w:rsidRPr="003E6BC2" w:rsidRDefault="003E6BC2" w:rsidP="003E6BC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E6BC2">
              <w:rPr>
                <w:rFonts w:cs="Arial"/>
                <w:b/>
                <w:bCs/>
                <w:sz w:val="18"/>
                <w:szCs w:val="18"/>
              </w:rPr>
              <w:t>20,660,000</w:t>
            </w:r>
          </w:p>
        </w:tc>
        <w:tc>
          <w:tcPr>
            <w:tcW w:w="153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C89">
              <w:rPr>
                <w:rFonts w:cs="Arial"/>
                <w:b/>
                <w:sz w:val="18"/>
                <w:szCs w:val="18"/>
              </w:rPr>
              <w:t>254,100</w:t>
            </w:r>
          </w:p>
        </w:tc>
        <w:tc>
          <w:tcPr>
            <w:tcW w:w="144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216,000</w:t>
            </w:r>
          </w:p>
        </w:tc>
        <w:tc>
          <w:tcPr>
            <w:tcW w:w="1566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674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$2.7 billion</w:t>
            </w:r>
          </w:p>
        </w:tc>
        <w:tc>
          <w:tcPr>
            <w:tcW w:w="1320" w:type="dxa"/>
            <w:vAlign w:val="center"/>
          </w:tcPr>
          <w:p w:rsidR="003E6BC2" w:rsidRPr="00DC2C89" w:rsidRDefault="003E6BC2" w:rsidP="00DC2C8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C89">
              <w:rPr>
                <w:rFonts w:cs="Arial"/>
                <w:b/>
                <w:sz w:val="18"/>
                <w:szCs w:val="18"/>
              </w:rPr>
              <w:t>$98.8 billion</w:t>
            </w:r>
          </w:p>
        </w:tc>
      </w:tr>
    </w:tbl>
    <w:bookmarkEnd w:id="0"/>
    <w:p w:rsidR="007F23D7" w:rsidRPr="00196F15" w:rsidRDefault="007F23D7">
      <w:pPr>
        <w:spacing w:before="40"/>
        <w:ind w:left="86"/>
        <w:rPr>
          <w:sz w:val="16"/>
          <w:szCs w:val="16"/>
        </w:rPr>
      </w:pPr>
      <w:r w:rsidRPr="00196F15">
        <w:rPr>
          <w:sz w:val="16"/>
          <w:szCs w:val="16"/>
        </w:rPr>
        <w:t>Men = 18 years and older.  Kids = Less than 18 years old.</w:t>
      </w:r>
    </w:p>
    <w:p w:rsidR="007F23D7" w:rsidRDefault="007F23D7" w:rsidP="003E6BC2">
      <w:pPr>
        <w:rPr>
          <w:b/>
          <w:sz w:val="20"/>
        </w:rPr>
      </w:pPr>
    </w:p>
    <w:p w:rsidR="00196F15" w:rsidRPr="0090281B" w:rsidRDefault="00196F15" w:rsidP="0090281B">
      <w:pPr>
        <w:jc w:val="center"/>
        <w:rPr>
          <w:b/>
          <w:sz w:val="20"/>
        </w:rPr>
      </w:pPr>
    </w:p>
    <w:p w:rsidR="00FE02A1" w:rsidRPr="00B402DD" w:rsidRDefault="007F23D7">
      <w:pPr>
        <w:rPr>
          <w:rFonts w:cs="Arial"/>
          <w:sz w:val="18"/>
          <w:szCs w:val="18"/>
        </w:rPr>
      </w:pPr>
      <w:r w:rsidRPr="00C479C8">
        <w:rPr>
          <w:rFonts w:cs="Arial"/>
          <w:b/>
          <w:sz w:val="18"/>
          <w:szCs w:val="18"/>
          <w:u w:val="single"/>
        </w:rPr>
        <w:t>Sources:</w:t>
      </w:r>
      <w:r w:rsidR="00FE02A1" w:rsidRPr="00C479C8">
        <w:rPr>
          <w:rFonts w:cs="Arial"/>
          <w:b/>
          <w:sz w:val="18"/>
          <w:szCs w:val="18"/>
          <w:u w:val="single"/>
        </w:rPr>
        <w:t xml:space="preserve"> </w:t>
      </w:r>
      <w:bookmarkStart w:id="2" w:name="_Hlt40076235"/>
      <w:r w:rsidR="003E6BC2" w:rsidRPr="003E6BC2">
        <w:rPr>
          <w:rFonts w:cs="Arial"/>
          <w:sz w:val="18"/>
          <w:szCs w:val="18"/>
        </w:rPr>
        <w:t xml:space="preserve">State-specific smoking rates: 2016 Behavioral Risk Factor Surveillance System (BRFSS). National: 2016 National Health Interview Survey (NHIS). National number of </w:t>
      </w:r>
      <w:r w:rsidR="003E6BC2">
        <w:rPr>
          <w:rFonts w:cs="Arial"/>
          <w:sz w:val="18"/>
          <w:szCs w:val="18"/>
        </w:rPr>
        <w:t>male</w:t>
      </w:r>
      <w:r w:rsidR="003E6BC2" w:rsidRPr="003E6BC2">
        <w:rPr>
          <w:rFonts w:cs="Arial"/>
          <w:sz w:val="18"/>
          <w:szCs w:val="18"/>
        </w:rPr>
        <w:t xml:space="preserve"> smokers from 2016 NHIS. U.S. Bureau of Census 2016 population estimates used to compute state-specific number of </w:t>
      </w:r>
      <w:r w:rsidR="003E6BC2">
        <w:rPr>
          <w:rFonts w:cs="Arial"/>
          <w:sz w:val="18"/>
          <w:szCs w:val="18"/>
        </w:rPr>
        <w:t>male</w:t>
      </w:r>
      <w:r w:rsidR="003E6BC2" w:rsidRPr="003E6BC2">
        <w:rPr>
          <w:rFonts w:cs="Arial"/>
          <w:sz w:val="18"/>
          <w:szCs w:val="18"/>
        </w:rPr>
        <w:t xml:space="preserve"> smokers. </w:t>
      </w:r>
      <w:r w:rsidR="00BC2EEB" w:rsidRPr="00BC2EEB">
        <w:rPr>
          <w:rFonts w:cs="Arial"/>
          <w:sz w:val="18"/>
          <w:szCs w:val="18"/>
        </w:rPr>
        <w:t>National and state-specific annual smoking deaths from the CDC’s STATE System (average annual deaths from 2005-2009), which is the most current state-specific data by gender available</w:t>
      </w:r>
      <w:bookmarkEnd w:id="2"/>
      <w:r w:rsidR="00BC2EEB" w:rsidRPr="00BC2EEB">
        <w:rPr>
          <w:rFonts w:cs="Arial"/>
          <w:sz w:val="18"/>
          <w:szCs w:val="18"/>
        </w:rPr>
        <w:t xml:space="preserve">. </w:t>
      </w:r>
      <w:r w:rsidR="000B035A" w:rsidRPr="00E25060">
        <w:rPr>
          <w:rFonts w:cs="Arial"/>
          <w:sz w:val="18"/>
          <w:szCs w:val="18"/>
        </w:rPr>
        <w:t xml:space="preserve">Estimates of lost dads: </w:t>
      </w:r>
      <w:r w:rsidR="00FE02A1" w:rsidRPr="00E25060">
        <w:rPr>
          <w:rFonts w:cs="Arial"/>
          <w:sz w:val="18"/>
          <w:szCs w:val="18"/>
        </w:rPr>
        <w:t xml:space="preserve">Leistikow, B, et al., </w:t>
      </w:r>
      <w:r w:rsidR="00C105CC" w:rsidRPr="00E25060">
        <w:rPr>
          <w:rFonts w:cs="Arial"/>
          <w:sz w:val="18"/>
          <w:szCs w:val="18"/>
        </w:rPr>
        <w:t>“</w:t>
      </w:r>
      <w:r w:rsidR="00FE02A1" w:rsidRPr="00E25060">
        <w:rPr>
          <w:rFonts w:cs="Arial"/>
          <w:sz w:val="18"/>
          <w:szCs w:val="18"/>
        </w:rPr>
        <w:t xml:space="preserve">Estimates of Smoking-Attributable Deaths at Ages 15-54, Motherless or Fatherless Youths, and Resulting </w:t>
      </w:r>
      <w:r w:rsidR="00FE02A1" w:rsidRPr="008677C6">
        <w:rPr>
          <w:rFonts w:cs="Arial"/>
          <w:sz w:val="18"/>
          <w:szCs w:val="18"/>
        </w:rPr>
        <w:t>Social Security Costs in the United States in 1994,</w:t>
      </w:r>
      <w:r w:rsidR="00C105CC" w:rsidRPr="008677C6">
        <w:rPr>
          <w:rFonts w:cs="Arial"/>
          <w:sz w:val="18"/>
          <w:szCs w:val="18"/>
        </w:rPr>
        <w:t>”</w:t>
      </w:r>
      <w:r w:rsidR="00FE02A1" w:rsidRPr="008677C6">
        <w:rPr>
          <w:rFonts w:cs="Arial"/>
          <w:sz w:val="18"/>
          <w:szCs w:val="18"/>
        </w:rPr>
        <w:t xml:space="preserve"> </w:t>
      </w:r>
      <w:r w:rsidR="00FE02A1" w:rsidRPr="008677C6">
        <w:rPr>
          <w:rFonts w:cs="Arial"/>
          <w:i/>
          <w:sz w:val="18"/>
          <w:szCs w:val="18"/>
        </w:rPr>
        <w:t>Preventive Medicine</w:t>
      </w:r>
      <w:r w:rsidR="00BD2F31" w:rsidRPr="008677C6">
        <w:rPr>
          <w:rFonts w:cs="Arial"/>
          <w:sz w:val="18"/>
          <w:szCs w:val="18"/>
        </w:rPr>
        <w:t xml:space="preserve"> 30(5):</w:t>
      </w:r>
      <w:r w:rsidR="00C105CC" w:rsidRPr="008677C6">
        <w:rPr>
          <w:rFonts w:cs="Arial"/>
          <w:sz w:val="18"/>
          <w:szCs w:val="18"/>
        </w:rPr>
        <w:t xml:space="preserve">353-360, </w:t>
      </w:r>
      <w:r w:rsidR="00FE02A1" w:rsidRPr="008677C6">
        <w:rPr>
          <w:rFonts w:cs="Arial"/>
          <w:sz w:val="18"/>
          <w:szCs w:val="18"/>
        </w:rPr>
        <w:t>May 2000, and state-specific data provided by the author</w:t>
      </w:r>
      <w:r w:rsidR="00EB173D" w:rsidRPr="008677C6">
        <w:rPr>
          <w:rFonts w:cs="Arial"/>
          <w:sz w:val="18"/>
          <w:szCs w:val="18"/>
        </w:rPr>
        <w:t xml:space="preserve">. </w:t>
      </w:r>
      <w:r w:rsidR="008677C6" w:rsidRPr="008677C6">
        <w:rPr>
          <w:rFonts w:cs="Arial"/>
          <w:sz w:val="18"/>
          <w:szCs w:val="18"/>
        </w:rPr>
        <w:t xml:space="preserve">Costs: CDC, </w:t>
      </w:r>
      <w:r w:rsidR="008677C6" w:rsidRPr="008677C6">
        <w:rPr>
          <w:rFonts w:cs="Arial"/>
          <w:i/>
          <w:iCs/>
          <w:sz w:val="18"/>
          <w:szCs w:val="18"/>
        </w:rPr>
        <w:t xml:space="preserve">Best Practices for Comprehensive Tobacco Control Programs 2014, </w:t>
      </w:r>
      <w:hyperlink r:id="rId8" w:history="1">
        <w:r w:rsidR="008677C6" w:rsidRPr="008677C6">
          <w:rPr>
            <w:rStyle w:val="Hyperlink"/>
            <w:rFonts w:cs="Arial"/>
            <w:iCs/>
            <w:sz w:val="18"/>
            <w:szCs w:val="18"/>
          </w:rPr>
          <w:t>http://www.cdc.gov/tobacco/stateandcommunity/best_practices/pdfs/2014/comprehensive.pdf</w:t>
        </w:r>
      </w:hyperlink>
      <w:r w:rsidR="008677C6" w:rsidRPr="008677C6">
        <w:rPr>
          <w:rFonts w:cs="Arial"/>
          <w:sz w:val="18"/>
          <w:szCs w:val="18"/>
        </w:rPr>
        <w:t>, based on male proportion of annual smoking deaths.</w:t>
      </w:r>
    </w:p>
    <w:p w:rsidR="001F2F17" w:rsidRDefault="001F2F17" w:rsidP="0090281B">
      <w:pPr>
        <w:pStyle w:val="Heading4"/>
        <w:rPr>
          <w:sz w:val="16"/>
          <w:szCs w:val="16"/>
        </w:rPr>
      </w:pPr>
    </w:p>
    <w:p w:rsidR="0090281B" w:rsidRPr="004B5313" w:rsidRDefault="0090281B" w:rsidP="0090281B">
      <w:pPr>
        <w:pStyle w:val="Heading4"/>
        <w:rPr>
          <w:szCs w:val="18"/>
        </w:rPr>
      </w:pPr>
      <w:r w:rsidRPr="004B5313">
        <w:rPr>
          <w:szCs w:val="18"/>
        </w:rPr>
        <w:t xml:space="preserve"> Campaign for Tobacco-Free Kids</w:t>
      </w:r>
      <w:r w:rsidR="003E6BC2">
        <w:rPr>
          <w:szCs w:val="18"/>
        </w:rPr>
        <w:t xml:space="preserve">, </w:t>
      </w:r>
      <w:r w:rsidR="00C4183A">
        <w:rPr>
          <w:szCs w:val="18"/>
        </w:rPr>
        <w:t>May 30</w:t>
      </w:r>
      <w:bookmarkStart w:id="3" w:name="_GoBack"/>
      <w:bookmarkEnd w:id="3"/>
      <w:r w:rsidR="003E6BC2">
        <w:rPr>
          <w:szCs w:val="18"/>
        </w:rPr>
        <w:t>, 2018</w:t>
      </w:r>
      <w:r w:rsidR="00C105CC">
        <w:rPr>
          <w:szCs w:val="18"/>
        </w:rPr>
        <w:t xml:space="preserve"> </w:t>
      </w:r>
      <w:r w:rsidRPr="004B5313">
        <w:rPr>
          <w:szCs w:val="18"/>
        </w:rPr>
        <w:t>/</w:t>
      </w:r>
      <w:r w:rsidR="00C105CC">
        <w:rPr>
          <w:szCs w:val="18"/>
        </w:rPr>
        <w:t xml:space="preserve"> </w:t>
      </w:r>
      <w:r w:rsidR="009C16B7">
        <w:rPr>
          <w:szCs w:val="18"/>
        </w:rPr>
        <w:t>Laura Bach</w:t>
      </w:r>
    </w:p>
    <w:p w:rsidR="007F23D7" w:rsidRDefault="007F23D7">
      <w:pPr>
        <w:rPr>
          <w:rFonts w:ascii="Arial Narrow" w:hAnsi="Arial Narrow"/>
          <w:sz w:val="18"/>
        </w:rPr>
      </w:pPr>
    </w:p>
    <w:sectPr w:rsidR="007F23D7" w:rsidSect="00B402DD">
      <w:headerReference w:type="default" r:id="rId9"/>
      <w:footerReference w:type="first" r:id="rId10"/>
      <w:pgSz w:w="15840" w:h="12240" w:orient="landscape" w:code="1"/>
      <w:pgMar w:top="504" w:right="1080" w:bottom="432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70" w:rsidRDefault="004C0070">
      <w:r>
        <w:separator/>
      </w:r>
    </w:p>
  </w:endnote>
  <w:endnote w:type="continuationSeparator" w:id="0">
    <w:p w:rsidR="004C0070" w:rsidRDefault="004C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B8" w:rsidRDefault="002A1CB8">
    <w:pPr>
      <w:pStyle w:val="Footer"/>
      <w:pBdr>
        <w:top w:val="single" w:sz="4" w:space="1" w:color="auto"/>
      </w:pBdr>
      <w:jc w:val="center"/>
      <w:rPr>
        <w:sz w:val="20"/>
      </w:rPr>
    </w:pPr>
    <w:r>
      <w:rPr>
        <w:sz w:val="20"/>
      </w:rPr>
      <w:t xml:space="preserve">1400 I Street, NW  </w:t>
    </w:r>
    <w:smartTag w:uri="urn:schemas-microsoft-com:office:smarttags" w:element="address">
      <w:r>
        <w:rPr>
          <w:sz w:val="20"/>
        </w:rPr>
        <w:t>Suite 1200</w:t>
      </w:r>
    </w:smartTag>
    <w:r>
      <w:rPr>
        <w:sz w:val="20"/>
      </w:rPr>
      <w:t xml:space="preserve"> · </w:t>
    </w:r>
    <w:smartTag w:uri="urn:schemas-microsoft-com:office:smarttags" w:element="place">
      <w:smartTag w:uri="urn:schemas-microsoft-com:office:smarttags" w:element="City">
        <w:r>
          <w:rPr>
            <w:sz w:val="20"/>
          </w:rPr>
          <w:t>Washington</w:t>
        </w:r>
      </w:smartTag>
      <w:r>
        <w:rPr>
          <w:sz w:val="20"/>
        </w:rPr>
        <w:t xml:space="preserve">, </w:t>
      </w:r>
      <w:smartTag w:uri="urn:schemas-microsoft-com:office:smarttags" w:element="State">
        <w:r>
          <w:rPr>
            <w:sz w:val="20"/>
          </w:rPr>
          <w:t>DC</w:t>
        </w:r>
      </w:smartTag>
      <w:r>
        <w:rPr>
          <w:sz w:val="20"/>
        </w:rPr>
        <w:t xml:space="preserve"> </w:t>
      </w:r>
      <w:smartTag w:uri="urn:schemas-microsoft-com:office:smarttags" w:element="PostalCode">
        <w:r>
          <w:rPr>
            <w:sz w:val="20"/>
          </w:rPr>
          <w:t>20005</w:t>
        </w:r>
      </w:smartTag>
    </w:smartTag>
    <w:r>
      <w:rPr>
        <w:sz w:val="20"/>
      </w:rPr>
      <w:t xml:space="preserve"> · Phone (202) 296-5469 · Fax (202) 296-5427 · www.tobaccofreekids.org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70" w:rsidRDefault="004C0070">
      <w:r>
        <w:separator/>
      </w:r>
    </w:p>
  </w:footnote>
  <w:footnote w:type="continuationSeparator" w:id="0">
    <w:p w:rsidR="004C0070" w:rsidRDefault="004C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B8" w:rsidRPr="00C105CC" w:rsidRDefault="002A1CB8">
    <w:pPr>
      <w:pStyle w:val="Header"/>
      <w:rPr>
        <w:i/>
        <w:sz w:val="18"/>
        <w:szCs w:val="18"/>
      </w:rPr>
    </w:pPr>
  </w:p>
  <w:p w:rsidR="002A1CB8" w:rsidRPr="00C105CC" w:rsidRDefault="002A1CB8">
    <w:pPr>
      <w:pStyle w:val="Header"/>
      <w:jc w:val="right"/>
      <w:rPr>
        <w:rStyle w:val="PageNumber"/>
        <w:i/>
        <w:sz w:val="18"/>
        <w:szCs w:val="18"/>
      </w:rPr>
    </w:pPr>
    <w:r w:rsidRPr="00C105CC">
      <w:rPr>
        <w:i/>
        <w:sz w:val="18"/>
        <w:szCs w:val="18"/>
      </w:rPr>
      <w:t xml:space="preserve">Father's Day Smoking Data / </w:t>
    </w:r>
    <w:r w:rsidRPr="00C105CC">
      <w:rPr>
        <w:rStyle w:val="PageNumber"/>
        <w:i/>
        <w:sz w:val="18"/>
        <w:szCs w:val="18"/>
      </w:rPr>
      <w:fldChar w:fldCharType="begin"/>
    </w:r>
    <w:r w:rsidRPr="00C105CC">
      <w:rPr>
        <w:rStyle w:val="PageNumber"/>
        <w:i/>
        <w:sz w:val="18"/>
        <w:szCs w:val="18"/>
      </w:rPr>
      <w:instrText xml:space="preserve"> PAGE </w:instrText>
    </w:r>
    <w:r w:rsidRPr="00C105CC">
      <w:rPr>
        <w:rStyle w:val="PageNumber"/>
        <w:i/>
        <w:sz w:val="18"/>
        <w:szCs w:val="18"/>
      </w:rPr>
      <w:fldChar w:fldCharType="separate"/>
    </w:r>
    <w:r w:rsidR="00C4183A">
      <w:rPr>
        <w:rStyle w:val="PageNumber"/>
        <w:i/>
        <w:noProof/>
        <w:sz w:val="18"/>
        <w:szCs w:val="18"/>
      </w:rPr>
      <w:t>2</w:t>
    </w:r>
    <w:r w:rsidRPr="00C105CC">
      <w:rPr>
        <w:rStyle w:val="PageNumber"/>
        <w:i/>
        <w:sz w:val="18"/>
        <w:szCs w:val="18"/>
      </w:rPr>
      <w:fldChar w:fldCharType="end"/>
    </w:r>
  </w:p>
  <w:p w:rsidR="002A1CB8" w:rsidRPr="00C105CC" w:rsidRDefault="002A1CB8">
    <w:pPr>
      <w:pStyle w:val="Header"/>
      <w:jc w:val="right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B"/>
    <w:rsid w:val="00004AFC"/>
    <w:rsid w:val="00016F51"/>
    <w:rsid w:val="000305FD"/>
    <w:rsid w:val="00043BF4"/>
    <w:rsid w:val="00090B2E"/>
    <w:rsid w:val="000B035A"/>
    <w:rsid w:val="000B5B42"/>
    <w:rsid w:val="000E2AB2"/>
    <w:rsid w:val="00110453"/>
    <w:rsid w:val="001306E9"/>
    <w:rsid w:val="00180816"/>
    <w:rsid w:val="00181D6C"/>
    <w:rsid w:val="00182D64"/>
    <w:rsid w:val="00196F15"/>
    <w:rsid w:val="001C1620"/>
    <w:rsid w:val="001D32E3"/>
    <w:rsid w:val="001F2F17"/>
    <w:rsid w:val="00205C78"/>
    <w:rsid w:val="002211B3"/>
    <w:rsid w:val="002253D5"/>
    <w:rsid w:val="00252159"/>
    <w:rsid w:val="00256449"/>
    <w:rsid w:val="0028002C"/>
    <w:rsid w:val="002856D5"/>
    <w:rsid w:val="002A1CB8"/>
    <w:rsid w:val="002E6155"/>
    <w:rsid w:val="002E7204"/>
    <w:rsid w:val="003234E6"/>
    <w:rsid w:val="0035181E"/>
    <w:rsid w:val="00392D38"/>
    <w:rsid w:val="003A5811"/>
    <w:rsid w:val="003C2025"/>
    <w:rsid w:val="003E6BC2"/>
    <w:rsid w:val="003F56D2"/>
    <w:rsid w:val="00443359"/>
    <w:rsid w:val="004745B5"/>
    <w:rsid w:val="004B5313"/>
    <w:rsid w:val="004C0070"/>
    <w:rsid w:val="004E49AB"/>
    <w:rsid w:val="00506914"/>
    <w:rsid w:val="00522BD5"/>
    <w:rsid w:val="00544C95"/>
    <w:rsid w:val="0059775C"/>
    <w:rsid w:val="005A20DA"/>
    <w:rsid w:val="005D674B"/>
    <w:rsid w:val="005F3621"/>
    <w:rsid w:val="00602A8E"/>
    <w:rsid w:val="00602F7D"/>
    <w:rsid w:val="00620D30"/>
    <w:rsid w:val="00637CD0"/>
    <w:rsid w:val="006400DF"/>
    <w:rsid w:val="00686625"/>
    <w:rsid w:val="00694375"/>
    <w:rsid w:val="006F2EB6"/>
    <w:rsid w:val="00716F16"/>
    <w:rsid w:val="00725512"/>
    <w:rsid w:val="00753B5B"/>
    <w:rsid w:val="00775B3B"/>
    <w:rsid w:val="007A1F5D"/>
    <w:rsid w:val="007D580B"/>
    <w:rsid w:val="007F23D7"/>
    <w:rsid w:val="00822B23"/>
    <w:rsid w:val="00831CE7"/>
    <w:rsid w:val="00834673"/>
    <w:rsid w:val="00841603"/>
    <w:rsid w:val="008501F9"/>
    <w:rsid w:val="008677C6"/>
    <w:rsid w:val="0089129D"/>
    <w:rsid w:val="008D013E"/>
    <w:rsid w:val="008E7009"/>
    <w:rsid w:val="0090281B"/>
    <w:rsid w:val="00922D8A"/>
    <w:rsid w:val="00973E46"/>
    <w:rsid w:val="0097436A"/>
    <w:rsid w:val="009B0600"/>
    <w:rsid w:val="009C16B7"/>
    <w:rsid w:val="009E6E1C"/>
    <w:rsid w:val="00A41E0E"/>
    <w:rsid w:val="00A45D23"/>
    <w:rsid w:val="00A571AA"/>
    <w:rsid w:val="00A630CB"/>
    <w:rsid w:val="00A84A5D"/>
    <w:rsid w:val="00A95336"/>
    <w:rsid w:val="00AA17DB"/>
    <w:rsid w:val="00B02CAD"/>
    <w:rsid w:val="00B402DD"/>
    <w:rsid w:val="00B6127A"/>
    <w:rsid w:val="00B74FC5"/>
    <w:rsid w:val="00B764F3"/>
    <w:rsid w:val="00BC2EEB"/>
    <w:rsid w:val="00BD2F31"/>
    <w:rsid w:val="00BE33A3"/>
    <w:rsid w:val="00C105CC"/>
    <w:rsid w:val="00C4183A"/>
    <w:rsid w:val="00C479C8"/>
    <w:rsid w:val="00C7341C"/>
    <w:rsid w:val="00C76A8C"/>
    <w:rsid w:val="00CB7286"/>
    <w:rsid w:val="00CD2041"/>
    <w:rsid w:val="00CE4C4F"/>
    <w:rsid w:val="00CE6EDD"/>
    <w:rsid w:val="00CF7611"/>
    <w:rsid w:val="00D01B76"/>
    <w:rsid w:val="00D230B1"/>
    <w:rsid w:val="00D56359"/>
    <w:rsid w:val="00D85426"/>
    <w:rsid w:val="00D92EBB"/>
    <w:rsid w:val="00DB2F03"/>
    <w:rsid w:val="00DC2C89"/>
    <w:rsid w:val="00DC463A"/>
    <w:rsid w:val="00DC6FF1"/>
    <w:rsid w:val="00E134D3"/>
    <w:rsid w:val="00E25060"/>
    <w:rsid w:val="00E41553"/>
    <w:rsid w:val="00E47FE4"/>
    <w:rsid w:val="00E565BF"/>
    <w:rsid w:val="00E631A9"/>
    <w:rsid w:val="00E67412"/>
    <w:rsid w:val="00EB173D"/>
    <w:rsid w:val="00EB65B7"/>
    <w:rsid w:val="00EC4BC4"/>
    <w:rsid w:val="00ED6116"/>
    <w:rsid w:val="00F14D8E"/>
    <w:rsid w:val="00F15906"/>
    <w:rsid w:val="00F33A19"/>
    <w:rsid w:val="00F47CA2"/>
    <w:rsid w:val="00F51958"/>
    <w:rsid w:val="00FB36F0"/>
    <w:rsid w:val="00FE02A1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18"/>
    </w:rPr>
  </w:style>
  <w:style w:type="character" w:styleId="CommentReference">
    <w:name w:val="annotation reference"/>
    <w:rsid w:val="009C1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16B7"/>
    <w:rPr>
      <w:sz w:val="20"/>
    </w:rPr>
  </w:style>
  <w:style w:type="character" w:customStyle="1" w:styleId="CommentTextChar">
    <w:name w:val="Comment Text Char"/>
    <w:link w:val="CommentText"/>
    <w:rsid w:val="009C16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16B7"/>
    <w:rPr>
      <w:b/>
      <w:bCs/>
    </w:rPr>
  </w:style>
  <w:style w:type="character" w:customStyle="1" w:styleId="CommentSubjectChar">
    <w:name w:val="Comment Subject Char"/>
    <w:link w:val="CommentSubject"/>
    <w:rsid w:val="009C16B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C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1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18"/>
    </w:rPr>
  </w:style>
  <w:style w:type="character" w:styleId="CommentReference">
    <w:name w:val="annotation reference"/>
    <w:rsid w:val="009C1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16B7"/>
    <w:rPr>
      <w:sz w:val="20"/>
    </w:rPr>
  </w:style>
  <w:style w:type="character" w:customStyle="1" w:styleId="CommentTextChar">
    <w:name w:val="Comment Text Char"/>
    <w:link w:val="CommentText"/>
    <w:rsid w:val="009C16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16B7"/>
    <w:rPr>
      <w:b/>
      <w:bCs/>
    </w:rPr>
  </w:style>
  <w:style w:type="character" w:customStyle="1" w:styleId="CommentSubjectChar">
    <w:name w:val="Comment Subject Char"/>
    <w:link w:val="CommentSubject"/>
    <w:rsid w:val="009C16B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C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tobacco/stateandcommunity/best_practices/pdfs/2014/comprehensiv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B34CB0B3.dotm</Template>
  <TotalTime>4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FATHER'S DAY SMOKING DATA</vt:lpstr>
    </vt:vector>
  </TitlesOfParts>
  <Company>CFTFK</Company>
  <LinksUpToDate>false</LinksUpToDate>
  <CharactersWithSpaces>5641</CharactersWithSpaces>
  <SharedDoc>false</SharedDoc>
  <HLinks>
    <vt:vector size="18" baseType="variant">
      <vt:variant>
        <vt:i4>4522101</vt:i4>
      </vt:variant>
      <vt:variant>
        <vt:i4>6</vt:i4>
      </vt:variant>
      <vt:variant>
        <vt:i4>0</vt:i4>
      </vt:variant>
      <vt:variant>
        <vt:i4>5</vt:i4>
      </vt:variant>
      <vt:variant>
        <vt:lpwstr>http://www.cdc.gov/tobacco/stateandcommunity/best_practices/pdfs/2014/comprehensive.pdf</vt:lpwstr>
      </vt:variant>
      <vt:variant>
        <vt:lpwstr/>
      </vt:variant>
      <vt:variant>
        <vt:i4>851996</vt:i4>
      </vt:variant>
      <vt:variant>
        <vt:i4>3</vt:i4>
      </vt:variant>
      <vt:variant>
        <vt:i4>0</vt:i4>
      </vt:variant>
      <vt:variant>
        <vt:i4>5</vt:i4>
      </vt:variant>
      <vt:variant>
        <vt:lpwstr>http://www.cdc.gov/mmwr/PDF/wk/mm5802.pdf</vt:lpwstr>
      </vt:variant>
      <vt:variant>
        <vt:lpwstr/>
      </vt:variant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http://www.tobaccofreekids.org/research/factsheets/pdf/0247.pdf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FATHER'S DAY SMOKING DATA</dc:title>
  <dc:creator>Eric Lindblom</dc:creator>
  <cp:lastModifiedBy>Laura Bach</cp:lastModifiedBy>
  <cp:revision>4</cp:revision>
  <cp:lastPrinted>2014-06-11T14:57:00Z</cp:lastPrinted>
  <dcterms:created xsi:type="dcterms:W3CDTF">2018-04-04T14:43:00Z</dcterms:created>
  <dcterms:modified xsi:type="dcterms:W3CDTF">2018-05-30T18:19:00Z</dcterms:modified>
</cp:coreProperties>
</file>