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A189" w14:textId="06BCBB82" w:rsidR="0059656E" w:rsidRDefault="000624F7" w:rsidP="00AD1DA7">
      <w:pPr>
        <w:spacing w:after="120"/>
        <w:rPr>
          <w:b/>
          <w:bCs/>
          <w:szCs w:val="24"/>
          <w:u w:val="single"/>
        </w:rPr>
      </w:pPr>
      <w:r w:rsidRPr="000624F7">
        <w:rPr>
          <w:b/>
          <w:szCs w:val="24"/>
          <w:u w:val="single"/>
        </w:rPr>
        <w:t xml:space="preserve">Program Element # </w:t>
      </w:r>
      <w:r w:rsidR="00FA0FD0">
        <w:rPr>
          <w:b/>
          <w:szCs w:val="24"/>
          <w:u w:val="single"/>
        </w:rPr>
        <w:t>16</w:t>
      </w:r>
      <w:r w:rsidRPr="000624F7">
        <w:rPr>
          <w:b/>
          <w:szCs w:val="24"/>
          <w:u w:val="single"/>
        </w:rPr>
        <w:t xml:space="preserve">:  </w:t>
      </w:r>
      <w:r w:rsidR="00DD23ED">
        <w:rPr>
          <w:b/>
          <w:bCs/>
          <w:szCs w:val="24"/>
          <w:u w:val="single"/>
        </w:rPr>
        <w:t>Tribal</w:t>
      </w:r>
      <w:r w:rsidR="001B2C93">
        <w:rPr>
          <w:b/>
          <w:bCs/>
          <w:szCs w:val="24"/>
          <w:u w:val="single"/>
        </w:rPr>
        <w:t xml:space="preserve"> </w:t>
      </w:r>
      <w:r w:rsidRPr="000624F7">
        <w:rPr>
          <w:b/>
          <w:bCs/>
          <w:szCs w:val="24"/>
          <w:u w:val="single"/>
        </w:rPr>
        <w:t>Tobacco Prevention Program</w:t>
      </w:r>
      <w:r w:rsidR="00FC75A4">
        <w:rPr>
          <w:b/>
          <w:bCs/>
          <w:szCs w:val="24"/>
          <w:u w:val="single"/>
        </w:rPr>
        <w:t xml:space="preserve"> </w:t>
      </w:r>
    </w:p>
    <w:p w14:paraId="12FEFCC4" w14:textId="7EE59696" w:rsidR="0059656E" w:rsidRPr="007E1169" w:rsidRDefault="0059656E" w:rsidP="00AD1DA7">
      <w:pPr>
        <w:spacing w:after="120"/>
        <w:rPr>
          <w:b/>
          <w:bCs/>
        </w:rPr>
      </w:pPr>
      <w:r w:rsidRPr="007E1169">
        <w:rPr>
          <w:b/>
          <w:bCs/>
        </w:rPr>
        <w:t xml:space="preserve">OHA Program Responsible for Program Element: </w:t>
      </w:r>
    </w:p>
    <w:p w14:paraId="7B448F13" w14:textId="7B398FED" w:rsidR="0059656E" w:rsidRDefault="0059656E" w:rsidP="007E1169">
      <w:pPr>
        <w:spacing w:after="120"/>
        <w:rPr>
          <w:b/>
          <w:szCs w:val="24"/>
        </w:rPr>
      </w:pPr>
      <w:r>
        <w:tab/>
        <w:t>Public Health Division/Health Promotion and Chronic Disease Prevention Section</w:t>
      </w:r>
    </w:p>
    <w:p w14:paraId="44DA225E" w14:textId="1893A7D6" w:rsidR="00376181" w:rsidRPr="00BC673D" w:rsidRDefault="000624F7" w:rsidP="007E1169">
      <w:pPr>
        <w:pStyle w:val="ListParagraph"/>
        <w:numPr>
          <w:ilvl w:val="0"/>
          <w:numId w:val="13"/>
        </w:numPr>
        <w:spacing w:before="240" w:after="120"/>
        <w:ind w:left="720" w:hanging="450"/>
        <w:rPr>
          <w:szCs w:val="24"/>
        </w:rPr>
      </w:pPr>
      <w:r w:rsidRPr="00512415">
        <w:rPr>
          <w:b/>
          <w:szCs w:val="24"/>
        </w:rPr>
        <w:t>Description.</w:t>
      </w:r>
      <w:r w:rsidRPr="00512415">
        <w:rPr>
          <w:szCs w:val="24"/>
        </w:rPr>
        <w:t xml:space="preserve">  </w:t>
      </w:r>
      <w:r w:rsidR="00512415" w:rsidRPr="000624F7">
        <w:rPr>
          <w:szCs w:val="24"/>
        </w:rPr>
        <w:t>Fund</w:t>
      </w:r>
      <w:r w:rsidR="00512415">
        <w:rPr>
          <w:szCs w:val="24"/>
        </w:rPr>
        <w:t>ing</w:t>
      </w:r>
      <w:r w:rsidR="00512415" w:rsidRPr="000624F7">
        <w:rPr>
          <w:szCs w:val="24"/>
        </w:rPr>
        <w:t xml:space="preserve"> provided under </w:t>
      </w:r>
      <w:r w:rsidR="00512415" w:rsidRPr="00DE3338">
        <w:rPr>
          <w:szCs w:val="24"/>
        </w:rPr>
        <w:t>this</w:t>
      </w:r>
      <w:r w:rsidR="00512415" w:rsidRPr="000624F7">
        <w:rPr>
          <w:szCs w:val="24"/>
        </w:rPr>
        <w:t xml:space="preserve"> Agreement for this Program Element may be used to </w:t>
      </w:r>
      <w:r w:rsidR="00512415" w:rsidRPr="00DE3338">
        <w:rPr>
          <w:szCs w:val="24"/>
        </w:rPr>
        <w:t>deliver</w:t>
      </w:r>
      <w:r w:rsidR="00512415" w:rsidRPr="00DE3338">
        <w:rPr>
          <w:b/>
          <w:szCs w:val="24"/>
        </w:rPr>
        <w:t xml:space="preserve"> </w:t>
      </w:r>
      <w:r w:rsidR="00512415" w:rsidRPr="00844B60">
        <w:rPr>
          <w:bCs/>
          <w:szCs w:val="24"/>
        </w:rPr>
        <w:t xml:space="preserve">the </w:t>
      </w:r>
      <w:r w:rsidR="00512415" w:rsidRPr="00EA473E">
        <w:rPr>
          <w:szCs w:val="24"/>
        </w:rPr>
        <w:t xml:space="preserve">Tribal </w:t>
      </w:r>
      <w:r w:rsidR="00512415" w:rsidRPr="000624F7">
        <w:rPr>
          <w:szCs w:val="24"/>
        </w:rPr>
        <w:t>Tobacco Prevention Program</w:t>
      </w:r>
      <w:r w:rsidR="00512415">
        <w:rPr>
          <w:szCs w:val="24"/>
        </w:rPr>
        <w:t xml:space="preserve">. </w:t>
      </w:r>
      <w:r w:rsidR="00376181" w:rsidRPr="00512415">
        <w:rPr>
          <w:szCs w:val="24"/>
        </w:rPr>
        <w:t xml:space="preserve">The </w:t>
      </w:r>
      <w:r w:rsidR="003B03FB" w:rsidRPr="00512415">
        <w:rPr>
          <w:szCs w:val="24"/>
        </w:rPr>
        <w:t xml:space="preserve">goals of the </w:t>
      </w:r>
      <w:r w:rsidR="00376181" w:rsidRPr="003C76D4">
        <w:rPr>
          <w:szCs w:val="24"/>
        </w:rPr>
        <w:t xml:space="preserve">Tribal </w:t>
      </w:r>
      <w:r w:rsidR="00376181" w:rsidRPr="00BC673D">
        <w:rPr>
          <w:szCs w:val="24"/>
        </w:rPr>
        <w:t>Tobacco Prevention Program are to</w:t>
      </w:r>
      <w:r w:rsidR="003B03FB" w:rsidRPr="00BC673D">
        <w:rPr>
          <w:szCs w:val="24"/>
        </w:rPr>
        <w:t>: 1)</w:t>
      </w:r>
      <w:r w:rsidR="00CD22D2" w:rsidRPr="00BC673D">
        <w:rPr>
          <w:szCs w:val="24"/>
        </w:rPr>
        <w:t xml:space="preserve"> </w:t>
      </w:r>
      <w:r w:rsidR="00376181" w:rsidRPr="00AC06BA">
        <w:rPr>
          <w:szCs w:val="24"/>
        </w:rPr>
        <w:t xml:space="preserve">address </w:t>
      </w:r>
      <w:r w:rsidR="006A353A" w:rsidRPr="00AC06BA">
        <w:rPr>
          <w:szCs w:val="24"/>
        </w:rPr>
        <w:t xml:space="preserve">commercial </w:t>
      </w:r>
      <w:r w:rsidR="00376181" w:rsidRPr="00AC06BA">
        <w:rPr>
          <w:szCs w:val="24"/>
        </w:rPr>
        <w:t>tobacco and nicotine use</w:t>
      </w:r>
      <w:r w:rsidR="00931385" w:rsidRPr="00AC06BA">
        <w:rPr>
          <w:szCs w:val="24"/>
        </w:rPr>
        <w:t xml:space="preserve"> (</w:t>
      </w:r>
      <w:r w:rsidR="005A0E95" w:rsidRPr="00AC06BA">
        <w:rPr>
          <w:szCs w:val="24"/>
        </w:rPr>
        <w:t xml:space="preserve">including </w:t>
      </w:r>
      <w:r w:rsidR="00036118" w:rsidRPr="00AC06BA">
        <w:rPr>
          <w:szCs w:val="24"/>
        </w:rPr>
        <w:t>inhalant delivery systems (IDS) a</w:t>
      </w:r>
      <w:r w:rsidR="00036118" w:rsidRPr="00A17FC7">
        <w:rPr>
          <w:szCs w:val="24"/>
        </w:rPr>
        <w:t xml:space="preserve">nd </w:t>
      </w:r>
      <w:r w:rsidR="00036118" w:rsidRPr="00267360">
        <w:rPr>
          <w:szCs w:val="24"/>
        </w:rPr>
        <w:t>electronic cigarette use</w:t>
      </w:r>
      <w:r w:rsidR="00931385" w:rsidRPr="00267360">
        <w:rPr>
          <w:szCs w:val="24"/>
        </w:rPr>
        <w:t>)</w:t>
      </w:r>
      <w:r w:rsidR="00376181" w:rsidRPr="00267360">
        <w:rPr>
          <w:szCs w:val="24"/>
        </w:rPr>
        <w:t xml:space="preserve"> </w:t>
      </w:r>
      <w:r w:rsidR="0088337F" w:rsidRPr="00267360">
        <w:rPr>
          <w:szCs w:val="24"/>
        </w:rPr>
        <w:t xml:space="preserve">in Oregon Tribal Communities </w:t>
      </w:r>
      <w:r w:rsidR="003B03FB" w:rsidRPr="00267360">
        <w:rPr>
          <w:szCs w:val="24"/>
        </w:rPr>
        <w:t xml:space="preserve">through prevention and cessation </w:t>
      </w:r>
      <w:r w:rsidR="004B7DE4" w:rsidRPr="00267360">
        <w:rPr>
          <w:szCs w:val="24"/>
        </w:rPr>
        <w:t xml:space="preserve">efforts; and 2) </w:t>
      </w:r>
      <w:r w:rsidR="00CD22D2" w:rsidRPr="00267360">
        <w:rPr>
          <w:szCs w:val="24"/>
        </w:rPr>
        <w:t xml:space="preserve">reduce </w:t>
      </w:r>
      <w:r w:rsidR="00376181" w:rsidRPr="00267360">
        <w:rPr>
          <w:szCs w:val="24"/>
        </w:rPr>
        <w:t>tobacco-related health</w:t>
      </w:r>
      <w:r w:rsidR="00CD22D2" w:rsidRPr="00267360">
        <w:rPr>
          <w:szCs w:val="24"/>
        </w:rPr>
        <w:t xml:space="preserve"> inequities</w:t>
      </w:r>
      <w:r w:rsidR="00376181" w:rsidRPr="00267360">
        <w:rPr>
          <w:szCs w:val="24"/>
        </w:rPr>
        <w:t xml:space="preserve"> </w:t>
      </w:r>
      <w:r w:rsidR="00CD22D2" w:rsidRPr="00267360">
        <w:rPr>
          <w:szCs w:val="24"/>
        </w:rPr>
        <w:t>through</w:t>
      </w:r>
      <w:r w:rsidR="00376181" w:rsidRPr="00267360">
        <w:rPr>
          <w:szCs w:val="24"/>
        </w:rPr>
        <w:t xml:space="preserve"> the prevention and management of chronic disease related to </w:t>
      </w:r>
      <w:r w:rsidR="006A353A" w:rsidRPr="00267360">
        <w:rPr>
          <w:szCs w:val="24"/>
        </w:rPr>
        <w:t xml:space="preserve">commercial </w:t>
      </w:r>
      <w:r w:rsidR="00376181" w:rsidRPr="00267360">
        <w:rPr>
          <w:szCs w:val="24"/>
        </w:rPr>
        <w:t xml:space="preserve">tobacco and nicotine. </w:t>
      </w:r>
      <w:r w:rsidR="00FA0FD0">
        <w:rPr>
          <w:szCs w:val="24"/>
        </w:rPr>
        <w:t>Tribes</w:t>
      </w:r>
      <w:r w:rsidR="00512415">
        <w:rPr>
          <w:szCs w:val="24"/>
        </w:rPr>
        <w:t xml:space="preserve"> </w:t>
      </w:r>
      <w:r w:rsidR="00376181" w:rsidRPr="00BC673D">
        <w:rPr>
          <w:rFonts w:cstheme="minorHAnsi"/>
          <w:color w:val="000000"/>
          <w:szCs w:val="24"/>
        </w:rPr>
        <w:t>receiving funding through this Program Element ha</w:t>
      </w:r>
      <w:r w:rsidR="00FA0FD0">
        <w:rPr>
          <w:rFonts w:cstheme="minorHAnsi"/>
          <w:color w:val="000000"/>
          <w:szCs w:val="24"/>
        </w:rPr>
        <w:t>ve</w:t>
      </w:r>
      <w:r w:rsidR="00376181" w:rsidRPr="00BC673D">
        <w:rPr>
          <w:rFonts w:cstheme="minorHAnsi"/>
          <w:color w:val="000000"/>
          <w:szCs w:val="24"/>
        </w:rPr>
        <w:t xml:space="preserve"> the autonomy to develop goals and strategies based on community </w:t>
      </w:r>
      <w:r w:rsidR="007E1169" w:rsidRPr="0059656E">
        <w:rPr>
          <w:rFonts w:cstheme="minorHAnsi"/>
          <w:color w:val="000000"/>
          <w:szCs w:val="24"/>
        </w:rPr>
        <w:t>priorities</w:t>
      </w:r>
      <w:r w:rsidR="00376181" w:rsidRPr="00924BA4">
        <w:rPr>
          <w:rFonts w:cstheme="minorHAnsi"/>
          <w:color w:val="000000"/>
          <w:szCs w:val="24"/>
        </w:rPr>
        <w:t xml:space="preserve"> and needs. </w:t>
      </w:r>
      <w:r w:rsidR="00AC06BA">
        <w:rPr>
          <w:rFonts w:cstheme="minorHAnsi"/>
          <w:color w:val="000000"/>
          <w:szCs w:val="24"/>
        </w:rPr>
        <w:t xml:space="preserve">Tribal members </w:t>
      </w:r>
      <w:r w:rsidR="00376181" w:rsidRPr="003C76D4">
        <w:rPr>
          <w:rFonts w:cstheme="minorHAnsi"/>
          <w:color w:val="000000"/>
          <w:szCs w:val="24"/>
        </w:rPr>
        <w:t xml:space="preserve">have the </w:t>
      </w:r>
      <w:r w:rsidR="009C0597" w:rsidRPr="003C76D4">
        <w:rPr>
          <w:rFonts w:cstheme="minorHAnsi"/>
          <w:color w:val="000000"/>
          <w:szCs w:val="24"/>
        </w:rPr>
        <w:t xml:space="preserve">community </w:t>
      </w:r>
      <w:r w:rsidR="00376181" w:rsidRPr="00724F24">
        <w:rPr>
          <w:rFonts w:cstheme="minorHAnsi"/>
          <w:color w:val="000000"/>
          <w:szCs w:val="24"/>
        </w:rPr>
        <w:t>knowledge</w:t>
      </w:r>
      <w:r w:rsidR="009C0597" w:rsidRPr="007E1169">
        <w:rPr>
          <w:rFonts w:cstheme="minorHAnsi"/>
          <w:color w:val="000000"/>
          <w:szCs w:val="24"/>
        </w:rPr>
        <w:t xml:space="preserve"> and strengths</w:t>
      </w:r>
      <w:r w:rsidR="00376181" w:rsidRPr="007E1169">
        <w:rPr>
          <w:rFonts w:cstheme="minorHAnsi"/>
          <w:color w:val="000000"/>
          <w:szCs w:val="24"/>
        </w:rPr>
        <w:t xml:space="preserve"> </w:t>
      </w:r>
      <w:r w:rsidR="009C0597" w:rsidRPr="007E1169">
        <w:rPr>
          <w:rFonts w:cstheme="minorHAnsi"/>
          <w:color w:val="000000"/>
          <w:szCs w:val="24"/>
        </w:rPr>
        <w:t xml:space="preserve">to </w:t>
      </w:r>
      <w:r w:rsidR="00376181" w:rsidRPr="007E1169">
        <w:rPr>
          <w:rFonts w:cstheme="minorHAnsi"/>
          <w:color w:val="000000"/>
          <w:szCs w:val="24"/>
        </w:rPr>
        <w:t>drive sustainable community change</w:t>
      </w:r>
      <w:r w:rsidR="009C0597" w:rsidRPr="007E1169">
        <w:rPr>
          <w:rFonts w:cstheme="minorHAnsi"/>
          <w:color w:val="000000"/>
          <w:szCs w:val="24"/>
        </w:rPr>
        <w:t xml:space="preserve"> though </w:t>
      </w:r>
      <w:r w:rsidR="009C0597" w:rsidRPr="007E1169">
        <w:rPr>
          <w:rFonts w:cstheme="minorHAnsi"/>
          <w:szCs w:val="24"/>
        </w:rPr>
        <w:t>dialogu</w:t>
      </w:r>
      <w:r w:rsidR="009C0597" w:rsidRPr="00924BA4">
        <w:rPr>
          <w:rFonts w:cstheme="minorHAnsi"/>
          <w:szCs w:val="24"/>
        </w:rPr>
        <w:t xml:space="preserve">e with elders, youth, </w:t>
      </w:r>
      <w:r w:rsidR="00BC673D">
        <w:rPr>
          <w:rFonts w:cstheme="minorHAnsi"/>
          <w:szCs w:val="24"/>
        </w:rPr>
        <w:t xml:space="preserve">fellow </w:t>
      </w:r>
      <w:r w:rsidR="009C0597" w:rsidRPr="00924BA4">
        <w:rPr>
          <w:rFonts w:cstheme="minorHAnsi"/>
          <w:szCs w:val="24"/>
        </w:rPr>
        <w:t xml:space="preserve">tribal members and tribal leadership to lay the important groundwork for building community will for sustainable change efforts. </w:t>
      </w:r>
    </w:p>
    <w:p w14:paraId="6792DDD9" w14:textId="5A6808E9" w:rsidR="000624F7" w:rsidRDefault="00FA0FD0" w:rsidP="00CD22D2">
      <w:pPr>
        <w:spacing w:after="120"/>
        <w:ind w:left="720"/>
        <w:rPr>
          <w:szCs w:val="24"/>
        </w:rPr>
      </w:pPr>
      <w:r>
        <w:rPr>
          <w:szCs w:val="24"/>
        </w:rPr>
        <w:t>Tribe</w:t>
      </w:r>
      <w:r w:rsidR="003C76D4">
        <w:rPr>
          <w:szCs w:val="24"/>
        </w:rPr>
        <w:t xml:space="preserve"> </w:t>
      </w:r>
      <w:r w:rsidR="002B0326">
        <w:rPr>
          <w:szCs w:val="24"/>
        </w:rPr>
        <w:t xml:space="preserve">may </w:t>
      </w:r>
      <w:r w:rsidR="00844B60">
        <w:rPr>
          <w:szCs w:val="24"/>
        </w:rPr>
        <w:t>utilize a variety of programs to best meet the needs of the community</w:t>
      </w:r>
      <w:r w:rsidR="002B0326">
        <w:rPr>
          <w:szCs w:val="24"/>
        </w:rPr>
        <w:t xml:space="preserve"> </w:t>
      </w:r>
      <w:r w:rsidR="000624F7" w:rsidRPr="000624F7">
        <w:rPr>
          <w:szCs w:val="24"/>
        </w:rPr>
        <w:t xml:space="preserve">in the following areas: </w:t>
      </w:r>
    </w:p>
    <w:p w14:paraId="286C0BC0" w14:textId="4A3E6F60" w:rsidR="00036118" w:rsidRPr="00CD22D2" w:rsidRDefault="00A41A0B" w:rsidP="00036118">
      <w:pPr>
        <w:numPr>
          <w:ilvl w:val="0"/>
          <w:numId w:val="4"/>
        </w:numPr>
        <w:spacing w:after="120"/>
        <w:ind w:left="1440"/>
        <w:rPr>
          <w:b/>
          <w:bCs/>
          <w:szCs w:val="24"/>
        </w:rPr>
      </w:pPr>
      <w:r w:rsidRPr="00616F81">
        <w:rPr>
          <w:b/>
          <w:bCs/>
          <w:szCs w:val="24"/>
        </w:rPr>
        <w:t>Tobacco cessation/intervention programs</w:t>
      </w:r>
      <w:r w:rsidR="00036118" w:rsidRPr="00616F81">
        <w:rPr>
          <w:b/>
          <w:bCs/>
          <w:szCs w:val="24"/>
        </w:rPr>
        <w:t>:</w:t>
      </w:r>
      <w:r w:rsidR="00036118">
        <w:rPr>
          <w:szCs w:val="24"/>
        </w:rPr>
        <w:t xml:space="preserve"> </w:t>
      </w:r>
      <w:r w:rsidR="00036118" w:rsidRPr="00E42810">
        <w:rPr>
          <w:szCs w:val="24"/>
        </w:rPr>
        <w:t xml:space="preserve">Provide culturally relevant direct cessation programs to community members in community and </w:t>
      </w:r>
      <w:r w:rsidR="00FA0FD0">
        <w:rPr>
          <w:szCs w:val="24"/>
        </w:rPr>
        <w:t xml:space="preserve">tribal </w:t>
      </w:r>
      <w:r w:rsidR="00036118" w:rsidRPr="00E42810">
        <w:rPr>
          <w:szCs w:val="24"/>
        </w:rPr>
        <w:t xml:space="preserve">clinical settings. Address gaps in service and payment opportunities using culturally responsive </w:t>
      </w:r>
      <w:r w:rsidR="00036118">
        <w:rPr>
          <w:szCs w:val="24"/>
        </w:rPr>
        <w:t xml:space="preserve">commercial </w:t>
      </w:r>
      <w:r w:rsidR="00036118" w:rsidRPr="00E42810">
        <w:rPr>
          <w:szCs w:val="24"/>
        </w:rPr>
        <w:t>tobacco cessation interventions</w:t>
      </w:r>
      <w:r w:rsidR="00036118">
        <w:rPr>
          <w:szCs w:val="24"/>
        </w:rPr>
        <w:t>.</w:t>
      </w:r>
      <w:r w:rsidR="00036118">
        <w:rPr>
          <w:rFonts w:asciiTheme="minorHAnsi" w:hAnsiTheme="minorHAnsi" w:cstheme="minorHAnsi"/>
          <w:bCs/>
          <w:szCs w:val="24"/>
        </w:rPr>
        <w:t xml:space="preserve"> </w:t>
      </w:r>
    </w:p>
    <w:p w14:paraId="005D986A" w14:textId="78DAE49D" w:rsidR="00036118" w:rsidRPr="00C56A6D" w:rsidRDefault="00A41A0B" w:rsidP="00C56A6D">
      <w:pPr>
        <w:pStyle w:val="ListParagraph"/>
        <w:numPr>
          <w:ilvl w:val="0"/>
          <w:numId w:val="4"/>
        </w:numPr>
        <w:spacing w:after="120"/>
        <w:ind w:left="1440"/>
        <w:rPr>
          <w:szCs w:val="24"/>
        </w:rPr>
      </w:pPr>
      <w:r w:rsidRPr="00616F81">
        <w:rPr>
          <w:b/>
          <w:bCs/>
          <w:szCs w:val="24"/>
        </w:rPr>
        <w:t>Physical Wellness Centers where programs could be held</w:t>
      </w:r>
      <w:r w:rsidR="00036118" w:rsidRPr="00616F81">
        <w:rPr>
          <w:b/>
          <w:bCs/>
          <w:szCs w:val="24"/>
        </w:rPr>
        <w:t xml:space="preserve">: </w:t>
      </w:r>
      <w:r w:rsidR="00036118" w:rsidRPr="00036118">
        <w:rPr>
          <w:bCs/>
          <w:szCs w:val="24"/>
        </w:rPr>
        <w:t>Development and implementation of healing and wellness centers to support community commercial tobacco prevention and cessation activities</w:t>
      </w:r>
      <w:r w:rsidR="00036118">
        <w:rPr>
          <w:bCs/>
          <w:szCs w:val="24"/>
        </w:rPr>
        <w:t xml:space="preserve">. </w:t>
      </w:r>
    </w:p>
    <w:p w14:paraId="0081516D" w14:textId="77777777" w:rsidR="00C56A6D" w:rsidRPr="00C56A6D" w:rsidRDefault="00C56A6D" w:rsidP="00616F81">
      <w:pPr>
        <w:pStyle w:val="ListParagraph"/>
        <w:spacing w:after="120"/>
        <w:ind w:left="1440"/>
        <w:rPr>
          <w:szCs w:val="24"/>
        </w:rPr>
      </w:pPr>
    </w:p>
    <w:p w14:paraId="350689E5" w14:textId="28038D1F" w:rsidR="00A41A0B" w:rsidRPr="00036118" w:rsidRDefault="00A41A0B" w:rsidP="00616F81">
      <w:pPr>
        <w:pStyle w:val="ListParagraph"/>
        <w:numPr>
          <w:ilvl w:val="0"/>
          <w:numId w:val="4"/>
        </w:numPr>
        <w:spacing w:after="120"/>
        <w:ind w:left="1440"/>
        <w:rPr>
          <w:szCs w:val="24"/>
        </w:rPr>
      </w:pPr>
      <w:r w:rsidRPr="00616F81">
        <w:rPr>
          <w:b/>
          <w:bCs/>
          <w:szCs w:val="24"/>
        </w:rPr>
        <w:t xml:space="preserve">Full-time dedicated positions to do </w:t>
      </w:r>
      <w:r w:rsidR="00A13059">
        <w:rPr>
          <w:b/>
          <w:bCs/>
          <w:szCs w:val="24"/>
        </w:rPr>
        <w:t xml:space="preserve">cessation </w:t>
      </w:r>
      <w:r w:rsidRPr="00267360">
        <w:rPr>
          <w:b/>
          <w:bCs/>
          <w:szCs w:val="24"/>
        </w:rPr>
        <w:t>work possibly housed within clinics</w:t>
      </w:r>
      <w:r w:rsidR="00036118" w:rsidRPr="00267360">
        <w:rPr>
          <w:b/>
          <w:bCs/>
          <w:szCs w:val="24"/>
        </w:rPr>
        <w:t>:</w:t>
      </w:r>
      <w:r w:rsidR="00036118">
        <w:rPr>
          <w:szCs w:val="24"/>
        </w:rPr>
        <w:t xml:space="preserve"> </w:t>
      </w:r>
      <w:r w:rsidR="00036118" w:rsidRPr="000624F7">
        <w:rPr>
          <w:szCs w:val="24"/>
        </w:rPr>
        <w:t xml:space="preserve">Integrate the promotion of the Oregon </w:t>
      </w:r>
      <w:r w:rsidR="00036118">
        <w:rPr>
          <w:szCs w:val="24"/>
        </w:rPr>
        <w:t xml:space="preserve">Native </w:t>
      </w:r>
      <w:r w:rsidR="00036118" w:rsidRPr="000624F7">
        <w:rPr>
          <w:szCs w:val="24"/>
        </w:rPr>
        <w:t xml:space="preserve">Quit Line and tribal </w:t>
      </w:r>
      <w:r w:rsidR="00BC673D">
        <w:rPr>
          <w:szCs w:val="24"/>
        </w:rPr>
        <w:t xml:space="preserve">member </w:t>
      </w:r>
      <w:r w:rsidR="00036118" w:rsidRPr="000624F7">
        <w:rPr>
          <w:szCs w:val="24"/>
        </w:rPr>
        <w:t xml:space="preserve">cessation services into other </w:t>
      </w:r>
      <w:r w:rsidR="00036118" w:rsidRPr="00DE3338">
        <w:rPr>
          <w:szCs w:val="24"/>
        </w:rPr>
        <w:t xml:space="preserve">commercial </w:t>
      </w:r>
      <w:r w:rsidR="00036118" w:rsidRPr="000624F7">
        <w:rPr>
          <w:szCs w:val="24"/>
        </w:rPr>
        <w:t>tobacco control activities</w:t>
      </w:r>
      <w:r w:rsidR="00036118">
        <w:rPr>
          <w:szCs w:val="24"/>
        </w:rPr>
        <w:t xml:space="preserve"> and </w:t>
      </w:r>
      <w:r w:rsidR="00036118" w:rsidRPr="000E5C8D">
        <w:t xml:space="preserve">improve tobacco cessation services </w:t>
      </w:r>
      <w:r w:rsidR="00036118">
        <w:t xml:space="preserve">in </w:t>
      </w:r>
      <w:r w:rsidR="00FA0FD0">
        <w:rPr>
          <w:szCs w:val="24"/>
        </w:rPr>
        <w:t xml:space="preserve">tribal </w:t>
      </w:r>
      <w:r w:rsidR="00036118" w:rsidRPr="000E5C8D">
        <w:t>health clinic setting</w:t>
      </w:r>
      <w:r w:rsidR="00036118">
        <w:t>s.</w:t>
      </w:r>
    </w:p>
    <w:p w14:paraId="4F4B25AC" w14:textId="77777777" w:rsidR="00036118" w:rsidRPr="00A41A0B" w:rsidRDefault="00036118" w:rsidP="00616F81">
      <w:pPr>
        <w:pStyle w:val="ListParagraph"/>
        <w:spacing w:after="120"/>
        <w:ind w:left="1440"/>
        <w:rPr>
          <w:szCs w:val="24"/>
        </w:rPr>
      </w:pPr>
    </w:p>
    <w:p w14:paraId="172E6B4F" w14:textId="02FDED88" w:rsidR="00036118" w:rsidRPr="00C56A6D" w:rsidRDefault="00A41A0B" w:rsidP="00616F81">
      <w:pPr>
        <w:pStyle w:val="ListParagraph"/>
        <w:numPr>
          <w:ilvl w:val="0"/>
          <w:numId w:val="4"/>
        </w:numPr>
        <w:spacing w:after="120"/>
        <w:ind w:left="1440"/>
        <w:rPr>
          <w:szCs w:val="24"/>
        </w:rPr>
      </w:pPr>
      <w:r w:rsidRPr="00616F81">
        <w:rPr>
          <w:b/>
          <w:bCs/>
          <w:szCs w:val="24"/>
        </w:rPr>
        <w:t>Addressing the targeted marketing and exploitation of tribal communities by the tobacco industry</w:t>
      </w:r>
      <w:r w:rsidR="00036118" w:rsidRPr="00616F81">
        <w:rPr>
          <w:b/>
          <w:bCs/>
          <w:szCs w:val="24"/>
        </w:rPr>
        <w:t>:</w:t>
      </w:r>
      <w:r w:rsidR="00036118">
        <w:rPr>
          <w:szCs w:val="24"/>
        </w:rPr>
        <w:t xml:space="preserve"> </w:t>
      </w:r>
      <w:r w:rsidR="00A13059" w:rsidRPr="00CD22D2">
        <w:rPr>
          <w:bCs/>
          <w:szCs w:val="24"/>
        </w:rPr>
        <w:t xml:space="preserve">Promote policies and other measures to protect community members from commercial tobacco industry tactics </w:t>
      </w:r>
      <w:r w:rsidR="00A13059" w:rsidRPr="00CD22D2">
        <w:rPr>
          <w:bCs/>
          <w:color w:val="000000"/>
          <w:shd w:val="clear" w:color="auto" w:fill="FFFFFF"/>
        </w:rPr>
        <w:t>including cultural exploitation through marketing of products, price reductions, coupons, giveaways, gaming promotions, charitable contributions, and sponsorships.</w:t>
      </w:r>
      <w:r w:rsidR="00A13059">
        <w:rPr>
          <w:bCs/>
          <w:color w:val="000000"/>
          <w:shd w:val="clear" w:color="auto" w:fill="FFFFFF"/>
        </w:rPr>
        <w:t xml:space="preserve"> </w:t>
      </w:r>
      <w:r w:rsidR="00A13059" w:rsidRPr="000624F7">
        <w:rPr>
          <w:szCs w:val="24"/>
        </w:rPr>
        <w:t>Reduce the promotion of</w:t>
      </w:r>
      <w:r w:rsidR="00A13059" w:rsidRPr="00DE3338">
        <w:rPr>
          <w:szCs w:val="24"/>
        </w:rPr>
        <w:t xml:space="preserve"> commercial</w:t>
      </w:r>
      <w:r w:rsidR="00A13059" w:rsidRPr="000624F7">
        <w:rPr>
          <w:szCs w:val="24"/>
        </w:rPr>
        <w:t xml:space="preserve"> tobacco on storefronts, in gas stations, at community events and playgrounds in the community. Counter tobacco industry advertising and promotion.   </w:t>
      </w:r>
    </w:p>
    <w:p w14:paraId="56E4D6C7" w14:textId="1E47DC5E" w:rsidR="00A41A0B" w:rsidRPr="00A41A0B" w:rsidRDefault="00A41A0B" w:rsidP="00616F81">
      <w:pPr>
        <w:pStyle w:val="ListParagraph"/>
        <w:spacing w:after="120"/>
        <w:ind w:left="1440"/>
        <w:rPr>
          <w:szCs w:val="24"/>
        </w:rPr>
      </w:pPr>
    </w:p>
    <w:p w14:paraId="2410802A" w14:textId="45DDCA74" w:rsidR="00A41A0B" w:rsidRPr="00A13059" w:rsidRDefault="00A41A0B" w:rsidP="00616F81">
      <w:pPr>
        <w:pStyle w:val="ListParagraph"/>
        <w:numPr>
          <w:ilvl w:val="0"/>
          <w:numId w:val="4"/>
        </w:numPr>
        <w:spacing w:after="120"/>
        <w:ind w:left="1440"/>
        <w:rPr>
          <w:szCs w:val="24"/>
        </w:rPr>
      </w:pPr>
      <w:r w:rsidRPr="00616F81">
        <w:rPr>
          <w:b/>
          <w:bCs/>
          <w:szCs w:val="24"/>
        </w:rPr>
        <w:t>Tribal Based Practices:</w:t>
      </w:r>
      <w:r>
        <w:rPr>
          <w:szCs w:val="24"/>
        </w:rPr>
        <w:t xml:space="preserve"> </w:t>
      </w:r>
      <w:r w:rsidRPr="00E43241">
        <w:rPr>
          <w:szCs w:val="24"/>
        </w:rPr>
        <w:t>Work towards the reduction of</w:t>
      </w:r>
      <w:r>
        <w:rPr>
          <w:b/>
          <w:bCs/>
          <w:szCs w:val="24"/>
        </w:rPr>
        <w:t xml:space="preserve"> </w:t>
      </w:r>
      <w:r>
        <w:rPr>
          <w:rFonts w:cstheme="minorHAnsi"/>
          <w:szCs w:val="24"/>
        </w:rPr>
        <w:t xml:space="preserve">commercial tobacco use </w:t>
      </w:r>
      <w:r w:rsidRPr="00CD22D2">
        <w:rPr>
          <w:rFonts w:cstheme="minorHAnsi"/>
          <w:szCs w:val="24"/>
        </w:rPr>
        <w:t>in communities</w:t>
      </w:r>
      <w:r>
        <w:rPr>
          <w:rFonts w:cstheme="minorHAnsi"/>
          <w:szCs w:val="24"/>
        </w:rPr>
        <w:t xml:space="preserve"> by </w:t>
      </w:r>
      <w:r w:rsidRPr="00CD22D2">
        <w:rPr>
          <w:rFonts w:cstheme="minorHAnsi"/>
          <w:szCs w:val="24"/>
        </w:rPr>
        <w:t xml:space="preserve">emphasizing </w:t>
      </w:r>
      <w:r>
        <w:rPr>
          <w:rFonts w:cstheme="minorHAnsi"/>
          <w:szCs w:val="24"/>
        </w:rPr>
        <w:t>traditional practices</w:t>
      </w:r>
      <w:r w:rsidRPr="00CD22D2">
        <w:rPr>
          <w:rFonts w:cstheme="minorHAnsi"/>
          <w:szCs w:val="24"/>
        </w:rPr>
        <w:t xml:space="preserve"> as </w:t>
      </w:r>
      <w:r>
        <w:rPr>
          <w:rFonts w:cstheme="minorHAnsi"/>
          <w:szCs w:val="24"/>
        </w:rPr>
        <w:t xml:space="preserve">the primary </w:t>
      </w:r>
      <w:r w:rsidRPr="00CD22D2">
        <w:rPr>
          <w:rFonts w:cstheme="minorHAnsi"/>
          <w:szCs w:val="24"/>
        </w:rPr>
        <w:t>prevention</w:t>
      </w:r>
      <w:r>
        <w:rPr>
          <w:rFonts w:cstheme="minorHAnsi"/>
          <w:szCs w:val="24"/>
        </w:rPr>
        <w:t xml:space="preserve"> framework using </w:t>
      </w:r>
      <w:r w:rsidR="007E1169">
        <w:t>culturally validated</w:t>
      </w:r>
      <w:r>
        <w:t xml:space="preserve"> programs and interventions based in traditional teachings.</w:t>
      </w:r>
    </w:p>
    <w:p w14:paraId="021D2469" w14:textId="77777777" w:rsidR="00A13059" w:rsidRPr="00A41A0B" w:rsidRDefault="00A13059" w:rsidP="00616F81">
      <w:pPr>
        <w:pStyle w:val="ListParagraph"/>
        <w:spacing w:after="120"/>
        <w:ind w:left="1440"/>
        <w:rPr>
          <w:szCs w:val="24"/>
        </w:rPr>
      </w:pPr>
    </w:p>
    <w:p w14:paraId="2965B078" w14:textId="5A1DA4A6" w:rsidR="00A13059" w:rsidRPr="00C56A6D" w:rsidRDefault="00A41A0B" w:rsidP="00616F81">
      <w:pPr>
        <w:pStyle w:val="ListParagraph"/>
        <w:numPr>
          <w:ilvl w:val="0"/>
          <w:numId w:val="4"/>
        </w:numPr>
        <w:spacing w:after="120"/>
        <w:ind w:left="1440"/>
        <w:rPr>
          <w:szCs w:val="24"/>
        </w:rPr>
      </w:pPr>
      <w:r w:rsidRPr="00616F81">
        <w:rPr>
          <w:b/>
          <w:bCs/>
          <w:szCs w:val="24"/>
        </w:rPr>
        <w:t>Health communication, education and outreach</w:t>
      </w:r>
      <w:r w:rsidR="00A13059" w:rsidRPr="00616F81">
        <w:rPr>
          <w:b/>
          <w:bCs/>
          <w:szCs w:val="24"/>
        </w:rPr>
        <w:t>:</w:t>
      </w:r>
      <w:r w:rsidR="00A13059">
        <w:rPr>
          <w:szCs w:val="24"/>
        </w:rPr>
        <w:t xml:space="preserve"> </w:t>
      </w:r>
      <w:r w:rsidR="00A13059" w:rsidRPr="00CD22D2">
        <w:rPr>
          <w:szCs w:val="24"/>
        </w:rPr>
        <w:t xml:space="preserve">Integrate communication </w:t>
      </w:r>
      <w:r w:rsidR="00A13059" w:rsidRPr="00CD22D2">
        <w:t xml:space="preserve">objectives, strategic </w:t>
      </w:r>
      <w:r w:rsidR="00A13059">
        <w:t>prevention goals</w:t>
      </w:r>
      <w:r w:rsidR="00A13059" w:rsidRPr="00CD22D2">
        <w:t>, key message points, and media</w:t>
      </w:r>
      <w:r w:rsidR="00A13059">
        <w:t xml:space="preserve"> outreach into commercial tobacco prevention and cessation strategies</w:t>
      </w:r>
      <w:r w:rsidR="00A13059" w:rsidRPr="00CD22D2">
        <w:t xml:space="preserve"> to inform, influence and motivate individual, institutional and community-wide audiences about the issue</w:t>
      </w:r>
      <w:r w:rsidR="00A13059">
        <w:t>s</w:t>
      </w:r>
      <w:r w:rsidR="00A13059" w:rsidRPr="00CD22D2">
        <w:t xml:space="preserve"> of commercial tobacco.</w:t>
      </w:r>
    </w:p>
    <w:p w14:paraId="5D79EC28" w14:textId="77777777" w:rsidR="00A13059" w:rsidRPr="00A41A0B" w:rsidRDefault="00A13059" w:rsidP="00616F81">
      <w:pPr>
        <w:pStyle w:val="ListParagraph"/>
        <w:spacing w:after="120"/>
        <w:ind w:left="1440"/>
        <w:rPr>
          <w:szCs w:val="24"/>
        </w:rPr>
      </w:pPr>
    </w:p>
    <w:p w14:paraId="434E976D" w14:textId="7E601020" w:rsidR="00A41A0B" w:rsidRDefault="00A41A0B" w:rsidP="00616F81">
      <w:pPr>
        <w:pStyle w:val="ListParagraph"/>
        <w:numPr>
          <w:ilvl w:val="0"/>
          <w:numId w:val="4"/>
        </w:numPr>
        <w:spacing w:after="120"/>
        <w:ind w:left="1440"/>
        <w:rPr>
          <w:szCs w:val="24"/>
        </w:rPr>
      </w:pPr>
      <w:r w:rsidRPr="00616F81">
        <w:rPr>
          <w:b/>
          <w:bCs/>
          <w:szCs w:val="24"/>
        </w:rPr>
        <w:t>Data collection</w:t>
      </w:r>
      <w:r w:rsidR="00A13059" w:rsidRPr="00616F81">
        <w:rPr>
          <w:b/>
          <w:bCs/>
          <w:szCs w:val="24"/>
        </w:rPr>
        <w:t>:</w:t>
      </w:r>
      <w:r w:rsidR="00A13059">
        <w:rPr>
          <w:szCs w:val="24"/>
        </w:rPr>
        <w:t xml:space="preserve"> </w:t>
      </w:r>
      <w:r w:rsidR="00A13059">
        <w:t xml:space="preserve">Ensure data collection includes culturally relevant metrics. </w:t>
      </w:r>
      <w:r w:rsidR="00A13059">
        <w:rPr>
          <w:szCs w:val="24"/>
        </w:rPr>
        <w:t>Ensure</w:t>
      </w:r>
      <w:r w:rsidR="00A13059" w:rsidRPr="00902345">
        <w:rPr>
          <w:szCs w:val="24"/>
        </w:rPr>
        <w:t xml:space="preserve"> processes engage a wide variety of perspectives from those most </w:t>
      </w:r>
      <w:r w:rsidR="00A13059">
        <w:rPr>
          <w:szCs w:val="24"/>
        </w:rPr>
        <w:t xml:space="preserve">likely to be </w:t>
      </w:r>
      <w:r w:rsidR="00A13059" w:rsidRPr="00902345">
        <w:rPr>
          <w:szCs w:val="24"/>
        </w:rPr>
        <w:t>burdened by</w:t>
      </w:r>
      <w:r w:rsidR="00A13059">
        <w:rPr>
          <w:szCs w:val="24"/>
        </w:rPr>
        <w:t xml:space="preserve"> commercial</w:t>
      </w:r>
      <w:r w:rsidR="00A13059" w:rsidRPr="00902345">
        <w:rPr>
          <w:szCs w:val="24"/>
        </w:rPr>
        <w:t xml:space="preserve"> tobacco including Medicaid</w:t>
      </w:r>
      <w:r w:rsidR="00A13059">
        <w:rPr>
          <w:szCs w:val="24"/>
        </w:rPr>
        <w:t xml:space="preserve"> members</w:t>
      </w:r>
      <w:r w:rsidR="00A13059" w:rsidRPr="00902345">
        <w:rPr>
          <w:szCs w:val="24"/>
        </w:rPr>
        <w:t>, LGBTQ</w:t>
      </w:r>
      <w:r w:rsidR="00A13059">
        <w:rPr>
          <w:szCs w:val="24"/>
        </w:rPr>
        <w:t>2S</w:t>
      </w:r>
      <w:r w:rsidR="00A13059" w:rsidRPr="00902345">
        <w:rPr>
          <w:szCs w:val="24"/>
        </w:rPr>
        <w:t xml:space="preserve"> community members, people living with disabilities, </w:t>
      </w:r>
      <w:r w:rsidR="00A13059">
        <w:rPr>
          <w:szCs w:val="24"/>
        </w:rPr>
        <w:t>and people experiencing</w:t>
      </w:r>
      <w:r w:rsidR="00A13059" w:rsidRPr="00902345">
        <w:rPr>
          <w:szCs w:val="24"/>
        </w:rPr>
        <w:t xml:space="preserve"> mental health and substance use challenges.</w:t>
      </w:r>
    </w:p>
    <w:p w14:paraId="46578DF7" w14:textId="77777777" w:rsidR="00A13059" w:rsidRPr="00A41A0B" w:rsidRDefault="00A13059" w:rsidP="00616F81">
      <w:pPr>
        <w:pStyle w:val="ListParagraph"/>
        <w:spacing w:after="120"/>
        <w:ind w:left="1440"/>
        <w:rPr>
          <w:szCs w:val="24"/>
        </w:rPr>
      </w:pPr>
    </w:p>
    <w:p w14:paraId="3913F9E1" w14:textId="2CFE5746" w:rsidR="00A41A0B" w:rsidRDefault="00A41A0B" w:rsidP="00616F81">
      <w:pPr>
        <w:pStyle w:val="ListParagraph"/>
        <w:numPr>
          <w:ilvl w:val="0"/>
          <w:numId w:val="4"/>
        </w:numPr>
        <w:spacing w:after="120"/>
        <w:ind w:left="1440"/>
        <w:rPr>
          <w:szCs w:val="24"/>
        </w:rPr>
      </w:pPr>
      <w:r w:rsidRPr="00616F81">
        <w:rPr>
          <w:b/>
          <w:bCs/>
          <w:szCs w:val="24"/>
        </w:rPr>
        <w:lastRenderedPageBreak/>
        <w:t>Program evaluation</w:t>
      </w:r>
      <w:r w:rsidR="00A13059" w:rsidRPr="00616F81">
        <w:rPr>
          <w:b/>
          <w:bCs/>
          <w:szCs w:val="24"/>
        </w:rPr>
        <w:t>:</w:t>
      </w:r>
      <w:r w:rsidR="00A13059">
        <w:rPr>
          <w:szCs w:val="24"/>
        </w:rPr>
        <w:t xml:space="preserve"> A</w:t>
      </w:r>
      <w:r w:rsidR="00A13059" w:rsidRPr="00CD22D2">
        <w:rPr>
          <w:szCs w:val="24"/>
        </w:rPr>
        <w:t xml:space="preserve">ctivities that monitor and illustrate program success </w:t>
      </w:r>
      <w:r w:rsidR="00A13059">
        <w:rPr>
          <w:szCs w:val="24"/>
        </w:rPr>
        <w:t>and quality improvement opportunities</w:t>
      </w:r>
      <w:r w:rsidR="00AC06BA" w:rsidRPr="00AC06BA">
        <w:t xml:space="preserve"> </w:t>
      </w:r>
      <w:r w:rsidR="00AC06BA">
        <w:t xml:space="preserve">through learning what works from community experts and ensuring the community is involved in all steps of the evaluation process. </w:t>
      </w:r>
      <w:r w:rsidR="00A13059" w:rsidRPr="00CD22D2">
        <w:rPr>
          <w:szCs w:val="24"/>
        </w:rPr>
        <w:t xml:space="preserve">Consider scaling and sharing results with other Tribal </w:t>
      </w:r>
      <w:r w:rsidR="00A13059">
        <w:rPr>
          <w:szCs w:val="24"/>
        </w:rPr>
        <w:t>c</w:t>
      </w:r>
      <w:r w:rsidR="00A13059" w:rsidRPr="00CD22D2">
        <w:rPr>
          <w:szCs w:val="24"/>
        </w:rPr>
        <w:t>ommunities and state partners.</w:t>
      </w:r>
    </w:p>
    <w:p w14:paraId="796F63C7" w14:textId="77777777" w:rsidR="00A13059" w:rsidRPr="00BD7BF8" w:rsidRDefault="00A13059" w:rsidP="00616F81">
      <w:pPr>
        <w:pStyle w:val="ListParagraph"/>
        <w:spacing w:after="120"/>
        <w:ind w:left="1440"/>
        <w:rPr>
          <w:szCs w:val="24"/>
        </w:rPr>
      </w:pPr>
    </w:p>
    <w:p w14:paraId="1D495FEE" w14:textId="56AD0F94" w:rsidR="005B3B46" w:rsidRPr="00267360" w:rsidRDefault="00A41A0B" w:rsidP="00616F81">
      <w:pPr>
        <w:pStyle w:val="ListParagraph"/>
        <w:numPr>
          <w:ilvl w:val="0"/>
          <w:numId w:val="4"/>
        </w:numPr>
        <w:spacing w:after="120"/>
        <w:ind w:left="1440"/>
        <w:rPr>
          <w:b/>
          <w:bCs/>
          <w:szCs w:val="24"/>
        </w:rPr>
      </w:pPr>
      <w:r w:rsidRPr="00616F81">
        <w:rPr>
          <w:b/>
          <w:bCs/>
          <w:szCs w:val="24"/>
        </w:rPr>
        <w:t>Policy changes, including policy changes that influence the root causes of tobacco use (e.g., housing, education, employment)</w:t>
      </w:r>
      <w:r w:rsidR="00A13059" w:rsidRPr="00616F81">
        <w:rPr>
          <w:b/>
          <w:bCs/>
          <w:szCs w:val="24"/>
        </w:rPr>
        <w:t xml:space="preserve">: </w:t>
      </w:r>
      <w:r w:rsidR="00A13059" w:rsidRPr="00A13059">
        <w:rPr>
          <w:szCs w:val="24"/>
        </w:rPr>
        <w:t xml:space="preserve">Promote the adoption of upstream interventions including those based on community priorities to influence the conditions that lead to higher rates of commercial tobacco use such as poverty, </w:t>
      </w:r>
      <w:r w:rsidR="00A13059" w:rsidRPr="00C56A6D">
        <w:rPr>
          <w:szCs w:val="24"/>
        </w:rPr>
        <w:t xml:space="preserve">housing, education, criminal justice and </w:t>
      </w:r>
      <w:r w:rsidR="00A13059" w:rsidRPr="00616F81">
        <w:rPr>
          <w:szCs w:val="24"/>
        </w:rPr>
        <w:t xml:space="preserve">unemployment. </w:t>
      </w:r>
    </w:p>
    <w:p w14:paraId="0A119623" w14:textId="68ACA8D8" w:rsidR="00DD23ED" w:rsidRPr="00CD22D2" w:rsidRDefault="005B3B46" w:rsidP="00C56A6D">
      <w:pPr>
        <w:numPr>
          <w:ilvl w:val="0"/>
          <w:numId w:val="4"/>
        </w:numPr>
        <w:spacing w:after="120"/>
        <w:ind w:left="1440"/>
        <w:rPr>
          <w:b/>
          <w:bCs/>
          <w:szCs w:val="24"/>
        </w:rPr>
      </w:pPr>
      <w:r w:rsidRPr="00187222">
        <w:rPr>
          <w:b/>
          <w:szCs w:val="24"/>
        </w:rPr>
        <w:t>Facilitation of Community Partnerships</w:t>
      </w:r>
      <w:r w:rsidRPr="000624F7">
        <w:rPr>
          <w:szCs w:val="24"/>
        </w:rPr>
        <w:t xml:space="preserve">: </w:t>
      </w:r>
      <w:r w:rsidR="004B7DE4">
        <w:rPr>
          <w:szCs w:val="24"/>
        </w:rPr>
        <w:t xml:space="preserve">Mobilize </w:t>
      </w:r>
      <w:r w:rsidR="004B7DE4" w:rsidRPr="000624F7">
        <w:rPr>
          <w:szCs w:val="24"/>
        </w:rPr>
        <w:t>coalition</w:t>
      </w:r>
      <w:r w:rsidR="004B7DE4">
        <w:rPr>
          <w:szCs w:val="24"/>
        </w:rPr>
        <w:t>s</w:t>
      </w:r>
      <w:r w:rsidR="004B7DE4" w:rsidRPr="000624F7">
        <w:rPr>
          <w:szCs w:val="24"/>
        </w:rPr>
        <w:t xml:space="preserve"> or other group</w:t>
      </w:r>
      <w:r w:rsidR="004B7DE4">
        <w:rPr>
          <w:szCs w:val="24"/>
        </w:rPr>
        <w:t>s</w:t>
      </w:r>
      <w:r w:rsidR="004B7DE4" w:rsidRPr="000624F7">
        <w:rPr>
          <w:szCs w:val="24"/>
        </w:rPr>
        <w:t xml:space="preserve"> dedicated to the pursuit of agreed upon </w:t>
      </w:r>
      <w:r w:rsidR="004B7DE4">
        <w:rPr>
          <w:szCs w:val="24"/>
        </w:rPr>
        <w:t xml:space="preserve">commercial </w:t>
      </w:r>
      <w:r w:rsidR="004B7DE4" w:rsidRPr="000624F7">
        <w:rPr>
          <w:szCs w:val="24"/>
        </w:rPr>
        <w:t>tobacco control objectives</w:t>
      </w:r>
      <w:r w:rsidR="004B7DE4">
        <w:rPr>
          <w:szCs w:val="24"/>
        </w:rPr>
        <w:t xml:space="preserve"> to foster</w:t>
      </w:r>
      <w:r w:rsidR="00622632">
        <w:rPr>
          <w:szCs w:val="24"/>
        </w:rPr>
        <w:t xml:space="preserve"> </w:t>
      </w:r>
      <w:r w:rsidRPr="000624F7">
        <w:rPr>
          <w:szCs w:val="24"/>
        </w:rPr>
        <w:t>commercial tobacco-free tribal communities</w:t>
      </w:r>
      <w:r w:rsidR="004B7DE4">
        <w:rPr>
          <w:szCs w:val="24"/>
        </w:rPr>
        <w:t>.</w:t>
      </w:r>
      <w:r w:rsidRPr="000624F7">
        <w:rPr>
          <w:szCs w:val="24"/>
        </w:rPr>
        <w:t xml:space="preserve">  </w:t>
      </w:r>
    </w:p>
    <w:p w14:paraId="4F78DBF6" w14:textId="42D6451A" w:rsidR="00931385" w:rsidRPr="000624F7" w:rsidRDefault="000624F7" w:rsidP="00A13059">
      <w:pPr>
        <w:numPr>
          <w:ilvl w:val="0"/>
          <w:numId w:val="4"/>
        </w:numPr>
        <w:spacing w:after="120"/>
        <w:ind w:left="1440"/>
        <w:rPr>
          <w:szCs w:val="24"/>
        </w:rPr>
      </w:pPr>
      <w:r w:rsidRPr="00187222">
        <w:rPr>
          <w:b/>
          <w:szCs w:val="24"/>
        </w:rPr>
        <w:t>Creating Tobacco-Free Environments:</w:t>
      </w:r>
      <w:r w:rsidRPr="000624F7">
        <w:rPr>
          <w:szCs w:val="24"/>
        </w:rPr>
        <w:t xml:space="preserve"> Promote the adoption of </w:t>
      </w:r>
      <w:r w:rsidRPr="00DE3338">
        <w:rPr>
          <w:szCs w:val="24"/>
        </w:rPr>
        <w:t xml:space="preserve">commercial </w:t>
      </w:r>
      <w:r w:rsidRPr="000624F7">
        <w:rPr>
          <w:szCs w:val="24"/>
        </w:rPr>
        <w:t>tobacco</w:t>
      </w:r>
      <w:r w:rsidRPr="00DE3338">
        <w:rPr>
          <w:szCs w:val="24"/>
        </w:rPr>
        <w:t xml:space="preserve"> prevention</w:t>
      </w:r>
      <w:r w:rsidRPr="000624F7">
        <w:rPr>
          <w:szCs w:val="24"/>
        </w:rPr>
        <w:t xml:space="preserve"> policies, including policies in schools, workplaces and public places. </w:t>
      </w:r>
    </w:p>
    <w:p w14:paraId="5C86CBD3" w14:textId="3125E018" w:rsidR="002B0326" w:rsidRPr="00616F81" w:rsidRDefault="000624F7" w:rsidP="002E7ACC">
      <w:pPr>
        <w:numPr>
          <w:ilvl w:val="0"/>
          <w:numId w:val="4"/>
        </w:numPr>
        <w:spacing w:after="120"/>
        <w:ind w:left="1440"/>
        <w:rPr>
          <w:szCs w:val="24"/>
        </w:rPr>
      </w:pPr>
      <w:r w:rsidRPr="002E7ACC">
        <w:rPr>
          <w:b/>
          <w:szCs w:val="24"/>
        </w:rPr>
        <w:t xml:space="preserve">Reducing the Burden of </w:t>
      </w:r>
      <w:r w:rsidR="000B4DDE" w:rsidRPr="002E7ACC">
        <w:rPr>
          <w:b/>
          <w:szCs w:val="24"/>
        </w:rPr>
        <w:t>Commercial-</w:t>
      </w:r>
      <w:r w:rsidR="007D2125" w:rsidRPr="00931385">
        <w:rPr>
          <w:b/>
          <w:szCs w:val="24"/>
        </w:rPr>
        <w:t>T</w:t>
      </w:r>
      <w:r w:rsidRPr="00931385">
        <w:rPr>
          <w:b/>
          <w:szCs w:val="24"/>
        </w:rPr>
        <w:t>obacco-Related and Other Chronic Diseases:</w:t>
      </w:r>
      <w:r w:rsidRPr="00931385">
        <w:rPr>
          <w:szCs w:val="24"/>
        </w:rPr>
        <w:t xml:space="preserve">  </w:t>
      </w:r>
      <w:r w:rsidR="005B3B46" w:rsidRPr="00931385">
        <w:rPr>
          <w:szCs w:val="24"/>
        </w:rPr>
        <w:t>Address</w:t>
      </w:r>
      <w:r w:rsidR="006A353A" w:rsidRPr="00931385">
        <w:rPr>
          <w:szCs w:val="24"/>
        </w:rPr>
        <w:t xml:space="preserve"> commercial</w:t>
      </w:r>
      <w:r w:rsidR="005B3B46" w:rsidRPr="00931385">
        <w:rPr>
          <w:szCs w:val="24"/>
        </w:rPr>
        <w:t xml:space="preserve"> tobacco use</w:t>
      </w:r>
      <w:r w:rsidR="005B3B46" w:rsidRPr="00931385">
        <w:rPr>
          <w:spacing w:val="-21"/>
          <w:szCs w:val="24"/>
        </w:rPr>
        <w:t xml:space="preserve"> </w:t>
      </w:r>
      <w:r w:rsidR="005B3B46" w:rsidRPr="00931385">
        <w:rPr>
          <w:szCs w:val="24"/>
        </w:rPr>
        <w:t>reduction strategies in the broader context of chronic diseases and other risk factors for</w:t>
      </w:r>
      <w:r w:rsidR="005B3B46" w:rsidRPr="00931385">
        <w:rPr>
          <w:spacing w:val="-14"/>
          <w:szCs w:val="24"/>
        </w:rPr>
        <w:t xml:space="preserve"> </w:t>
      </w:r>
      <w:r w:rsidR="000B4DDE" w:rsidRPr="00931385">
        <w:rPr>
          <w:spacing w:val="-14"/>
          <w:szCs w:val="24"/>
        </w:rPr>
        <w:t xml:space="preserve">commercial </w:t>
      </w:r>
      <w:r w:rsidR="005B3B46" w:rsidRPr="00931385">
        <w:rPr>
          <w:szCs w:val="24"/>
        </w:rPr>
        <w:t>tobacco-related</w:t>
      </w:r>
      <w:r w:rsidR="005B3B46" w:rsidRPr="00931385">
        <w:rPr>
          <w:spacing w:val="-1"/>
          <w:szCs w:val="24"/>
        </w:rPr>
        <w:t xml:space="preserve"> </w:t>
      </w:r>
      <w:r w:rsidR="005B3B46" w:rsidRPr="00931385">
        <w:rPr>
          <w:szCs w:val="24"/>
        </w:rPr>
        <w:t>chronic diseases including cancer, asthma, cardiovascular disease, diabetes, arthritis, and</w:t>
      </w:r>
      <w:r w:rsidR="005B3B46" w:rsidRPr="00931385">
        <w:rPr>
          <w:spacing w:val="-21"/>
          <w:szCs w:val="24"/>
        </w:rPr>
        <w:t xml:space="preserve"> </w:t>
      </w:r>
      <w:r w:rsidR="005B3B46" w:rsidRPr="00931385">
        <w:rPr>
          <w:szCs w:val="24"/>
        </w:rPr>
        <w:t xml:space="preserve">stroke. </w:t>
      </w:r>
    </w:p>
    <w:p w14:paraId="5FFE46A7" w14:textId="77777777" w:rsidR="00931385" w:rsidRDefault="00931385" w:rsidP="00DE3338">
      <w:pPr>
        <w:tabs>
          <w:tab w:val="left" w:pos="832"/>
        </w:tabs>
        <w:spacing w:after="120"/>
        <w:ind w:left="720" w:right="101"/>
        <w:rPr>
          <w:szCs w:val="24"/>
        </w:rPr>
      </w:pPr>
    </w:p>
    <w:p w14:paraId="2951DE51" w14:textId="77777777" w:rsidR="00724F24" w:rsidRDefault="000624F7" w:rsidP="00724F24">
      <w:pPr>
        <w:tabs>
          <w:tab w:val="left" w:pos="832"/>
        </w:tabs>
        <w:spacing w:after="120"/>
        <w:ind w:left="720" w:right="101"/>
        <w:rPr>
          <w:szCs w:val="24"/>
        </w:rPr>
      </w:pPr>
      <w:r w:rsidRPr="00DE3338">
        <w:rPr>
          <w:szCs w:val="24"/>
        </w:rPr>
        <w:t>All changes to this Program Element</w:t>
      </w:r>
      <w:r w:rsidRPr="00DE3338">
        <w:rPr>
          <w:spacing w:val="-22"/>
          <w:szCs w:val="24"/>
        </w:rPr>
        <w:t xml:space="preserve"> </w:t>
      </w:r>
      <w:r w:rsidRPr="00DE3338">
        <w:rPr>
          <w:szCs w:val="24"/>
        </w:rPr>
        <w:t>are effective upon receipt of grant award unless otherwise noted in Exhibit C of the Financial Assistance Award.</w:t>
      </w:r>
    </w:p>
    <w:p w14:paraId="4F387E38" w14:textId="11D54C87" w:rsidR="000624F7" w:rsidRPr="00724F24" w:rsidRDefault="00724F24" w:rsidP="00724F24">
      <w:pPr>
        <w:pStyle w:val="ListParagraph"/>
        <w:numPr>
          <w:ilvl w:val="0"/>
          <w:numId w:val="13"/>
        </w:numPr>
        <w:spacing w:after="120"/>
        <w:ind w:right="101"/>
        <w:rPr>
          <w:szCs w:val="24"/>
        </w:rPr>
      </w:pPr>
      <w:r>
        <w:rPr>
          <w:b/>
          <w:szCs w:val="24"/>
        </w:rPr>
        <w:t xml:space="preserve"> </w:t>
      </w:r>
      <w:r w:rsidR="000624F7" w:rsidRPr="00724F24">
        <w:rPr>
          <w:b/>
          <w:szCs w:val="24"/>
        </w:rPr>
        <w:t xml:space="preserve">Definitions Specific to Tribal </w:t>
      </w:r>
      <w:r w:rsidR="009F69ED" w:rsidRPr="00724F24">
        <w:rPr>
          <w:b/>
          <w:szCs w:val="24"/>
        </w:rPr>
        <w:t>Commercial Tobacco Prevention and Cessation Program:</w:t>
      </w:r>
    </w:p>
    <w:p w14:paraId="454F0622" w14:textId="32EE4FFE" w:rsidR="000624F7" w:rsidRPr="000624F7" w:rsidRDefault="000624F7" w:rsidP="00DE3338">
      <w:pPr>
        <w:spacing w:after="120"/>
        <w:ind w:left="720"/>
        <w:rPr>
          <w:b/>
          <w:szCs w:val="24"/>
        </w:rPr>
      </w:pPr>
      <w:r>
        <w:t>Not applicable</w:t>
      </w:r>
    </w:p>
    <w:p w14:paraId="03AB0D63" w14:textId="4C4B237C" w:rsidR="000624F7" w:rsidRPr="00724F24" w:rsidRDefault="00724F24" w:rsidP="00724F24">
      <w:pPr>
        <w:pStyle w:val="ListParagraph"/>
        <w:numPr>
          <w:ilvl w:val="0"/>
          <w:numId w:val="13"/>
        </w:numPr>
        <w:spacing w:after="120"/>
        <w:rPr>
          <w:szCs w:val="24"/>
        </w:rPr>
      </w:pPr>
      <w:r w:rsidRPr="00724F24">
        <w:rPr>
          <w:b/>
          <w:bCs/>
        </w:rPr>
        <w:t>Alignment with Modernization Foundational Programs and Foundational Capabilities.</w:t>
      </w:r>
      <w:r>
        <w:t xml:space="preserve"> The activities and services that the</w:t>
      </w:r>
      <w:r w:rsidR="00924BA4">
        <w:t xml:space="preserve"> </w:t>
      </w:r>
      <w:r w:rsidR="00FA0FD0">
        <w:t>Tribe</w:t>
      </w:r>
      <w:r>
        <w:t xml:space="preserve"> has agreed to deliver under this Program Element align with Foundational Programs and Foundational Capabilities and the public health accountability metrics (if applicable), as follows </w:t>
      </w:r>
      <w:hyperlink r:id="rId8" w:history="1">
        <w:r w:rsidR="000624F7">
          <w:rPr>
            <w:rStyle w:val="Hyperlink"/>
          </w:rPr>
          <w:t>Oregon’s Public Health Modernization Manual</w:t>
        </w:r>
      </w:hyperlink>
      <w:r w:rsidR="000624F7" w:rsidRPr="00724F24">
        <w:rPr>
          <w:szCs w:val="24"/>
        </w:rPr>
        <w:t>, (</w:t>
      </w:r>
      <w:hyperlink r:id="rId9" w:history="1">
        <w:r w:rsidR="000624F7">
          <w:rPr>
            <w:rStyle w:val="Hyperlink"/>
          </w:rPr>
          <w:t>http://www.oregon.gov/oha/PH/ABOUT/TASKFORCE/Documents/public_health_modernization_manual.pdf</w:t>
        </w:r>
      </w:hyperlink>
      <w:r w:rsidR="000624F7" w:rsidRPr="00724F24">
        <w:rPr>
          <w:szCs w:val="24"/>
        </w:rPr>
        <w:t xml:space="preserve">) as well as with public health accountability outcome and process metrics (if applicable) as follows: </w:t>
      </w:r>
    </w:p>
    <w:p w14:paraId="542D49EF" w14:textId="77777777" w:rsidR="000624F7" w:rsidRPr="000624F7" w:rsidRDefault="000624F7" w:rsidP="00724F24">
      <w:pPr>
        <w:numPr>
          <w:ilvl w:val="1"/>
          <w:numId w:val="13"/>
        </w:numPr>
        <w:spacing w:after="120"/>
        <w:ind w:hanging="720"/>
        <w:rPr>
          <w:szCs w:val="24"/>
        </w:rPr>
      </w:pPr>
      <w:r w:rsidRPr="00DE3338">
        <w:rPr>
          <w:b/>
          <w:szCs w:val="24"/>
        </w:rPr>
        <w:t xml:space="preserve">Foundational Programs and Capabilities </w:t>
      </w:r>
      <w:r w:rsidRPr="00DE3338">
        <w:rPr>
          <w:szCs w:val="24"/>
        </w:rPr>
        <w:t>(As specified in Public Health Modernization Manual)</w:t>
      </w:r>
    </w:p>
    <w:p w14:paraId="687A2DCA" w14:textId="77777777" w:rsidR="000624F7" w:rsidRPr="000624F7" w:rsidRDefault="000624F7" w:rsidP="00AD1DA7">
      <w:pPr>
        <w:spacing w:after="120"/>
        <w:ind w:hanging="720"/>
        <w:rPr>
          <w:szCs w:val="24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50"/>
        <w:gridCol w:w="720"/>
        <w:gridCol w:w="540"/>
        <w:gridCol w:w="540"/>
        <w:gridCol w:w="450"/>
        <w:gridCol w:w="900"/>
        <w:gridCol w:w="900"/>
        <w:gridCol w:w="900"/>
        <w:gridCol w:w="630"/>
        <w:gridCol w:w="450"/>
        <w:gridCol w:w="360"/>
        <w:gridCol w:w="720"/>
      </w:tblGrid>
      <w:tr w:rsidR="003B03FB" w14:paraId="29CD9643" w14:textId="77777777" w:rsidTr="00AA43EF">
        <w:trPr>
          <w:cantSplit/>
          <w:trHeight w:val="476"/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323B81AA" w14:textId="77777777" w:rsidR="00045AB9" w:rsidRDefault="00551C11">
            <w:r w:rsidRPr="00DE3338">
              <w:rPr>
                <w:b/>
                <w:szCs w:val="24"/>
              </w:rPr>
              <w:t xml:space="preserve">Program Components </w:t>
            </w:r>
          </w:p>
        </w:tc>
        <w:tc>
          <w:tcPr>
            <w:tcW w:w="270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2FEA2416" w14:textId="77777777" w:rsidR="00045AB9" w:rsidRDefault="00551C11">
            <w:r w:rsidRPr="00DE3338">
              <w:rPr>
                <w:b/>
                <w:szCs w:val="24"/>
              </w:rPr>
              <w:t>Foundational Program</w:t>
            </w:r>
          </w:p>
        </w:tc>
        <w:tc>
          <w:tcPr>
            <w:tcW w:w="4860" w:type="dxa"/>
            <w:gridSpan w:val="7"/>
            <w:tcBorders>
              <w:left w:val="single" w:sz="24" w:space="0" w:color="auto"/>
            </w:tcBorders>
          </w:tcPr>
          <w:p w14:paraId="447724DA" w14:textId="77777777" w:rsidR="00045AB9" w:rsidRDefault="00551C11">
            <w:r w:rsidRPr="00DE3338">
              <w:rPr>
                <w:b/>
                <w:szCs w:val="24"/>
              </w:rPr>
              <w:t>Foundational Capabilities</w:t>
            </w:r>
          </w:p>
        </w:tc>
      </w:tr>
      <w:tr w:rsidR="003B03FB" w14:paraId="2DF8787F" w14:textId="77777777" w:rsidTr="00AA43EF">
        <w:trPr>
          <w:cantSplit/>
          <w:trHeight w:val="1922"/>
          <w:jc w:val="center"/>
        </w:trPr>
        <w:tc>
          <w:tcPr>
            <w:tcW w:w="2700" w:type="dxa"/>
            <w:vMerge w:val="restart"/>
            <w:tcBorders>
              <w:right w:val="single" w:sz="24" w:space="0" w:color="auto"/>
            </w:tcBorders>
          </w:tcPr>
          <w:p w14:paraId="4F0A64BA" w14:textId="77777777" w:rsidR="00045AB9" w:rsidRDefault="00045AB9"/>
        </w:tc>
        <w:tc>
          <w:tcPr>
            <w:tcW w:w="450" w:type="dxa"/>
            <w:vMerge w:val="restart"/>
            <w:tcBorders>
              <w:left w:val="single" w:sz="24" w:space="0" w:color="auto"/>
            </w:tcBorders>
            <w:textDirection w:val="btLr"/>
          </w:tcPr>
          <w:p w14:paraId="5CC70BFC" w14:textId="77777777" w:rsidR="00045AB9" w:rsidRDefault="00551C11">
            <w:pPr>
              <w:spacing w:before="5" w:after="120"/>
              <w:ind w:left="113" w:right="113"/>
            </w:pPr>
            <w:r w:rsidRPr="00DE3338">
              <w:rPr>
                <w:szCs w:val="24"/>
              </w:rPr>
              <w:t>CD Control</w:t>
            </w:r>
          </w:p>
        </w:tc>
        <w:tc>
          <w:tcPr>
            <w:tcW w:w="720" w:type="dxa"/>
            <w:vMerge w:val="restart"/>
            <w:textDirection w:val="btLr"/>
          </w:tcPr>
          <w:p w14:paraId="5B23A946" w14:textId="77777777" w:rsidR="00045AB9" w:rsidRDefault="00551C11">
            <w:pPr>
              <w:spacing w:before="5" w:after="120"/>
              <w:ind w:left="113" w:right="113"/>
            </w:pPr>
            <w:r w:rsidRPr="00DE3338">
              <w:rPr>
                <w:szCs w:val="24"/>
              </w:rPr>
              <w:t>Prevention and health promotion</w:t>
            </w:r>
          </w:p>
        </w:tc>
        <w:tc>
          <w:tcPr>
            <w:tcW w:w="540" w:type="dxa"/>
            <w:vMerge w:val="restart"/>
            <w:textDirection w:val="btLr"/>
          </w:tcPr>
          <w:p w14:paraId="0221BD66" w14:textId="77777777" w:rsidR="00045AB9" w:rsidRDefault="00551C11">
            <w:pPr>
              <w:spacing w:before="5" w:after="120"/>
              <w:ind w:left="113" w:right="113"/>
            </w:pPr>
            <w:r w:rsidRPr="00DE3338">
              <w:rPr>
                <w:szCs w:val="24"/>
              </w:rPr>
              <w:t>Environmental health</w:t>
            </w:r>
          </w:p>
        </w:tc>
        <w:tc>
          <w:tcPr>
            <w:tcW w:w="990" w:type="dxa"/>
            <w:gridSpan w:val="2"/>
            <w:tcBorders>
              <w:right w:val="single" w:sz="24" w:space="0" w:color="auto"/>
            </w:tcBorders>
            <w:textDirection w:val="btLr"/>
          </w:tcPr>
          <w:p w14:paraId="636B92CC" w14:textId="77777777" w:rsidR="00045AB9" w:rsidRDefault="00551C11">
            <w:pPr>
              <w:spacing w:after="120"/>
              <w:ind w:left="113" w:right="113"/>
            </w:pPr>
            <w:r w:rsidRPr="00DE3338">
              <w:rPr>
                <w:szCs w:val="24"/>
              </w:rPr>
              <w:t>Access to clinical preventive services</w:t>
            </w:r>
          </w:p>
        </w:tc>
        <w:tc>
          <w:tcPr>
            <w:tcW w:w="900" w:type="dxa"/>
            <w:vMerge w:val="restart"/>
            <w:tcBorders>
              <w:left w:val="single" w:sz="24" w:space="0" w:color="auto"/>
            </w:tcBorders>
            <w:textDirection w:val="btLr"/>
          </w:tcPr>
          <w:p w14:paraId="30EB846A" w14:textId="77777777" w:rsidR="00045AB9" w:rsidRDefault="00551C11">
            <w:pPr>
              <w:spacing w:before="5" w:after="120"/>
              <w:ind w:left="113" w:right="113"/>
            </w:pPr>
            <w:r w:rsidRPr="00DE3338">
              <w:rPr>
                <w:szCs w:val="24"/>
              </w:rPr>
              <w:t>Leadership and organizational competencies</w:t>
            </w:r>
          </w:p>
        </w:tc>
        <w:tc>
          <w:tcPr>
            <w:tcW w:w="900" w:type="dxa"/>
            <w:vMerge w:val="restart"/>
            <w:textDirection w:val="btLr"/>
          </w:tcPr>
          <w:p w14:paraId="56439AFE" w14:textId="77777777" w:rsidR="00045AB9" w:rsidRDefault="00551C11">
            <w:pPr>
              <w:spacing w:before="5" w:after="120"/>
              <w:ind w:left="113" w:right="113"/>
            </w:pPr>
            <w:r w:rsidRPr="00DE3338">
              <w:rPr>
                <w:szCs w:val="24"/>
              </w:rPr>
              <w:t>Health equity and cultural responsiveness</w:t>
            </w:r>
          </w:p>
        </w:tc>
        <w:tc>
          <w:tcPr>
            <w:tcW w:w="900" w:type="dxa"/>
            <w:vMerge w:val="restart"/>
            <w:textDirection w:val="btLr"/>
          </w:tcPr>
          <w:p w14:paraId="7A9DDCDC" w14:textId="77777777" w:rsidR="00045AB9" w:rsidRDefault="00551C11">
            <w:pPr>
              <w:spacing w:before="5" w:after="120"/>
              <w:ind w:left="113" w:right="113"/>
            </w:pPr>
            <w:r w:rsidRPr="00DE3338">
              <w:rPr>
                <w:szCs w:val="24"/>
              </w:rPr>
              <w:t>Community Partnership Development</w:t>
            </w:r>
          </w:p>
        </w:tc>
        <w:tc>
          <w:tcPr>
            <w:tcW w:w="630" w:type="dxa"/>
            <w:vMerge w:val="restart"/>
            <w:textDirection w:val="btLr"/>
          </w:tcPr>
          <w:p w14:paraId="152ED4EB" w14:textId="77777777" w:rsidR="00045AB9" w:rsidRDefault="00551C11">
            <w:pPr>
              <w:spacing w:before="5" w:after="120"/>
              <w:ind w:left="113" w:right="113"/>
            </w:pPr>
            <w:r w:rsidRPr="00DE3338">
              <w:rPr>
                <w:szCs w:val="24"/>
              </w:rPr>
              <w:t>Assessment and Epidemiology</w:t>
            </w:r>
          </w:p>
        </w:tc>
        <w:tc>
          <w:tcPr>
            <w:tcW w:w="450" w:type="dxa"/>
            <w:vMerge w:val="restart"/>
            <w:textDirection w:val="btLr"/>
          </w:tcPr>
          <w:p w14:paraId="40AAEB8D" w14:textId="77777777" w:rsidR="00045AB9" w:rsidRDefault="00551C11">
            <w:pPr>
              <w:spacing w:before="5" w:after="120"/>
              <w:ind w:left="113" w:right="113"/>
            </w:pPr>
            <w:r w:rsidRPr="00DE3338">
              <w:rPr>
                <w:szCs w:val="24"/>
              </w:rPr>
              <w:t>Policy &amp; Planning</w:t>
            </w:r>
          </w:p>
        </w:tc>
        <w:tc>
          <w:tcPr>
            <w:tcW w:w="360" w:type="dxa"/>
            <w:vMerge w:val="restart"/>
            <w:textDirection w:val="btLr"/>
          </w:tcPr>
          <w:p w14:paraId="781B5231" w14:textId="77777777" w:rsidR="00045AB9" w:rsidRDefault="00551C11">
            <w:pPr>
              <w:spacing w:before="5" w:after="120"/>
              <w:ind w:left="113" w:right="113"/>
            </w:pPr>
            <w:r w:rsidRPr="00DE3338">
              <w:rPr>
                <w:szCs w:val="24"/>
              </w:rPr>
              <w:t>Communications</w:t>
            </w:r>
          </w:p>
        </w:tc>
        <w:tc>
          <w:tcPr>
            <w:tcW w:w="720" w:type="dxa"/>
            <w:vMerge w:val="restart"/>
            <w:textDirection w:val="btLr"/>
          </w:tcPr>
          <w:p w14:paraId="4B2D1710" w14:textId="77777777" w:rsidR="00045AB9" w:rsidRDefault="00551C11">
            <w:pPr>
              <w:spacing w:after="120"/>
              <w:ind w:left="113" w:right="113"/>
            </w:pPr>
            <w:r w:rsidRPr="00DE3338">
              <w:rPr>
                <w:szCs w:val="24"/>
              </w:rPr>
              <w:t>Emergency Preparedness and Response</w:t>
            </w:r>
          </w:p>
          <w:p w14:paraId="1BDAA4FF" w14:textId="77777777" w:rsidR="00045AB9" w:rsidRDefault="00045AB9"/>
        </w:tc>
      </w:tr>
      <w:tr w:rsidR="003B03FB" w14:paraId="1B26600F" w14:textId="77777777" w:rsidTr="00AA43EF">
        <w:trPr>
          <w:cantSplit/>
          <w:trHeight w:val="1445"/>
          <w:jc w:val="center"/>
        </w:trPr>
        <w:tc>
          <w:tcPr>
            <w:tcW w:w="2700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14:paraId="303359E8" w14:textId="77777777" w:rsidR="00045AB9" w:rsidRDefault="00045AB9"/>
        </w:tc>
        <w:tc>
          <w:tcPr>
            <w:tcW w:w="450" w:type="dxa"/>
            <w:vMerge/>
            <w:tcBorders>
              <w:top w:val="nil"/>
              <w:left w:val="single" w:sz="24" w:space="0" w:color="auto"/>
              <w:bottom w:val="single" w:sz="4" w:space="0" w:color="auto"/>
            </w:tcBorders>
          </w:tcPr>
          <w:p w14:paraId="3D0CF4D8" w14:textId="77777777" w:rsidR="00045AB9" w:rsidRDefault="00045AB9"/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3519DAF6" w14:textId="77777777" w:rsidR="00045AB9" w:rsidRDefault="00045AB9"/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BF1D6B3" w14:textId="77777777" w:rsidR="00045AB9" w:rsidRDefault="00045AB9"/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14:paraId="47C667DE" w14:textId="77777777" w:rsidR="00045AB9" w:rsidRDefault="00551C11">
            <w:r w:rsidRPr="00DE3338">
              <w:rPr>
                <w:szCs w:val="24"/>
              </w:rPr>
              <w:t>Population Health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24" w:space="0" w:color="auto"/>
            </w:tcBorders>
            <w:textDirection w:val="btLr"/>
          </w:tcPr>
          <w:p w14:paraId="218B9D7F" w14:textId="77777777" w:rsidR="00045AB9" w:rsidRDefault="00551C11">
            <w:r w:rsidRPr="00DE3338">
              <w:rPr>
                <w:szCs w:val="24"/>
              </w:rPr>
              <w:t>Direct services</w:t>
            </w:r>
          </w:p>
        </w:tc>
        <w:tc>
          <w:tcPr>
            <w:tcW w:w="900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14:paraId="0425CF8E" w14:textId="77777777" w:rsidR="00045AB9" w:rsidRDefault="00045AB9"/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399839D3" w14:textId="77777777" w:rsidR="00045AB9" w:rsidRDefault="00045AB9"/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1FEF392F" w14:textId="77777777" w:rsidR="00045AB9" w:rsidRDefault="00045AB9"/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37717845" w14:textId="77777777" w:rsidR="00045AB9" w:rsidRDefault="00045AB9"/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171FD1C0" w14:textId="77777777" w:rsidR="00045AB9" w:rsidRDefault="00045AB9"/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3ABE6EB1" w14:textId="77777777" w:rsidR="00045AB9" w:rsidRDefault="00045AB9"/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36A96221" w14:textId="77777777" w:rsidR="00045AB9" w:rsidRDefault="00045AB9"/>
        </w:tc>
      </w:tr>
      <w:tr w:rsidR="003B03FB" w14:paraId="43C4F570" w14:textId="77777777" w:rsidTr="00AA43EF">
        <w:trPr>
          <w:jc w:val="center"/>
        </w:trPr>
        <w:tc>
          <w:tcPr>
            <w:tcW w:w="5400" w:type="dxa"/>
            <w:gridSpan w:val="6"/>
            <w:tcBorders>
              <w:right w:val="single" w:sz="24" w:space="0" w:color="auto"/>
            </w:tcBorders>
          </w:tcPr>
          <w:p w14:paraId="2A3FF1A6" w14:textId="77777777" w:rsidR="00045AB9" w:rsidRDefault="00551C11">
            <w:pPr>
              <w:spacing w:before="5" w:after="120"/>
            </w:pPr>
            <w:r w:rsidRPr="00DE3338">
              <w:rPr>
                <w:i/>
                <w:szCs w:val="24"/>
              </w:rPr>
              <w:t>Asterisk (*) = Primary foundational program that aligns with each component</w:t>
            </w:r>
          </w:p>
          <w:p w14:paraId="72262ABE" w14:textId="77777777" w:rsidR="00045AB9" w:rsidRDefault="00551C11">
            <w:r w:rsidRPr="00DE3338">
              <w:rPr>
                <w:i/>
                <w:szCs w:val="24"/>
              </w:rPr>
              <w:t>X = Other applicable foundational programs</w:t>
            </w:r>
          </w:p>
        </w:tc>
        <w:tc>
          <w:tcPr>
            <w:tcW w:w="4860" w:type="dxa"/>
            <w:gridSpan w:val="7"/>
            <w:tcBorders>
              <w:left w:val="single" w:sz="24" w:space="0" w:color="auto"/>
            </w:tcBorders>
          </w:tcPr>
          <w:p w14:paraId="3D42B921" w14:textId="77777777" w:rsidR="00045AB9" w:rsidRDefault="00551C11">
            <w:r w:rsidRPr="00DE3338">
              <w:rPr>
                <w:i/>
                <w:szCs w:val="24"/>
              </w:rPr>
              <w:t>X = Foundational capabilities that align with each component</w:t>
            </w:r>
          </w:p>
        </w:tc>
      </w:tr>
      <w:tr w:rsidR="001C32F0" w14:paraId="25311D54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60D45C6E" w14:textId="0934E4D8" w:rsidR="001C32F0" w:rsidRDefault="001C32F0" w:rsidP="001C32F0">
            <w:pPr>
              <w:rPr>
                <w:szCs w:val="24"/>
              </w:rPr>
            </w:pPr>
            <w:r w:rsidRPr="00CC29E3">
              <w:rPr>
                <w:szCs w:val="24"/>
              </w:rPr>
              <w:t>Tobacco Cessation and Intervention Programs</w:t>
            </w:r>
            <w:r w:rsidR="00D9387C">
              <w:rPr>
                <w:szCs w:val="24"/>
              </w:rPr>
              <w:t>/</w:t>
            </w:r>
            <w:r w:rsidR="00D9387C" w:rsidRPr="00CC29E3">
              <w:rPr>
                <w:bCs/>
                <w:szCs w:val="24"/>
              </w:rPr>
              <w:t xml:space="preserve"> Promoting Quitting among Adults and Youth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4DEAC9F7" w14:textId="77777777" w:rsidR="001C32F0" w:rsidRDefault="001C32F0" w:rsidP="001C32F0"/>
        </w:tc>
        <w:tc>
          <w:tcPr>
            <w:tcW w:w="720" w:type="dxa"/>
          </w:tcPr>
          <w:p w14:paraId="4352F90C" w14:textId="77734651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540" w:type="dxa"/>
          </w:tcPr>
          <w:p w14:paraId="612925E9" w14:textId="77777777" w:rsidR="001C32F0" w:rsidRDefault="001C32F0" w:rsidP="001C32F0"/>
        </w:tc>
        <w:tc>
          <w:tcPr>
            <w:tcW w:w="540" w:type="dxa"/>
          </w:tcPr>
          <w:p w14:paraId="02A052B6" w14:textId="1C5D7A1A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5B91B548" w14:textId="492207D8" w:rsidR="001C32F0" w:rsidRDefault="001C32F0" w:rsidP="001C32F0">
            <w:r>
              <w:t>*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7FE46897" w14:textId="3993BF7D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788D6D1A" w14:textId="7425E5F7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649F6F36" w14:textId="6CF4207A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537A52B1" w14:textId="6C8EC9F3" w:rsidR="001C32F0" w:rsidRDefault="001C32F0" w:rsidP="001C32F0">
            <w:r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16C3359B" w14:textId="3CE66331" w:rsidR="001C32F0" w:rsidRDefault="001C32F0" w:rsidP="001C32F0">
            <w:r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59EC44F6" w14:textId="6D7828A3" w:rsidR="001C32F0" w:rsidRDefault="001C32F0" w:rsidP="001C32F0">
            <w:r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581E8069" w14:textId="77777777" w:rsidR="001C32F0" w:rsidRDefault="001C32F0" w:rsidP="001C32F0"/>
        </w:tc>
      </w:tr>
      <w:tr w:rsidR="001C32F0" w14:paraId="17038FA4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3BB5257F" w14:textId="23414C07" w:rsidR="001C32F0" w:rsidRDefault="001C32F0" w:rsidP="001C32F0">
            <w:pPr>
              <w:rPr>
                <w:szCs w:val="24"/>
              </w:rPr>
            </w:pPr>
            <w:r w:rsidRPr="00CA6237">
              <w:rPr>
                <w:bCs/>
                <w:szCs w:val="24"/>
              </w:rPr>
              <w:t>Physical Wellness Centers to Integrate Tobacco Prevention and Cessation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2F6C4C02" w14:textId="77777777" w:rsidR="001C32F0" w:rsidRDefault="001C32F0" w:rsidP="001C32F0"/>
        </w:tc>
        <w:tc>
          <w:tcPr>
            <w:tcW w:w="720" w:type="dxa"/>
          </w:tcPr>
          <w:p w14:paraId="68ACBE84" w14:textId="1B0E6ED4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540" w:type="dxa"/>
          </w:tcPr>
          <w:p w14:paraId="4615CD55" w14:textId="77777777" w:rsidR="001C32F0" w:rsidRDefault="001C32F0" w:rsidP="001C32F0"/>
        </w:tc>
        <w:tc>
          <w:tcPr>
            <w:tcW w:w="540" w:type="dxa"/>
          </w:tcPr>
          <w:p w14:paraId="4D7307A0" w14:textId="13BE7D08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50F8657B" w14:textId="0DCF505C" w:rsidR="001C32F0" w:rsidRDefault="001C32F0" w:rsidP="001C32F0">
            <w:r>
              <w:t>*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645A1026" w14:textId="654A9297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6E2A744B" w14:textId="78E69B65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6DBC5010" w14:textId="41E46B26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6C586886" w14:textId="72EF7B93" w:rsidR="001C32F0" w:rsidRDefault="001C32F0" w:rsidP="001C32F0">
            <w:r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16AEE07B" w14:textId="6864B062" w:rsidR="001C32F0" w:rsidRDefault="001C32F0" w:rsidP="001C32F0">
            <w:r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4DE695A4" w14:textId="79CF94B6" w:rsidR="001C32F0" w:rsidRDefault="001C32F0" w:rsidP="001C32F0">
            <w:r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22078EF2" w14:textId="77777777" w:rsidR="001C32F0" w:rsidRDefault="001C32F0" w:rsidP="001C32F0"/>
        </w:tc>
      </w:tr>
      <w:tr w:rsidR="001C32F0" w14:paraId="6D626671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1984DD82" w14:textId="1986BB36" w:rsidR="001C32F0" w:rsidRPr="00616F81" w:rsidRDefault="001C32F0" w:rsidP="001C32F0">
            <w:pPr>
              <w:rPr>
                <w:szCs w:val="24"/>
              </w:rPr>
            </w:pPr>
            <w:r w:rsidRPr="00616F81">
              <w:rPr>
                <w:szCs w:val="24"/>
              </w:rPr>
              <w:t>Full-time dedicated positions to do cessation work possibly housed within clinics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193292D4" w14:textId="77777777" w:rsidR="001C32F0" w:rsidRDefault="001C32F0" w:rsidP="001C32F0"/>
        </w:tc>
        <w:tc>
          <w:tcPr>
            <w:tcW w:w="720" w:type="dxa"/>
          </w:tcPr>
          <w:p w14:paraId="4437973F" w14:textId="290BCA59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540" w:type="dxa"/>
          </w:tcPr>
          <w:p w14:paraId="23B229A0" w14:textId="77777777" w:rsidR="001C32F0" w:rsidRDefault="001C32F0" w:rsidP="001C32F0"/>
        </w:tc>
        <w:tc>
          <w:tcPr>
            <w:tcW w:w="540" w:type="dxa"/>
          </w:tcPr>
          <w:p w14:paraId="04F39B85" w14:textId="445E916C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10A2003B" w14:textId="77815481" w:rsidR="001C32F0" w:rsidRDefault="001C32F0" w:rsidP="001C32F0">
            <w:r>
              <w:t>*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31EF92C7" w14:textId="3793CEE0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4EDEB0BD" w14:textId="3C744483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502F1156" w14:textId="537526F6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38B8DF71" w14:textId="50648F3F" w:rsidR="001C32F0" w:rsidRDefault="001C32F0" w:rsidP="001C32F0">
            <w:r>
              <w:t>X</w:t>
            </w:r>
          </w:p>
        </w:tc>
        <w:tc>
          <w:tcPr>
            <w:tcW w:w="450" w:type="dxa"/>
          </w:tcPr>
          <w:p w14:paraId="2760CBAB" w14:textId="3CD84299" w:rsidR="001C32F0" w:rsidRDefault="001C32F0" w:rsidP="001C32F0">
            <w:r>
              <w:t>X</w:t>
            </w:r>
          </w:p>
        </w:tc>
        <w:tc>
          <w:tcPr>
            <w:tcW w:w="360" w:type="dxa"/>
          </w:tcPr>
          <w:p w14:paraId="47721BE3" w14:textId="4F7FB1D6" w:rsidR="001C32F0" w:rsidRDefault="001C32F0" w:rsidP="001C32F0">
            <w:r>
              <w:t>X</w:t>
            </w:r>
          </w:p>
        </w:tc>
        <w:tc>
          <w:tcPr>
            <w:tcW w:w="720" w:type="dxa"/>
          </w:tcPr>
          <w:p w14:paraId="7FA4B937" w14:textId="77777777" w:rsidR="001C32F0" w:rsidRDefault="001C32F0" w:rsidP="001C32F0"/>
        </w:tc>
      </w:tr>
      <w:tr w:rsidR="001C32F0" w14:paraId="5704F0FE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32D44E92" w14:textId="27A86AD7" w:rsidR="001C32F0" w:rsidRDefault="001C32F0" w:rsidP="001C32F0">
            <w:pPr>
              <w:rPr>
                <w:szCs w:val="24"/>
              </w:rPr>
            </w:pPr>
            <w:r w:rsidRPr="00CA6237">
              <w:rPr>
                <w:bCs/>
                <w:szCs w:val="24"/>
              </w:rPr>
              <w:t>Addressing the targeted marketing and exploitation of Tribal Communities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15D70B69" w14:textId="77777777" w:rsidR="001C32F0" w:rsidRDefault="001C32F0" w:rsidP="001C32F0"/>
        </w:tc>
        <w:tc>
          <w:tcPr>
            <w:tcW w:w="720" w:type="dxa"/>
          </w:tcPr>
          <w:p w14:paraId="75DD82D9" w14:textId="031791A0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540" w:type="dxa"/>
          </w:tcPr>
          <w:p w14:paraId="4DF1B884" w14:textId="77777777" w:rsidR="001C32F0" w:rsidRDefault="001C32F0" w:rsidP="001C32F0"/>
        </w:tc>
        <w:tc>
          <w:tcPr>
            <w:tcW w:w="540" w:type="dxa"/>
          </w:tcPr>
          <w:p w14:paraId="4D407931" w14:textId="77777777" w:rsidR="001C32F0" w:rsidRPr="00DE3338" w:rsidRDefault="001C32F0" w:rsidP="001C32F0">
            <w:pPr>
              <w:rPr>
                <w:szCs w:val="24"/>
              </w:rPr>
            </w:pP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3D763374" w14:textId="77777777" w:rsidR="001C32F0" w:rsidRDefault="001C32F0" w:rsidP="001C32F0"/>
        </w:tc>
        <w:tc>
          <w:tcPr>
            <w:tcW w:w="900" w:type="dxa"/>
            <w:tcBorders>
              <w:left w:val="single" w:sz="24" w:space="0" w:color="auto"/>
            </w:tcBorders>
          </w:tcPr>
          <w:p w14:paraId="7AA0BD22" w14:textId="3A3A6098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0384B2F2" w14:textId="6C988D45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14D1AF7B" w14:textId="3370900C" w:rsidR="001C32F0" w:rsidRPr="00DE3338" w:rsidRDefault="001C32F0" w:rsidP="001C32F0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4B45B2B0" w14:textId="0052D921" w:rsidR="001C32F0" w:rsidRDefault="001C32F0" w:rsidP="001C32F0">
            <w:r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4BE4DBD5" w14:textId="05608662" w:rsidR="001C32F0" w:rsidRDefault="001C32F0" w:rsidP="001C32F0">
            <w:r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25D268AD" w14:textId="63100457" w:rsidR="001C32F0" w:rsidRDefault="001C32F0" w:rsidP="001C32F0">
            <w:r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140676B6" w14:textId="77777777" w:rsidR="001C32F0" w:rsidRDefault="001C32F0" w:rsidP="001C32F0"/>
        </w:tc>
      </w:tr>
      <w:tr w:rsidR="00D9387C" w14:paraId="2F70B092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7ABC3349" w14:textId="65D95183" w:rsidR="00D9387C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 xml:space="preserve">Tribal Based Practices 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210878FF" w14:textId="77777777" w:rsidR="00D9387C" w:rsidRDefault="00D9387C" w:rsidP="00D9387C"/>
        </w:tc>
        <w:tc>
          <w:tcPr>
            <w:tcW w:w="720" w:type="dxa"/>
          </w:tcPr>
          <w:p w14:paraId="5D16A3AE" w14:textId="5D1902A7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*</w:t>
            </w:r>
          </w:p>
        </w:tc>
        <w:tc>
          <w:tcPr>
            <w:tcW w:w="540" w:type="dxa"/>
          </w:tcPr>
          <w:p w14:paraId="48922A45" w14:textId="77777777" w:rsidR="00D9387C" w:rsidRDefault="00D9387C" w:rsidP="00D9387C"/>
        </w:tc>
        <w:tc>
          <w:tcPr>
            <w:tcW w:w="540" w:type="dxa"/>
          </w:tcPr>
          <w:p w14:paraId="2A6C6DA9" w14:textId="2387A85F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1CB7C902" w14:textId="265306FA" w:rsidR="00D9387C" w:rsidRDefault="00D9387C" w:rsidP="00D9387C">
            <w:r>
              <w:t>X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51A718AF" w14:textId="5A3F5CB7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126ACBF1" w14:textId="4BD4C5A7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261E9247" w14:textId="3CAF6418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7DDE6A55" w14:textId="2F9FD10D" w:rsidR="00D9387C" w:rsidRDefault="00D9387C" w:rsidP="00D9387C">
            <w:r>
              <w:t>X</w:t>
            </w:r>
          </w:p>
        </w:tc>
        <w:tc>
          <w:tcPr>
            <w:tcW w:w="450" w:type="dxa"/>
          </w:tcPr>
          <w:p w14:paraId="58A23617" w14:textId="21239B85" w:rsidR="00D9387C" w:rsidRDefault="00D9387C" w:rsidP="00D9387C">
            <w:r>
              <w:t>X</w:t>
            </w:r>
          </w:p>
        </w:tc>
        <w:tc>
          <w:tcPr>
            <w:tcW w:w="360" w:type="dxa"/>
          </w:tcPr>
          <w:p w14:paraId="6201E9E5" w14:textId="6E11EED7" w:rsidR="00D9387C" w:rsidRDefault="00D9387C" w:rsidP="00D9387C">
            <w:r>
              <w:t>X</w:t>
            </w:r>
          </w:p>
        </w:tc>
        <w:tc>
          <w:tcPr>
            <w:tcW w:w="720" w:type="dxa"/>
          </w:tcPr>
          <w:p w14:paraId="7E76D25A" w14:textId="77777777" w:rsidR="00D9387C" w:rsidRDefault="00D9387C" w:rsidP="00D9387C"/>
        </w:tc>
      </w:tr>
      <w:tr w:rsidR="00D9387C" w14:paraId="73E8D915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17968472" w14:textId="00C3908D" w:rsidR="00D9387C" w:rsidRDefault="00D9387C" w:rsidP="00D9387C">
            <w:pPr>
              <w:rPr>
                <w:szCs w:val="24"/>
              </w:rPr>
            </w:pPr>
            <w:r w:rsidRPr="00CC29E3">
              <w:rPr>
                <w:szCs w:val="24"/>
              </w:rPr>
              <w:t>Health Communication, Education and Outreach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0463C4E9" w14:textId="77777777" w:rsidR="00D9387C" w:rsidRDefault="00D9387C" w:rsidP="00D9387C"/>
        </w:tc>
        <w:tc>
          <w:tcPr>
            <w:tcW w:w="720" w:type="dxa"/>
          </w:tcPr>
          <w:p w14:paraId="0285DAAB" w14:textId="698D163C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*</w:t>
            </w:r>
          </w:p>
        </w:tc>
        <w:tc>
          <w:tcPr>
            <w:tcW w:w="540" w:type="dxa"/>
          </w:tcPr>
          <w:p w14:paraId="64227230" w14:textId="77777777" w:rsidR="00D9387C" w:rsidRDefault="00D9387C" w:rsidP="00D9387C"/>
        </w:tc>
        <w:tc>
          <w:tcPr>
            <w:tcW w:w="540" w:type="dxa"/>
          </w:tcPr>
          <w:p w14:paraId="188391C1" w14:textId="649AF1A9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0A7B5C54" w14:textId="77777777" w:rsidR="00D9387C" w:rsidRDefault="00D9387C" w:rsidP="00D9387C"/>
        </w:tc>
        <w:tc>
          <w:tcPr>
            <w:tcW w:w="900" w:type="dxa"/>
            <w:tcBorders>
              <w:left w:val="single" w:sz="24" w:space="0" w:color="auto"/>
            </w:tcBorders>
          </w:tcPr>
          <w:p w14:paraId="3991B35F" w14:textId="2735BAFC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259B0779" w14:textId="5353202D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477A7D21" w14:textId="370634E4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411F4277" w14:textId="0427E0CE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6745A326" w14:textId="08E7E760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7590D36D" w14:textId="43A40B9E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500BE8A5" w14:textId="77777777" w:rsidR="00D9387C" w:rsidRDefault="00D9387C" w:rsidP="00D9387C"/>
        </w:tc>
      </w:tr>
      <w:tr w:rsidR="00D9387C" w14:paraId="48AA3690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0FC6AC51" w14:textId="262EBAB4" w:rsidR="00D9387C" w:rsidRDefault="00D9387C" w:rsidP="00D9387C">
            <w:pPr>
              <w:rPr>
                <w:szCs w:val="24"/>
              </w:rPr>
            </w:pPr>
            <w:r w:rsidRPr="00CC29E3">
              <w:rPr>
                <w:szCs w:val="24"/>
              </w:rPr>
              <w:t>Data Collection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53CD47D0" w14:textId="77777777" w:rsidR="00D9387C" w:rsidRDefault="00D9387C" w:rsidP="00D9387C"/>
        </w:tc>
        <w:tc>
          <w:tcPr>
            <w:tcW w:w="720" w:type="dxa"/>
          </w:tcPr>
          <w:p w14:paraId="0548CCBC" w14:textId="69BD4263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*</w:t>
            </w:r>
          </w:p>
        </w:tc>
        <w:tc>
          <w:tcPr>
            <w:tcW w:w="540" w:type="dxa"/>
          </w:tcPr>
          <w:p w14:paraId="54E2F76D" w14:textId="77777777" w:rsidR="00D9387C" w:rsidRDefault="00D9387C" w:rsidP="00D9387C"/>
        </w:tc>
        <w:tc>
          <w:tcPr>
            <w:tcW w:w="540" w:type="dxa"/>
          </w:tcPr>
          <w:p w14:paraId="223AF41B" w14:textId="1CA8B63F" w:rsidR="00D9387C" w:rsidRPr="00DE3338" w:rsidRDefault="00D9387C" w:rsidP="00D9387C">
            <w:pPr>
              <w:rPr>
                <w:szCs w:val="24"/>
              </w:rPr>
            </w:pPr>
            <w: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4AB36BAD" w14:textId="0F64400B" w:rsidR="00D9387C" w:rsidRDefault="00D9387C" w:rsidP="00D9387C">
            <w:r>
              <w:t>X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6036AAB5" w14:textId="13F99F78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2C3FB9F2" w14:textId="6A677E48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23CD4ABD" w14:textId="1F647922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15B8F5A0" w14:textId="6C87D32F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73B3C11B" w14:textId="31BD9701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52041BAC" w14:textId="5156CE9D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02A680DC" w14:textId="77777777" w:rsidR="00D9387C" w:rsidRDefault="00D9387C" w:rsidP="00D9387C"/>
        </w:tc>
      </w:tr>
      <w:tr w:rsidR="00D9387C" w14:paraId="0935B024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4D0E0E54" w14:textId="0A41414B" w:rsidR="00D9387C" w:rsidRDefault="00D9387C" w:rsidP="00D9387C">
            <w:pPr>
              <w:rPr>
                <w:szCs w:val="24"/>
              </w:rPr>
            </w:pPr>
            <w:r w:rsidRPr="00CC29E3">
              <w:rPr>
                <w:szCs w:val="24"/>
              </w:rPr>
              <w:t>Program Evaluation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2F489C9C" w14:textId="77777777" w:rsidR="00D9387C" w:rsidRDefault="00D9387C" w:rsidP="00D9387C"/>
        </w:tc>
        <w:tc>
          <w:tcPr>
            <w:tcW w:w="720" w:type="dxa"/>
          </w:tcPr>
          <w:p w14:paraId="0FACDC53" w14:textId="04728F13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540" w:type="dxa"/>
          </w:tcPr>
          <w:p w14:paraId="758D12D9" w14:textId="77777777" w:rsidR="00D9387C" w:rsidRDefault="00D9387C" w:rsidP="00D9387C"/>
        </w:tc>
        <w:tc>
          <w:tcPr>
            <w:tcW w:w="540" w:type="dxa"/>
          </w:tcPr>
          <w:p w14:paraId="4018FF99" w14:textId="39E7818D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1A1278A9" w14:textId="0161DA2A" w:rsidR="00D9387C" w:rsidRDefault="00D9387C" w:rsidP="00D9387C">
            <w:r>
              <w:t>X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51ABAA55" w14:textId="21FB2BDE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41B26EE6" w14:textId="3BCE9660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7555363B" w14:textId="7F6BC517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610E7CFA" w14:textId="6474EE34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03DD734B" w14:textId="74E31BA0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619CAA02" w14:textId="47A7C80E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5232FD8B" w14:textId="77777777" w:rsidR="00D9387C" w:rsidRDefault="00D9387C" w:rsidP="00D9387C"/>
        </w:tc>
      </w:tr>
      <w:tr w:rsidR="00D9387C" w14:paraId="4335165C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64353624" w14:textId="29110EC4" w:rsidR="00D9387C" w:rsidRDefault="00D9387C" w:rsidP="00D9387C">
            <w:pPr>
              <w:rPr>
                <w:szCs w:val="24"/>
              </w:rPr>
            </w:pPr>
            <w:r w:rsidRPr="00CA6237">
              <w:rPr>
                <w:szCs w:val="24"/>
              </w:rPr>
              <w:t>Policy Changes to Influence the Root Causes of Commercial Tobacco Use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686AF99D" w14:textId="77777777" w:rsidR="00D9387C" w:rsidRDefault="00D9387C" w:rsidP="00D9387C"/>
        </w:tc>
        <w:tc>
          <w:tcPr>
            <w:tcW w:w="720" w:type="dxa"/>
          </w:tcPr>
          <w:p w14:paraId="6AF6E382" w14:textId="0E7050EB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*</w:t>
            </w:r>
          </w:p>
        </w:tc>
        <w:tc>
          <w:tcPr>
            <w:tcW w:w="540" w:type="dxa"/>
          </w:tcPr>
          <w:p w14:paraId="1C82EC83" w14:textId="77777777" w:rsidR="00D9387C" w:rsidRDefault="00D9387C" w:rsidP="00D9387C"/>
        </w:tc>
        <w:tc>
          <w:tcPr>
            <w:tcW w:w="540" w:type="dxa"/>
          </w:tcPr>
          <w:p w14:paraId="65B821D9" w14:textId="05DD0770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63F76DE0" w14:textId="77777777" w:rsidR="00D9387C" w:rsidRDefault="00D9387C" w:rsidP="00D9387C"/>
        </w:tc>
        <w:tc>
          <w:tcPr>
            <w:tcW w:w="900" w:type="dxa"/>
            <w:tcBorders>
              <w:left w:val="single" w:sz="24" w:space="0" w:color="auto"/>
            </w:tcBorders>
          </w:tcPr>
          <w:p w14:paraId="263F27BB" w14:textId="0B7312C8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5FE4065A" w14:textId="58A433E2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49D4873B" w14:textId="2E674BE8" w:rsidR="00D9387C" w:rsidRPr="00DE3338" w:rsidRDefault="00D9387C" w:rsidP="00D9387C">
            <w:pPr>
              <w:rPr>
                <w:szCs w:val="24"/>
              </w:rPr>
            </w:pPr>
            <w:r w:rsidRPr="00DE3338"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7954C8C8" w14:textId="4BD7BED9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44A7A581" w14:textId="2EC1742F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6E8521A6" w14:textId="4E92F163" w:rsidR="00D9387C" w:rsidRDefault="00D9387C" w:rsidP="00D9387C">
            <w:r w:rsidRPr="00DE3338"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0468CAB4" w14:textId="77777777" w:rsidR="00D9387C" w:rsidRDefault="00D9387C" w:rsidP="00D9387C"/>
        </w:tc>
      </w:tr>
      <w:tr w:rsidR="00D9387C" w14:paraId="7B42D4B9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34C28E8C" w14:textId="1512D6E8" w:rsidR="00D9387C" w:rsidRPr="00CC29E3" w:rsidRDefault="00D9387C" w:rsidP="00D9387C">
            <w:pPr>
              <w:rPr>
                <w:bCs/>
                <w:szCs w:val="24"/>
              </w:rPr>
            </w:pPr>
            <w:r w:rsidRPr="00CC29E3">
              <w:rPr>
                <w:bCs/>
                <w:szCs w:val="24"/>
              </w:rPr>
              <w:t>Facilitation of Community Partnerships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26E3502D" w14:textId="77777777" w:rsidR="00D9387C" w:rsidRDefault="00D9387C" w:rsidP="00D9387C"/>
        </w:tc>
        <w:tc>
          <w:tcPr>
            <w:tcW w:w="720" w:type="dxa"/>
          </w:tcPr>
          <w:p w14:paraId="7987947A" w14:textId="00957962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540" w:type="dxa"/>
          </w:tcPr>
          <w:p w14:paraId="61580D1F" w14:textId="77777777" w:rsidR="00D9387C" w:rsidRDefault="00D9387C" w:rsidP="00D9387C"/>
        </w:tc>
        <w:tc>
          <w:tcPr>
            <w:tcW w:w="540" w:type="dxa"/>
          </w:tcPr>
          <w:p w14:paraId="09FC4165" w14:textId="015E5D54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2D657F15" w14:textId="77777777" w:rsidR="00D9387C" w:rsidRDefault="00D9387C" w:rsidP="00D9387C"/>
        </w:tc>
        <w:tc>
          <w:tcPr>
            <w:tcW w:w="900" w:type="dxa"/>
            <w:tcBorders>
              <w:left w:val="single" w:sz="24" w:space="0" w:color="auto"/>
            </w:tcBorders>
          </w:tcPr>
          <w:p w14:paraId="29C915BB" w14:textId="1C2EFFE3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22537D41" w14:textId="521B786C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77F8E3AD" w14:textId="02E7A755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2243657A" w14:textId="48A30770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0E98B617" w14:textId="13ABF7F3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138E4FBF" w14:textId="23C3059A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55961F7D" w14:textId="77777777" w:rsidR="00D9387C" w:rsidRDefault="00D9387C" w:rsidP="00D9387C"/>
        </w:tc>
      </w:tr>
      <w:tr w:rsidR="00D9387C" w14:paraId="24DEE60B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51AB3060" w14:textId="3AD19DBB" w:rsidR="00D9387C" w:rsidRPr="00CA6237" w:rsidRDefault="00D9387C" w:rsidP="00D9387C">
            <w:pPr>
              <w:rPr>
                <w:bCs/>
                <w:szCs w:val="24"/>
              </w:rPr>
            </w:pPr>
            <w:r w:rsidRPr="00CA6237">
              <w:rPr>
                <w:bCs/>
                <w:szCs w:val="24"/>
              </w:rPr>
              <w:t>Creating Tobacco-Free Environments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2F6BAE70" w14:textId="77777777" w:rsidR="00D9387C" w:rsidRDefault="00D9387C" w:rsidP="00D9387C"/>
        </w:tc>
        <w:tc>
          <w:tcPr>
            <w:tcW w:w="720" w:type="dxa"/>
          </w:tcPr>
          <w:p w14:paraId="510FD72D" w14:textId="4FDA3E30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540" w:type="dxa"/>
          </w:tcPr>
          <w:p w14:paraId="67BEC70A" w14:textId="77777777" w:rsidR="00D9387C" w:rsidRDefault="00D9387C" w:rsidP="00D9387C"/>
        </w:tc>
        <w:tc>
          <w:tcPr>
            <w:tcW w:w="540" w:type="dxa"/>
          </w:tcPr>
          <w:p w14:paraId="1CE6C7D7" w14:textId="0290A2AA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5C8D4A96" w14:textId="77777777" w:rsidR="00D9387C" w:rsidRDefault="00D9387C" w:rsidP="00D9387C"/>
        </w:tc>
        <w:tc>
          <w:tcPr>
            <w:tcW w:w="900" w:type="dxa"/>
            <w:tcBorders>
              <w:left w:val="single" w:sz="24" w:space="0" w:color="auto"/>
            </w:tcBorders>
          </w:tcPr>
          <w:p w14:paraId="0FBE0691" w14:textId="77777777" w:rsidR="00D9387C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  <w:p w14:paraId="33734146" w14:textId="3540BDCC" w:rsidR="00D9387C" w:rsidRPr="00DE3338" w:rsidRDefault="00D9387C" w:rsidP="00D9387C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679BD9AB" w14:textId="080E98C9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60FA5AA6" w14:textId="3307FBA9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7F7470DC" w14:textId="544E556A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311AB0F8" w14:textId="5C2FA73C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6803D61C" w14:textId="2B2F9FEF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7639DCF7" w14:textId="77777777" w:rsidR="00D9387C" w:rsidRDefault="00D9387C" w:rsidP="00D9387C"/>
        </w:tc>
      </w:tr>
      <w:tr w:rsidR="00D9387C" w14:paraId="256E7CE1" w14:textId="77777777" w:rsidTr="00AA43EF">
        <w:trPr>
          <w:jc w:val="center"/>
        </w:trPr>
        <w:tc>
          <w:tcPr>
            <w:tcW w:w="2700" w:type="dxa"/>
            <w:tcBorders>
              <w:right w:val="single" w:sz="24" w:space="0" w:color="auto"/>
            </w:tcBorders>
          </w:tcPr>
          <w:p w14:paraId="37DACE23" w14:textId="75F4EAA2" w:rsidR="00D9387C" w:rsidRPr="00CA6237" w:rsidRDefault="00D9387C" w:rsidP="00D9387C">
            <w:pPr>
              <w:rPr>
                <w:bCs/>
                <w:szCs w:val="24"/>
              </w:rPr>
            </w:pPr>
            <w:r w:rsidRPr="00CA6237">
              <w:rPr>
                <w:bCs/>
                <w:szCs w:val="24"/>
              </w:rPr>
              <w:t>Reducing the Burden of Tobacco-Related and Other Chronic Diseases</w:t>
            </w:r>
          </w:p>
        </w:tc>
        <w:tc>
          <w:tcPr>
            <w:tcW w:w="450" w:type="dxa"/>
            <w:tcBorders>
              <w:left w:val="single" w:sz="24" w:space="0" w:color="auto"/>
            </w:tcBorders>
          </w:tcPr>
          <w:p w14:paraId="6022DAEC" w14:textId="77777777" w:rsidR="00D9387C" w:rsidRDefault="00D9387C" w:rsidP="00D9387C"/>
        </w:tc>
        <w:tc>
          <w:tcPr>
            <w:tcW w:w="720" w:type="dxa"/>
          </w:tcPr>
          <w:p w14:paraId="34357124" w14:textId="3F2FA12D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</w:p>
        </w:tc>
        <w:tc>
          <w:tcPr>
            <w:tcW w:w="540" w:type="dxa"/>
          </w:tcPr>
          <w:p w14:paraId="01425104" w14:textId="77777777" w:rsidR="00D9387C" w:rsidRDefault="00D9387C" w:rsidP="00D9387C"/>
        </w:tc>
        <w:tc>
          <w:tcPr>
            <w:tcW w:w="540" w:type="dxa"/>
          </w:tcPr>
          <w:p w14:paraId="682ABF3F" w14:textId="21470681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  <w:tcBorders>
              <w:right w:val="single" w:sz="24" w:space="0" w:color="auto"/>
            </w:tcBorders>
          </w:tcPr>
          <w:p w14:paraId="4AF7C7F4" w14:textId="3CD13D75" w:rsidR="00D9387C" w:rsidRDefault="00D9387C" w:rsidP="00D9387C">
            <w:r>
              <w:t>X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14:paraId="1EBEA872" w14:textId="1399BEBC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1350D7DC" w14:textId="0C36F5E3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900" w:type="dxa"/>
          </w:tcPr>
          <w:p w14:paraId="1F75E07A" w14:textId="3383B2CC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630" w:type="dxa"/>
          </w:tcPr>
          <w:p w14:paraId="08315BBA" w14:textId="5E6F11D3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450" w:type="dxa"/>
          </w:tcPr>
          <w:p w14:paraId="689892E9" w14:textId="660BC40F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360" w:type="dxa"/>
          </w:tcPr>
          <w:p w14:paraId="4048D228" w14:textId="6C6D6FAE" w:rsidR="00D9387C" w:rsidRPr="00DE3338" w:rsidRDefault="00D9387C" w:rsidP="00D9387C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720" w:type="dxa"/>
          </w:tcPr>
          <w:p w14:paraId="44B31662" w14:textId="77777777" w:rsidR="00D9387C" w:rsidRDefault="00D9387C" w:rsidP="00D9387C"/>
        </w:tc>
      </w:tr>
    </w:tbl>
    <w:p w14:paraId="53A11CAA" w14:textId="77777777" w:rsidR="003C76D4" w:rsidRDefault="003C76D4" w:rsidP="003C76D4">
      <w:pPr>
        <w:spacing w:after="120"/>
        <w:ind w:left="1440"/>
        <w:rPr>
          <w:b/>
          <w:szCs w:val="24"/>
        </w:rPr>
      </w:pPr>
    </w:p>
    <w:p w14:paraId="5714EFFB" w14:textId="7072E068" w:rsidR="00BF6242" w:rsidRPr="007E1169" w:rsidRDefault="000624F7" w:rsidP="007E1169">
      <w:pPr>
        <w:pStyle w:val="ListParagraph"/>
        <w:numPr>
          <w:ilvl w:val="1"/>
          <w:numId w:val="13"/>
        </w:numPr>
        <w:spacing w:after="120"/>
        <w:rPr>
          <w:b/>
          <w:szCs w:val="24"/>
        </w:rPr>
      </w:pPr>
      <w:r w:rsidRPr="007E1169">
        <w:rPr>
          <w:b/>
          <w:szCs w:val="24"/>
        </w:rPr>
        <w:t xml:space="preserve">The work in this Program Element helps Oregon’s governmental public health system achieve the following Public Health Accountability Metric: </w:t>
      </w:r>
    </w:p>
    <w:p w14:paraId="59474201" w14:textId="62EC8041" w:rsidR="00DE3338" w:rsidRPr="003C76D4" w:rsidRDefault="000624F7" w:rsidP="003C76D4">
      <w:pPr>
        <w:spacing w:after="120"/>
        <w:ind w:left="1440"/>
        <w:rPr>
          <w:b/>
          <w:i/>
        </w:rPr>
      </w:pPr>
      <w:r w:rsidRPr="003C76D4">
        <w:rPr>
          <w:szCs w:val="24"/>
        </w:rPr>
        <w:t>Adults who smoke cigarettes.</w:t>
      </w:r>
    </w:p>
    <w:p w14:paraId="6A24D344" w14:textId="04C5DA37" w:rsidR="003C76D4" w:rsidRPr="007E1169" w:rsidRDefault="000624F7" w:rsidP="007E1169">
      <w:pPr>
        <w:pStyle w:val="ListParagraph"/>
        <w:numPr>
          <w:ilvl w:val="1"/>
          <w:numId w:val="13"/>
        </w:numPr>
        <w:spacing w:after="120"/>
        <w:rPr>
          <w:b/>
        </w:rPr>
      </w:pPr>
      <w:r w:rsidRPr="007E1169">
        <w:rPr>
          <w:b/>
        </w:rPr>
        <w:t>The work in this Program Element helps Oregon’s governmental public health system achieve the following Public Health Modernization Process Measure:</w:t>
      </w:r>
      <w:r w:rsidR="00DE3338" w:rsidRPr="007E1169">
        <w:rPr>
          <w:b/>
        </w:rPr>
        <w:t xml:space="preserve"> </w:t>
      </w:r>
    </w:p>
    <w:p w14:paraId="1DBC07B1" w14:textId="536F2680" w:rsidR="000624F7" w:rsidRPr="00DE3338" w:rsidRDefault="00DE3338" w:rsidP="003C76D4">
      <w:pPr>
        <w:spacing w:after="120"/>
        <w:ind w:left="1440"/>
        <w:rPr>
          <w:b/>
          <w:i/>
        </w:rPr>
      </w:pPr>
      <w:r w:rsidRPr="00DE3338">
        <w:t>Not applicable.</w:t>
      </w:r>
    </w:p>
    <w:p w14:paraId="517FD748" w14:textId="3BB59725" w:rsidR="00187222" w:rsidRPr="007E1169" w:rsidRDefault="000624F7" w:rsidP="00724F24">
      <w:pPr>
        <w:pStyle w:val="ListParagraph"/>
        <w:numPr>
          <w:ilvl w:val="0"/>
          <w:numId w:val="13"/>
        </w:numPr>
        <w:rPr>
          <w:b/>
        </w:rPr>
      </w:pPr>
      <w:r w:rsidRPr="00187222">
        <w:rPr>
          <w:b/>
        </w:rPr>
        <w:t>Procedural and Operational Requirements.</w:t>
      </w:r>
      <w:r w:rsidR="00187222" w:rsidRPr="00187222">
        <w:rPr>
          <w:b/>
        </w:rPr>
        <w:t xml:space="preserve">  </w:t>
      </w:r>
      <w:r w:rsidR="00187222" w:rsidRPr="00187222">
        <w:rPr>
          <w:color w:val="000000"/>
          <w:spacing w:val="-2"/>
        </w:rPr>
        <w:t>By accepting and using the Financial Assistance</w:t>
      </w:r>
      <w:r w:rsidRPr="00DE3338">
        <w:t xml:space="preserve"> awarded under this</w:t>
      </w:r>
      <w:r w:rsidR="00187222" w:rsidRPr="00187222">
        <w:rPr>
          <w:color w:val="000000"/>
          <w:spacing w:val="-2"/>
        </w:rPr>
        <w:t xml:space="preserve"> Agreement and </w:t>
      </w:r>
      <w:r w:rsidRPr="00DE3338">
        <w:t xml:space="preserve">for </w:t>
      </w:r>
      <w:r w:rsidR="00187222" w:rsidRPr="00187222">
        <w:rPr>
          <w:color w:val="000000"/>
          <w:spacing w:val="-2"/>
        </w:rPr>
        <w:t xml:space="preserve">this Program Element, </w:t>
      </w:r>
      <w:r w:rsidR="00FA0FD0">
        <w:rPr>
          <w:color w:val="000000"/>
          <w:spacing w:val="-2"/>
        </w:rPr>
        <w:t>Tribe</w:t>
      </w:r>
      <w:r w:rsidR="00187222">
        <w:rPr>
          <w:color w:val="000000"/>
          <w:spacing w:val="-2"/>
        </w:rPr>
        <w:t xml:space="preserve"> </w:t>
      </w:r>
      <w:r w:rsidR="00187222" w:rsidRPr="00187222">
        <w:rPr>
          <w:color w:val="000000"/>
          <w:spacing w:val="-2"/>
        </w:rPr>
        <w:t>agrees to conduct activities in accordance with the following requirements:</w:t>
      </w:r>
    </w:p>
    <w:p w14:paraId="610F8951" w14:textId="39DAACE2" w:rsidR="00724F24" w:rsidRPr="007E1169" w:rsidRDefault="00724F24" w:rsidP="007E1169">
      <w:pPr>
        <w:rPr>
          <w:b/>
        </w:rPr>
      </w:pPr>
    </w:p>
    <w:p w14:paraId="292EA598" w14:textId="0761B3A4" w:rsidR="00BC5292" w:rsidRPr="00267360" w:rsidRDefault="00BC5292" w:rsidP="005A0E95">
      <w:pPr>
        <w:pStyle w:val="ListParagraph"/>
        <w:widowControl w:val="0"/>
        <w:numPr>
          <w:ilvl w:val="1"/>
          <w:numId w:val="13"/>
        </w:numPr>
        <w:spacing w:after="120"/>
        <w:ind w:hanging="720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Submit </w:t>
      </w:r>
      <w:r w:rsidR="00724F24">
        <w:rPr>
          <w:color w:val="000000" w:themeColor="text1"/>
          <w:szCs w:val="24"/>
        </w:rPr>
        <w:t>p</w:t>
      </w:r>
      <w:r w:rsidR="003C76D4">
        <w:rPr>
          <w:color w:val="000000" w:themeColor="text1"/>
          <w:szCs w:val="24"/>
        </w:rPr>
        <w:t>rogram</w:t>
      </w:r>
      <w:r>
        <w:rPr>
          <w:color w:val="000000" w:themeColor="text1"/>
          <w:szCs w:val="24"/>
        </w:rPr>
        <w:t xml:space="preserve"> budget to OHA to be finalized through mutual negotiation between both entities.</w:t>
      </w:r>
    </w:p>
    <w:p w14:paraId="0457D2DD" w14:textId="4C30D724" w:rsidR="001E59DB" w:rsidRDefault="007E0051" w:rsidP="00724F24">
      <w:pPr>
        <w:pStyle w:val="ListParagraph"/>
        <w:widowControl w:val="0"/>
        <w:numPr>
          <w:ilvl w:val="1"/>
          <w:numId w:val="13"/>
        </w:numPr>
        <w:spacing w:after="120"/>
        <w:ind w:hanging="720"/>
        <w:contextualSpacing w:val="0"/>
        <w:rPr>
          <w:szCs w:val="24"/>
        </w:rPr>
      </w:pPr>
      <w:r w:rsidRPr="00983E2B">
        <w:rPr>
          <w:szCs w:val="24"/>
        </w:rPr>
        <w:t xml:space="preserve">Use funds for this Program Element in accordance with </w:t>
      </w:r>
      <w:r w:rsidR="008A69BB">
        <w:rPr>
          <w:szCs w:val="24"/>
        </w:rPr>
        <w:t>the</w:t>
      </w:r>
      <w:r w:rsidR="00724F24">
        <w:rPr>
          <w:szCs w:val="24"/>
        </w:rPr>
        <w:t xml:space="preserve"> program</w:t>
      </w:r>
      <w:r w:rsidR="0059656E">
        <w:rPr>
          <w:szCs w:val="24"/>
        </w:rPr>
        <w:t xml:space="preserve"> </w:t>
      </w:r>
      <w:r w:rsidR="00724F24">
        <w:rPr>
          <w:szCs w:val="24"/>
        </w:rPr>
        <w:t>b</w:t>
      </w:r>
      <w:r w:rsidRPr="00983E2B">
        <w:rPr>
          <w:szCs w:val="24"/>
        </w:rPr>
        <w:t xml:space="preserve">udget, which </w:t>
      </w:r>
      <w:r w:rsidRPr="005A0E95">
        <w:rPr>
          <w:szCs w:val="24"/>
        </w:rPr>
        <w:t>is due to OHA no later than June 30 of each year, unless otherwise specified by OHA.</w:t>
      </w:r>
      <w:r w:rsidR="00BC5292">
        <w:rPr>
          <w:szCs w:val="24"/>
        </w:rPr>
        <w:t xml:space="preserve"> </w:t>
      </w:r>
      <w:r w:rsidR="00BC5292">
        <w:rPr>
          <w:color w:val="000000" w:themeColor="text1"/>
          <w:szCs w:val="24"/>
        </w:rPr>
        <w:t xml:space="preserve">Once finalized through mutual negotiation between both entities, the budget shall be incorporated into this Agreement. </w:t>
      </w:r>
      <w:r w:rsidRPr="00983E2B">
        <w:rPr>
          <w:szCs w:val="24"/>
        </w:rPr>
        <w:t xml:space="preserve"> Modification to the</w:t>
      </w:r>
      <w:r w:rsidR="004043E7" w:rsidRPr="004043E7">
        <w:rPr>
          <w:szCs w:val="24"/>
        </w:rPr>
        <w:t xml:space="preserve"> </w:t>
      </w:r>
      <w:r w:rsidR="00724F24">
        <w:rPr>
          <w:szCs w:val="24"/>
        </w:rPr>
        <w:t>program b</w:t>
      </w:r>
      <w:r w:rsidRPr="00983E2B">
        <w:rPr>
          <w:szCs w:val="24"/>
        </w:rPr>
        <w:t xml:space="preserve">udget </w:t>
      </w:r>
      <w:r w:rsidR="00BC5292">
        <w:rPr>
          <w:szCs w:val="24"/>
        </w:rPr>
        <w:t xml:space="preserve">of 25% or more for any line item </w:t>
      </w:r>
      <w:r w:rsidR="001E59DB">
        <w:rPr>
          <w:szCs w:val="24"/>
        </w:rPr>
        <w:t xml:space="preserve">will be finalized through mutual negotiation between both parties prior to implementation. </w:t>
      </w:r>
    </w:p>
    <w:p w14:paraId="0BA1C3FD" w14:textId="18F45C71" w:rsidR="001E59DB" w:rsidRDefault="00BC5292" w:rsidP="00724F24">
      <w:pPr>
        <w:pStyle w:val="ListParagraph"/>
        <w:widowControl w:val="0"/>
        <w:numPr>
          <w:ilvl w:val="1"/>
          <w:numId w:val="13"/>
        </w:numPr>
        <w:spacing w:after="120"/>
        <w:ind w:hanging="720"/>
        <w:contextualSpacing w:val="0"/>
        <w:rPr>
          <w:szCs w:val="24"/>
        </w:rPr>
      </w:pPr>
      <w:r w:rsidRPr="00983E2B">
        <w:rPr>
          <w:szCs w:val="24"/>
        </w:rPr>
        <w:t>Engage in activities as described in the</w:t>
      </w:r>
      <w:r w:rsidR="00724F24">
        <w:rPr>
          <w:szCs w:val="24"/>
        </w:rPr>
        <w:t xml:space="preserve"> </w:t>
      </w:r>
      <w:r w:rsidR="004043E7">
        <w:rPr>
          <w:color w:val="000000" w:themeColor="text1"/>
          <w:szCs w:val="24"/>
        </w:rPr>
        <w:t>Program</w:t>
      </w:r>
      <w:r w:rsidRPr="00983E2B">
        <w:rPr>
          <w:szCs w:val="24"/>
        </w:rPr>
        <w:t xml:space="preserve"> Plan, which is d</w:t>
      </w:r>
      <w:r w:rsidRPr="005A0E95">
        <w:rPr>
          <w:szCs w:val="24"/>
        </w:rPr>
        <w:t>ue to OHA no later than June 30 of each year, unless otherwise specified by OHA. OHA will supply the required format and current service data for use in completing the plan.</w:t>
      </w:r>
    </w:p>
    <w:p w14:paraId="02A5D682" w14:textId="1CADB22F" w:rsidR="001E59DB" w:rsidRDefault="001E59DB" w:rsidP="00724F24">
      <w:pPr>
        <w:pStyle w:val="ListParagraph"/>
        <w:widowControl w:val="0"/>
        <w:numPr>
          <w:ilvl w:val="1"/>
          <w:numId w:val="13"/>
        </w:numPr>
        <w:spacing w:after="120"/>
        <w:ind w:hanging="720"/>
        <w:contextualSpacing w:val="0"/>
        <w:rPr>
          <w:szCs w:val="24"/>
        </w:rPr>
      </w:pPr>
      <w:r w:rsidRPr="00983E2B">
        <w:rPr>
          <w:szCs w:val="24"/>
        </w:rPr>
        <w:t>Participate in Tribal</w:t>
      </w:r>
      <w:r w:rsidR="0059656E">
        <w:rPr>
          <w:szCs w:val="24"/>
        </w:rPr>
        <w:t xml:space="preserve"> </w:t>
      </w:r>
      <w:r w:rsidRPr="00983E2B">
        <w:rPr>
          <w:szCs w:val="24"/>
        </w:rPr>
        <w:t xml:space="preserve">program </w:t>
      </w:r>
      <w:r w:rsidRPr="005A0E95">
        <w:rPr>
          <w:szCs w:val="24"/>
        </w:rPr>
        <w:t xml:space="preserve">meetings and learning collaborative activities in collaboration with Northwest Portland Area Indian Health Board (NPAIHB), OHA and other Tribal programs. </w:t>
      </w:r>
    </w:p>
    <w:p w14:paraId="3BA98203" w14:textId="4762EC6F" w:rsidR="001E59DB" w:rsidRPr="00983E2B" w:rsidRDefault="001E59DB" w:rsidP="00724F24">
      <w:pPr>
        <w:pStyle w:val="ListParagraph"/>
        <w:numPr>
          <w:ilvl w:val="1"/>
          <w:numId w:val="13"/>
        </w:numPr>
        <w:spacing w:after="120"/>
        <w:ind w:hanging="720"/>
        <w:contextualSpacing w:val="0"/>
        <w:rPr>
          <w:szCs w:val="24"/>
        </w:rPr>
      </w:pPr>
      <w:r>
        <w:rPr>
          <w:szCs w:val="24"/>
        </w:rPr>
        <w:t xml:space="preserve">Collaborate with NPAIHB in development of </w:t>
      </w:r>
      <w:r w:rsidR="008A69BB">
        <w:rPr>
          <w:szCs w:val="24"/>
        </w:rPr>
        <w:t xml:space="preserve">evaluation reports </w:t>
      </w:r>
      <w:r>
        <w:rPr>
          <w:szCs w:val="24"/>
        </w:rPr>
        <w:t>describing Tribal Tobacco Prevention accomplishments, lessons learned, and future recommendations.</w:t>
      </w:r>
    </w:p>
    <w:p w14:paraId="019D1593" w14:textId="14022042" w:rsidR="000624F7" w:rsidRPr="000624F7" w:rsidRDefault="000624F7" w:rsidP="005A0E95">
      <w:pPr>
        <w:pStyle w:val="ListParagraph"/>
        <w:ind w:left="1440"/>
        <w:rPr>
          <w:szCs w:val="24"/>
        </w:rPr>
      </w:pPr>
    </w:p>
    <w:p w14:paraId="691DC1BB" w14:textId="22DF5C73" w:rsidR="00684F73" w:rsidRPr="005A0E95" w:rsidRDefault="00CA2DC2" w:rsidP="00724F24">
      <w:pPr>
        <w:pStyle w:val="ListParagraph"/>
        <w:numPr>
          <w:ilvl w:val="0"/>
          <w:numId w:val="13"/>
        </w:numPr>
        <w:spacing w:after="120"/>
        <w:ind w:hanging="720"/>
        <w:rPr>
          <w:b/>
          <w:bCs/>
          <w:spacing w:val="-3"/>
          <w:szCs w:val="24"/>
        </w:rPr>
      </w:pPr>
      <w:r w:rsidRPr="00CA2DC2">
        <w:rPr>
          <w:b/>
          <w:bCs/>
          <w:spacing w:val="-3"/>
          <w:szCs w:val="24"/>
        </w:rPr>
        <w:t xml:space="preserve">General Revenue and Expense Reporting. </w:t>
      </w:r>
      <w:r w:rsidR="00A4253A">
        <w:rPr>
          <w:bCs/>
          <w:spacing w:val="-3"/>
          <w:szCs w:val="24"/>
        </w:rPr>
        <w:t xml:space="preserve">Tribe </w:t>
      </w:r>
      <w:r w:rsidR="00AC06BA">
        <w:rPr>
          <w:bCs/>
          <w:spacing w:val="-3"/>
          <w:szCs w:val="24"/>
        </w:rPr>
        <w:t xml:space="preserve">agrees to </w:t>
      </w:r>
      <w:r w:rsidRPr="00CA2DC2">
        <w:rPr>
          <w:bCs/>
          <w:spacing w:val="-3"/>
          <w:szCs w:val="24"/>
        </w:rPr>
        <w:t xml:space="preserve">complete an “Oregon Health Authority Public Health Division Expenditure and Revenue Report” located in Exhibit C of this Agreement.  </w:t>
      </w:r>
      <w:r w:rsidRPr="00CA2DC2">
        <w:rPr>
          <w:szCs w:val="24"/>
        </w:rPr>
        <w:t xml:space="preserve">These reports must be submitted to OHA </w:t>
      </w:r>
      <w:r w:rsidR="00684F73">
        <w:rPr>
          <w:szCs w:val="24"/>
        </w:rPr>
        <w:t xml:space="preserve">each quarter on the following schedule: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2551"/>
      </w:tblGrid>
      <w:tr w:rsidR="00684F73" w14:paraId="091EA3F8" w14:textId="77777777" w:rsidTr="00044A73"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04CE" w14:textId="77777777" w:rsidR="00684F73" w:rsidRPr="00295FBA" w:rsidRDefault="00684F73" w:rsidP="00044A73">
            <w:pPr>
              <w:spacing w:after="120"/>
              <w:jc w:val="center"/>
              <w:rPr>
                <w:b/>
                <w:bCs/>
                <w:szCs w:val="24"/>
              </w:rPr>
            </w:pPr>
            <w:r w:rsidRPr="00295FBA">
              <w:rPr>
                <w:b/>
                <w:bCs/>
                <w:szCs w:val="24"/>
              </w:rPr>
              <w:t>Fiscal Quarter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04C60" w14:textId="77777777" w:rsidR="00684F73" w:rsidRPr="00295FBA" w:rsidRDefault="00684F73" w:rsidP="00044A73">
            <w:pPr>
              <w:spacing w:after="120"/>
              <w:jc w:val="center"/>
              <w:rPr>
                <w:b/>
                <w:bCs/>
                <w:szCs w:val="24"/>
              </w:rPr>
            </w:pPr>
            <w:r w:rsidRPr="00295FBA">
              <w:rPr>
                <w:b/>
                <w:bCs/>
                <w:szCs w:val="24"/>
              </w:rPr>
              <w:t>Due Date</w:t>
            </w:r>
          </w:p>
        </w:tc>
      </w:tr>
      <w:tr w:rsidR="00684F73" w14:paraId="4180FCDD" w14:textId="77777777" w:rsidTr="00044A73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1132" w14:textId="77777777" w:rsidR="00684F73" w:rsidRPr="00295FBA" w:rsidRDefault="00684F73" w:rsidP="00044A73">
            <w:pPr>
              <w:spacing w:after="120"/>
              <w:rPr>
                <w:szCs w:val="24"/>
              </w:rPr>
            </w:pPr>
            <w:r w:rsidRPr="00295FBA">
              <w:rPr>
                <w:szCs w:val="24"/>
              </w:rPr>
              <w:t>First:  July 1 – September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B386" w14:textId="77777777" w:rsidR="00684F73" w:rsidRPr="00295FBA" w:rsidRDefault="00684F73" w:rsidP="00044A73">
            <w:pPr>
              <w:spacing w:after="120"/>
              <w:jc w:val="center"/>
              <w:rPr>
                <w:szCs w:val="24"/>
              </w:rPr>
            </w:pPr>
            <w:r w:rsidRPr="00295FBA">
              <w:rPr>
                <w:szCs w:val="24"/>
              </w:rPr>
              <w:t>October 30</w:t>
            </w:r>
          </w:p>
        </w:tc>
      </w:tr>
      <w:tr w:rsidR="00684F73" w14:paraId="3957A312" w14:textId="77777777" w:rsidTr="00044A73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7451" w14:textId="77777777" w:rsidR="00684F73" w:rsidRPr="00295FBA" w:rsidRDefault="00684F73" w:rsidP="00044A73">
            <w:pPr>
              <w:spacing w:after="120"/>
              <w:rPr>
                <w:szCs w:val="24"/>
              </w:rPr>
            </w:pPr>
            <w:r w:rsidRPr="00295FBA">
              <w:rPr>
                <w:szCs w:val="24"/>
              </w:rPr>
              <w:t>Second:  October 1 – December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0C95" w14:textId="77777777" w:rsidR="00684F73" w:rsidRPr="00295FBA" w:rsidRDefault="00684F73" w:rsidP="00044A73">
            <w:pPr>
              <w:spacing w:after="120"/>
              <w:jc w:val="center"/>
              <w:rPr>
                <w:szCs w:val="24"/>
              </w:rPr>
            </w:pPr>
            <w:r w:rsidRPr="00295FBA">
              <w:rPr>
                <w:szCs w:val="24"/>
              </w:rPr>
              <w:t>January 30</w:t>
            </w:r>
          </w:p>
        </w:tc>
      </w:tr>
      <w:tr w:rsidR="00684F73" w14:paraId="5D7E754D" w14:textId="77777777" w:rsidTr="00044A73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B597" w14:textId="77777777" w:rsidR="00684F73" w:rsidRPr="00295FBA" w:rsidRDefault="00684F73" w:rsidP="00044A73">
            <w:pPr>
              <w:spacing w:after="120"/>
              <w:rPr>
                <w:szCs w:val="24"/>
              </w:rPr>
            </w:pPr>
            <w:r w:rsidRPr="00295FBA">
              <w:rPr>
                <w:szCs w:val="24"/>
              </w:rPr>
              <w:t>Third:  January 1 – March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49B6" w14:textId="77777777" w:rsidR="00684F73" w:rsidRPr="00295FBA" w:rsidRDefault="00684F73" w:rsidP="00044A73">
            <w:pPr>
              <w:spacing w:after="120"/>
              <w:jc w:val="center"/>
              <w:rPr>
                <w:szCs w:val="24"/>
              </w:rPr>
            </w:pPr>
            <w:r w:rsidRPr="00295FBA">
              <w:rPr>
                <w:szCs w:val="24"/>
              </w:rPr>
              <w:t>April 30</w:t>
            </w:r>
          </w:p>
        </w:tc>
      </w:tr>
      <w:tr w:rsidR="00684F73" w14:paraId="5ADD9B6D" w14:textId="77777777" w:rsidTr="00044A73"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6EEED" w14:textId="77777777" w:rsidR="00684F73" w:rsidRPr="00295FBA" w:rsidRDefault="00684F73" w:rsidP="00044A73">
            <w:pPr>
              <w:spacing w:after="120"/>
              <w:rPr>
                <w:szCs w:val="24"/>
              </w:rPr>
            </w:pPr>
            <w:r w:rsidRPr="00295FBA">
              <w:rPr>
                <w:szCs w:val="24"/>
              </w:rPr>
              <w:t>Fourth:  April 1 – June 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DFC7" w14:textId="77777777" w:rsidR="00684F73" w:rsidRPr="00295FBA" w:rsidRDefault="00684F73" w:rsidP="00044A73">
            <w:pPr>
              <w:spacing w:after="120"/>
              <w:jc w:val="center"/>
              <w:rPr>
                <w:szCs w:val="24"/>
              </w:rPr>
            </w:pPr>
            <w:r w:rsidRPr="00295FBA">
              <w:rPr>
                <w:szCs w:val="24"/>
              </w:rPr>
              <w:t>August 20</w:t>
            </w:r>
          </w:p>
        </w:tc>
      </w:tr>
    </w:tbl>
    <w:p w14:paraId="34C589E1" w14:textId="3C09782F" w:rsidR="00CA2DC2" w:rsidRPr="00CA2DC2" w:rsidRDefault="00CA2DC2" w:rsidP="005A0E95">
      <w:pPr>
        <w:pStyle w:val="ListParagraph"/>
        <w:spacing w:after="120"/>
        <w:rPr>
          <w:b/>
          <w:bCs/>
          <w:spacing w:val="-3"/>
          <w:szCs w:val="24"/>
        </w:rPr>
      </w:pPr>
    </w:p>
    <w:p w14:paraId="396C2369" w14:textId="77777777" w:rsidR="00983E2B" w:rsidRDefault="00CA2DC2" w:rsidP="00724F24">
      <w:pPr>
        <w:numPr>
          <w:ilvl w:val="0"/>
          <w:numId w:val="13"/>
        </w:numPr>
        <w:spacing w:after="120"/>
        <w:ind w:hanging="720"/>
        <w:rPr>
          <w:szCs w:val="24"/>
        </w:rPr>
      </w:pPr>
      <w:r w:rsidRPr="00983E2B">
        <w:rPr>
          <w:b/>
          <w:szCs w:val="24"/>
        </w:rPr>
        <w:t>Reporting Requirements.</w:t>
      </w:r>
      <w:r w:rsidRPr="00983E2B">
        <w:rPr>
          <w:szCs w:val="24"/>
        </w:rPr>
        <w:t xml:space="preserve">  </w:t>
      </w:r>
    </w:p>
    <w:p w14:paraId="17A324A8" w14:textId="0A37612B" w:rsidR="00983E2B" w:rsidRDefault="00A4253A" w:rsidP="005A0E95">
      <w:pPr>
        <w:pStyle w:val="ListParagraph"/>
        <w:widowControl w:val="0"/>
        <w:spacing w:after="120"/>
        <w:contextualSpacing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Tribe</w:t>
      </w:r>
      <w:r w:rsidR="004043E7">
        <w:rPr>
          <w:color w:val="000000" w:themeColor="text1"/>
          <w:szCs w:val="24"/>
        </w:rPr>
        <w:t xml:space="preserve"> </w:t>
      </w:r>
      <w:r w:rsidR="00AC06BA">
        <w:rPr>
          <w:color w:val="000000" w:themeColor="text1"/>
          <w:szCs w:val="24"/>
        </w:rPr>
        <w:t>agrees to s</w:t>
      </w:r>
      <w:r w:rsidR="00983E2B" w:rsidRPr="00C133A0">
        <w:rPr>
          <w:color w:val="000000" w:themeColor="text1"/>
          <w:szCs w:val="24"/>
        </w:rPr>
        <w:t>ubmit</w:t>
      </w:r>
      <w:r w:rsidR="00983E2B">
        <w:rPr>
          <w:color w:val="000000" w:themeColor="text1"/>
          <w:szCs w:val="24"/>
        </w:rPr>
        <w:t xml:space="preserve"> two</w:t>
      </w:r>
      <w:r w:rsidR="00983E2B" w:rsidRPr="00C133A0">
        <w:rPr>
          <w:color w:val="000000" w:themeColor="text1"/>
          <w:szCs w:val="24"/>
        </w:rPr>
        <w:t xml:space="preserve"> reports</w:t>
      </w:r>
      <w:r w:rsidR="00983E2B">
        <w:rPr>
          <w:color w:val="000000" w:themeColor="text1"/>
          <w:szCs w:val="24"/>
        </w:rPr>
        <w:t xml:space="preserve"> annually</w:t>
      </w:r>
      <w:r w:rsidR="00983E2B" w:rsidRPr="00C133A0">
        <w:rPr>
          <w:color w:val="000000" w:themeColor="text1"/>
          <w:szCs w:val="24"/>
        </w:rPr>
        <w:t xml:space="preserve"> on accomplishments and challenges for the previous </w:t>
      </w:r>
      <w:r w:rsidR="00983E2B">
        <w:rPr>
          <w:color w:val="000000" w:themeColor="text1"/>
          <w:szCs w:val="24"/>
        </w:rPr>
        <w:t xml:space="preserve">six months </w:t>
      </w:r>
      <w:r w:rsidR="00983E2B" w:rsidRPr="00C133A0">
        <w:rPr>
          <w:color w:val="000000" w:themeColor="text1"/>
          <w:szCs w:val="24"/>
        </w:rPr>
        <w:t>to confirm progress toward and completion of deliverables</w:t>
      </w:r>
      <w:r w:rsidR="00983E2B">
        <w:rPr>
          <w:color w:val="000000" w:themeColor="text1"/>
          <w:szCs w:val="24"/>
        </w:rPr>
        <w:t xml:space="preserve"> in the Program Plan</w:t>
      </w:r>
      <w:r w:rsidR="00983E2B" w:rsidRPr="00C133A0">
        <w:rPr>
          <w:color w:val="000000" w:themeColor="text1"/>
          <w:szCs w:val="24"/>
        </w:rPr>
        <w:t xml:space="preserve">.  </w:t>
      </w:r>
      <w:r w:rsidR="00983E2B">
        <w:rPr>
          <w:color w:val="000000" w:themeColor="text1"/>
          <w:szCs w:val="24"/>
        </w:rPr>
        <w:t>Report template will be mutually agreed upon by</w:t>
      </w:r>
      <w:r>
        <w:rPr>
          <w:color w:val="000000" w:themeColor="text1"/>
          <w:szCs w:val="24"/>
        </w:rPr>
        <w:t xml:space="preserve"> Tribe and</w:t>
      </w:r>
      <w:r w:rsidR="00983E2B">
        <w:rPr>
          <w:color w:val="000000" w:themeColor="text1"/>
          <w:szCs w:val="24"/>
        </w:rPr>
        <w:t xml:space="preserve"> OHA.  </w:t>
      </w:r>
      <w:r w:rsidR="00983E2B" w:rsidRPr="00C133A0">
        <w:rPr>
          <w:color w:val="000000" w:themeColor="text1"/>
          <w:szCs w:val="24"/>
        </w:rPr>
        <w:t xml:space="preserve">As desired, </w:t>
      </w:r>
      <w:r w:rsidR="00343898">
        <w:rPr>
          <w:color w:val="000000" w:themeColor="text1"/>
          <w:szCs w:val="24"/>
        </w:rPr>
        <w:t xml:space="preserve">Tribe </w:t>
      </w:r>
      <w:r w:rsidR="00983E2B" w:rsidRPr="00C133A0">
        <w:rPr>
          <w:color w:val="000000" w:themeColor="text1"/>
          <w:szCs w:val="24"/>
        </w:rPr>
        <w:t xml:space="preserve">may indicate specific success stories they </w:t>
      </w:r>
      <w:r w:rsidR="00983E2B">
        <w:rPr>
          <w:color w:val="000000" w:themeColor="text1"/>
          <w:szCs w:val="24"/>
        </w:rPr>
        <w:t>are willing to have shared</w:t>
      </w:r>
      <w:r w:rsidR="00983E2B" w:rsidRPr="00C133A0">
        <w:rPr>
          <w:color w:val="000000" w:themeColor="text1"/>
          <w:szCs w:val="24"/>
        </w:rPr>
        <w:t xml:space="preserve"> publicly.  </w:t>
      </w:r>
    </w:p>
    <w:p w14:paraId="002C0B99" w14:textId="77777777" w:rsidR="00CA2DC2" w:rsidRPr="00983E2B" w:rsidRDefault="00CA2DC2" w:rsidP="00020355">
      <w:pPr>
        <w:pStyle w:val="ListParagraph"/>
        <w:ind w:left="1440"/>
      </w:pPr>
    </w:p>
    <w:p w14:paraId="10C211D0" w14:textId="0F1049BE" w:rsidR="00D05DB2" w:rsidRPr="00267360" w:rsidRDefault="000624F7" w:rsidP="00267360">
      <w:pPr>
        <w:numPr>
          <w:ilvl w:val="0"/>
          <w:numId w:val="13"/>
        </w:numPr>
        <w:spacing w:after="120"/>
        <w:ind w:hanging="720"/>
        <w:rPr>
          <w:szCs w:val="24"/>
        </w:rPr>
      </w:pPr>
      <w:r w:rsidRPr="000624F7">
        <w:rPr>
          <w:b/>
          <w:szCs w:val="24"/>
        </w:rPr>
        <w:t>Performance Measures</w:t>
      </w:r>
      <w:r w:rsidR="00684F73">
        <w:rPr>
          <w:szCs w:val="24"/>
        </w:rPr>
        <w:t xml:space="preserve"> - </w:t>
      </w:r>
      <w:r w:rsidR="00684F73" w:rsidRPr="00983E2B">
        <w:rPr>
          <w:szCs w:val="24"/>
        </w:rPr>
        <w:t>Not applicable.</w:t>
      </w:r>
    </w:p>
    <w:p w14:paraId="1DAB0EC9" w14:textId="466300EC" w:rsidR="00D05DB2" w:rsidRDefault="00D05DB2" w:rsidP="003B735F">
      <w:pPr>
        <w:jc w:val="center"/>
        <w:rPr>
          <w:b/>
          <w:szCs w:val="24"/>
        </w:rPr>
      </w:pPr>
    </w:p>
    <w:p w14:paraId="5F274608" w14:textId="00B69B1E" w:rsidR="00D05DB2" w:rsidRDefault="00D05DB2" w:rsidP="003B735F">
      <w:pPr>
        <w:jc w:val="center"/>
        <w:rPr>
          <w:b/>
          <w:szCs w:val="24"/>
        </w:rPr>
      </w:pPr>
    </w:p>
    <w:p w14:paraId="78698B30" w14:textId="040DA09C" w:rsidR="00D05DB2" w:rsidRDefault="00D05DB2" w:rsidP="003B735F">
      <w:pPr>
        <w:jc w:val="center"/>
        <w:rPr>
          <w:b/>
          <w:szCs w:val="24"/>
        </w:rPr>
      </w:pPr>
    </w:p>
    <w:p w14:paraId="19D73C8B" w14:textId="713A58FD" w:rsidR="00D05DB2" w:rsidRDefault="00D05DB2" w:rsidP="003B735F">
      <w:pPr>
        <w:jc w:val="center"/>
        <w:rPr>
          <w:b/>
          <w:szCs w:val="24"/>
        </w:rPr>
      </w:pPr>
    </w:p>
    <w:p w14:paraId="6674E076" w14:textId="2CD40721" w:rsidR="00D05DB2" w:rsidRDefault="00D05DB2" w:rsidP="003B735F">
      <w:pPr>
        <w:jc w:val="center"/>
        <w:rPr>
          <w:b/>
          <w:szCs w:val="24"/>
        </w:rPr>
      </w:pPr>
    </w:p>
    <w:p w14:paraId="5D2244EB" w14:textId="06BAD39A" w:rsidR="00D05DB2" w:rsidRDefault="00D05DB2" w:rsidP="003B735F">
      <w:pPr>
        <w:jc w:val="center"/>
        <w:rPr>
          <w:b/>
          <w:szCs w:val="24"/>
        </w:rPr>
      </w:pPr>
    </w:p>
    <w:p w14:paraId="48546175" w14:textId="682BAD47" w:rsidR="00D05DB2" w:rsidRDefault="00D05DB2" w:rsidP="003B735F">
      <w:pPr>
        <w:jc w:val="center"/>
        <w:rPr>
          <w:b/>
          <w:szCs w:val="24"/>
        </w:rPr>
      </w:pPr>
    </w:p>
    <w:p w14:paraId="6EA36C95" w14:textId="0E8990A2" w:rsidR="00D05DB2" w:rsidRDefault="00D05DB2" w:rsidP="003B735F">
      <w:pPr>
        <w:jc w:val="center"/>
        <w:rPr>
          <w:b/>
          <w:szCs w:val="24"/>
        </w:rPr>
      </w:pPr>
    </w:p>
    <w:p w14:paraId="4E7E5E1C" w14:textId="60ED280B" w:rsidR="00D05DB2" w:rsidRDefault="00D05DB2" w:rsidP="003B735F">
      <w:pPr>
        <w:jc w:val="center"/>
        <w:rPr>
          <w:b/>
          <w:szCs w:val="24"/>
        </w:rPr>
      </w:pPr>
    </w:p>
    <w:p w14:paraId="05261FF7" w14:textId="22A504C6" w:rsidR="00D05DB2" w:rsidRDefault="00D05DB2" w:rsidP="003B735F">
      <w:pPr>
        <w:jc w:val="center"/>
        <w:rPr>
          <w:b/>
          <w:szCs w:val="24"/>
        </w:rPr>
      </w:pPr>
    </w:p>
    <w:p w14:paraId="2FB4E2B1" w14:textId="49697412" w:rsidR="00D05DB2" w:rsidRDefault="00D05DB2" w:rsidP="003B735F">
      <w:pPr>
        <w:jc w:val="center"/>
        <w:rPr>
          <w:b/>
          <w:szCs w:val="24"/>
        </w:rPr>
      </w:pPr>
    </w:p>
    <w:p w14:paraId="6D96B339" w14:textId="496685FF" w:rsidR="00D05DB2" w:rsidRDefault="00D05DB2" w:rsidP="003B735F">
      <w:pPr>
        <w:jc w:val="center"/>
        <w:rPr>
          <w:b/>
          <w:szCs w:val="24"/>
        </w:rPr>
      </w:pPr>
    </w:p>
    <w:p w14:paraId="7D2F5DE0" w14:textId="1D315D34" w:rsidR="00D05DB2" w:rsidRDefault="00D05DB2" w:rsidP="003B735F">
      <w:pPr>
        <w:jc w:val="center"/>
        <w:rPr>
          <w:b/>
          <w:szCs w:val="24"/>
        </w:rPr>
      </w:pPr>
    </w:p>
    <w:p w14:paraId="09D14D11" w14:textId="3D8628FE" w:rsidR="00D05DB2" w:rsidRDefault="00D05DB2" w:rsidP="003B735F">
      <w:pPr>
        <w:jc w:val="center"/>
        <w:rPr>
          <w:b/>
          <w:szCs w:val="24"/>
        </w:rPr>
      </w:pPr>
    </w:p>
    <w:p w14:paraId="5EDF6B5E" w14:textId="3C26DFD9" w:rsidR="00D05DB2" w:rsidRDefault="00D05DB2" w:rsidP="003B735F">
      <w:pPr>
        <w:jc w:val="center"/>
        <w:rPr>
          <w:b/>
          <w:szCs w:val="24"/>
        </w:rPr>
      </w:pPr>
    </w:p>
    <w:p w14:paraId="2A530A37" w14:textId="77777777" w:rsidR="00D05DB2" w:rsidRPr="003E25A8" w:rsidRDefault="00D05DB2" w:rsidP="00343898">
      <w:pPr>
        <w:rPr>
          <w:b/>
          <w:szCs w:val="24"/>
        </w:rPr>
      </w:pPr>
    </w:p>
    <w:sectPr w:rsidR="00D05DB2" w:rsidRPr="003E25A8" w:rsidSect="004664DD">
      <w:footerReference w:type="even" r:id="rId10"/>
      <w:footerReference w:type="default" r:id="rId11"/>
      <w:pgSz w:w="12240" w:h="15840" w:code="1"/>
      <w:pgMar w:top="720" w:right="720" w:bottom="720" w:left="720" w:header="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CC92B" w14:textId="77777777" w:rsidR="00143988" w:rsidRDefault="00143988">
      <w:r>
        <w:separator/>
      </w:r>
    </w:p>
  </w:endnote>
  <w:endnote w:type="continuationSeparator" w:id="0">
    <w:p w14:paraId="0B2F4802" w14:textId="77777777" w:rsidR="00143988" w:rsidRDefault="0014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k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BA70" w14:textId="77777777" w:rsidR="004B7DE4" w:rsidRDefault="004B7DE4" w:rsidP="00327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2A3D99" w14:textId="77777777" w:rsidR="004B7DE4" w:rsidRDefault="004B7DE4" w:rsidP="001703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082A5" w14:textId="77777777" w:rsidR="004B7DE4" w:rsidRDefault="004B7DE4" w:rsidP="001703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2FBCF" w14:textId="77777777" w:rsidR="00143988" w:rsidRDefault="00143988">
      <w:r>
        <w:separator/>
      </w:r>
    </w:p>
  </w:footnote>
  <w:footnote w:type="continuationSeparator" w:id="0">
    <w:p w14:paraId="5578C285" w14:textId="77777777" w:rsidR="00143988" w:rsidRDefault="0014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D3547"/>
    <w:multiLevelType w:val="hybridMultilevel"/>
    <w:tmpl w:val="9F50658A"/>
    <w:lvl w:ilvl="0" w:tplc="85D6C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F25CF2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06ED4"/>
    <w:multiLevelType w:val="hybridMultilevel"/>
    <w:tmpl w:val="E796148C"/>
    <w:lvl w:ilvl="0" w:tplc="B0F648D0">
      <w:start w:val="1"/>
      <w:numFmt w:val="low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77E74C5"/>
    <w:multiLevelType w:val="hybridMultilevel"/>
    <w:tmpl w:val="9F50658A"/>
    <w:lvl w:ilvl="0" w:tplc="85D6C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F25CF2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3BCE"/>
    <w:multiLevelType w:val="hybridMultilevel"/>
    <w:tmpl w:val="95BCB8EA"/>
    <w:lvl w:ilvl="0" w:tplc="100C1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1E0BB0">
      <w:start w:val="1"/>
      <w:numFmt w:val="lowerLetter"/>
      <w:lvlText w:val="%2."/>
      <w:lvlJc w:val="left"/>
      <w:pPr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74EE5"/>
    <w:multiLevelType w:val="hybridMultilevel"/>
    <w:tmpl w:val="1A0C975A"/>
    <w:lvl w:ilvl="0" w:tplc="D02E1A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7D116E"/>
    <w:multiLevelType w:val="hybridMultilevel"/>
    <w:tmpl w:val="E7C0527C"/>
    <w:lvl w:ilvl="0" w:tplc="0AEA03D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A61A30"/>
    <w:multiLevelType w:val="hybridMultilevel"/>
    <w:tmpl w:val="D5444D7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53D2365"/>
    <w:multiLevelType w:val="hybridMultilevel"/>
    <w:tmpl w:val="5832C7C4"/>
    <w:lvl w:ilvl="0" w:tplc="FC84F1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02E26"/>
    <w:multiLevelType w:val="hybridMultilevel"/>
    <w:tmpl w:val="496C2538"/>
    <w:lvl w:ilvl="0" w:tplc="3F8EBFBA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30D3D"/>
    <w:multiLevelType w:val="hybridMultilevel"/>
    <w:tmpl w:val="26760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CC1518"/>
    <w:multiLevelType w:val="hybridMultilevel"/>
    <w:tmpl w:val="F63E4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477D84"/>
    <w:multiLevelType w:val="hybridMultilevel"/>
    <w:tmpl w:val="496C2538"/>
    <w:lvl w:ilvl="0" w:tplc="3F8EBFBA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71C70"/>
    <w:multiLevelType w:val="hybridMultilevel"/>
    <w:tmpl w:val="1C3C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74"/>
    <w:rsid w:val="000040FD"/>
    <w:rsid w:val="00020355"/>
    <w:rsid w:val="00036118"/>
    <w:rsid w:val="00045AB9"/>
    <w:rsid w:val="000624F7"/>
    <w:rsid w:val="0006321A"/>
    <w:rsid w:val="00094C4F"/>
    <w:rsid w:val="000A2445"/>
    <w:rsid w:val="000B15E5"/>
    <w:rsid w:val="000B45A6"/>
    <w:rsid w:val="000B4DDE"/>
    <w:rsid w:val="000C7492"/>
    <w:rsid w:val="000D37F7"/>
    <w:rsid w:val="000E48F0"/>
    <w:rsid w:val="00103561"/>
    <w:rsid w:val="001122C6"/>
    <w:rsid w:val="00125E2A"/>
    <w:rsid w:val="00143988"/>
    <w:rsid w:val="00153AEF"/>
    <w:rsid w:val="001703B3"/>
    <w:rsid w:val="00187222"/>
    <w:rsid w:val="001B2C93"/>
    <w:rsid w:val="001C32F0"/>
    <w:rsid w:val="001C6213"/>
    <w:rsid w:val="001D5B4F"/>
    <w:rsid w:val="001E59DB"/>
    <w:rsid w:val="00232FCB"/>
    <w:rsid w:val="002440B3"/>
    <w:rsid w:val="00267360"/>
    <w:rsid w:val="002B0326"/>
    <w:rsid w:val="002B5F74"/>
    <w:rsid w:val="002D3E17"/>
    <w:rsid w:val="002E7ACC"/>
    <w:rsid w:val="00327EB2"/>
    <w:rsid w:val="003372B8"/>
    <w:rsid w:val="00342DCB"/>
    <w:rsid w:val="00343898"/>
    <w:rsid w:val="00343B9D"/>
    <w:rsid w:val="00365FDD"/>
    <w:rsid w:val="00374208"/>
    <w:rsid w:val="00376181"/>
    <w:rsid w:val="0038495C"/>
    <w:rsid w:val="00392B4E"/>
    <w:rsid w:val="003B03FB"/>
    <w:rsid w:val="003B735F"/>
    <w:rsid w:val="003C76D4"/>
    <w:rsid w:val="003E0280"/>
    <w:rsid w:val="003E25A8"/>
    <w:rsid w:val="003F52C0"/>
    <w:rsid w:val="003F7691"/>
    <w:rsid w:val="004043E7"/>
    <w:rsid w:val="00414714"/>
    <w:rsid w:val="00427077"/>
    <w:rsid w:val="00435ABF"/>
    <w:rsid w:val="00454903"/>
    <w:rsid w:val="004664DD"/>
    <w:rsid w:val="00477BAA"/>
    <w:rsid w:val="00494D70"/>
    <w:rsid w:val="004B7DE4"/>
    <w:rsid w:val="00512415"/>
    <w:rsid w:val="005321DE"/>
    <w:rsid w:val="00551C11"/>
    <w:rsid w:val="00582DF7"/>
    <w:rsid w:val="0059656E"/>
    <w:rsid w:val="005A0E95"/>
    <w:rsid w:val="005A2C77"/>
    <w:rsid w:val="005B3B46"/>
    <w:rsid w:val="005B589D"/>
    <w:rsid w:val="005D40C2"/>
    <w:rsid w:val="00610FB7"/>
    <w:rsid w:val="00611242"/>
    <w:rsid w:val="00616F81"/>
    <w:rsid w:val="00622632"/>
    <w:rsid w:val="0067453B"/>
    <w:rsid w:val="00680323"/>
    <w:rsid w:val="006806A9"/>
    <w:rsid w:val="00684F73"/>
    <w:rsid w:val="006A353A"/>
    <w:rsid w:val="006B7BC2"/>
    <w:rsid w:val="00722FEE"/>
    <w:rsid w:val="00724F24"/>
    <w:rsid w:val="00730355"/>
    <w:rsid w:val="00751592"/>
    <w:rsid w:val="007A1102"/>
    <w:rsid w:val="007B57AC"/>
    <w:rsid w:val="007D2125"/>
    <w:rsid w:val="007E0051"/>
    <w:rsid w:val="007E1169"/>
    <w:rsid w:val="00827ED2"/>
    <w:rsid w:val="00844B60"/>
    <w:rsid w:val="0085328D"/>
    <w:rsid w:val="00866523"/>
    <w:rsid w:val="0088337F"/>
    <w:rsid w:val="00887C58"/>
    <w:rsid w:val="008913A6"/>
    <w:rsid w:val="00892DF2"/>
    <w:rsid w:val="00895576"/>
    <w:rsid w:val="008A69BB"/>
    <w:rsid w:val="008B0D4E"/>
    <w:rsid w:val="008D5FC6"/>
    <w:rsid w:val="008E627D"/>
    <w:rsid w:val="00910128"/>
    <w:rsid w:val="00924BA4"/>
    <w:rsid w:val="00931385"/>
    <w:rsid w:val="009708CA"/>
    <w:rsid w:val="0097736D"/>
    <w:rsid w:val="00981A99"/>
    <w:rsid w:val="00983E2B"/>
    <w:rsid w:val="009B3E3F"/>
    <w:rsid w:val="009C0597"/>
    <w:rsid w:val="009F54D0"/>
    <w:rsid w:val="009F69ED"/>
    <w:rsid w:val="00A02539"/>
    <w:rsid w:val="00A13059"/>
    <w:rsid w:val="00A17FC7"/>
    <w:rsid w:val="00A20402"/>
    <w:rsid w:val="00A32136"/>
    <w:rsid w:val="00A41A0B"/>
    <w:rsid w:val="00A4253A"/>
    <w:rsid w:val="00A6343D"/>
    <w:rsid w:val="00A75D39"/>
    <w:rsid w:val="00AA43EF"/>
    <w:rsid w:val="00AA73AB"/>
    <w:rsid w:val="00AB18EA"/>
    <w:rsid w:val="00AB2C35"/>
    <w:rsid w:val="00AC06BA"/>
    <w:rsid w:val="00AC16B0"/>
    <w:rsid w:val="00AD1DA7"/>
    <w:rsid w:val="00AD2447"/>
    <w:rsid w:val="00AD7AD9"/>
    <w:rsid w:val="00AF0A44"/>
    <w:rsid w:val="00B24604"/>
    <w:rsid w:val="00B27701"/>
    <w:rsid w:val="00B904D4"/>
    <w:rsid w:val="00BA64F4"/>
    <w:rsid w:val="00BC3848"/>
    <w:rsid w:val="00BC5292"/>
    <w:rsid w:val="00BC673D"/>
    <w:rsid w:val="00BD7092"/>
    <w:rsid w:val="00BD7BF8"/>
    <w:rsid w:val="00BF6242"/>
    <w:rsid w:val="00C2720A"/>
    <w:rsid w:val="00C35843"/>
    <w:rsid w:val="00C56A6D"/>
    <w:rsid w:val="00C86B4F"/>
    <w:rsid w:val="00CA2DC2"/>
    <w:rsid w:val="00CA6237"/>
    <w:rsid w:val="00CC29E3"/>
    <w:rsid w:val="00CD22D2"/>
    <w:rsid w:val="00CD738F"/>
    <w:rsid w:val="00D05C9C"/>
    <w:rsid w:val="00D05DB2"/>
    <w:rsid w:val="00D07D66"/>
    <w:rsid w:val="00D10875"/>
    <w:rsid w:val="00D115B2"/>
    <w:rsid w:val="00D4648A"/>
    <w:rsid w:val="00D6749F"/>
    <w:rsid w:val="00D9387C"/>
    <w:rsid w:val="00DA52A1"/>
    <w:rsid w:val="00DC0D6F"/>
    <w:rsid w:val="00DD23ED"/>
    <w:rsid w:val="00DE0F83"/>
    <w:rsid w:val="00DE3338"/>
    <w:rsid w:val="00E12054"/>
    <w:rsid w:val="00E40A7E"/>
    <w:rsid w:val="00E42810"/>
    <w:rsid w:val="00E43241"/>
    <w:rsid w:val="00EA473E"/>
    <w:rsid w:val="00EC7AE0"/>
    <w:rsid w:val="00F01DB3"/>
    <w:rsid w:val="00F33C97"/>
    <w:rsid w:val="00F445AB"/>
    <w:rsid w:val="00F47015"/>
    <w:rsid w:val="00F84DF7"/>
    <w:rsid w:val="00FA0FD0"/>
    <w:rsid w:val="00FA2A02"/>
    <w:rsid w:val="00FB5F18"/>
    <w:rsid w:val="00FC75A4"/>
    <w:rsid w:val="00FC75C0"/>
    <w:rsid w:val="00FE2F1A"/>
    <w:rsid w:val="34D1E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DD30C"/>
  <w15:chartTrackingRefBased/>
  <w15:docId w15:val="{2AF6931D-2C00-4E65-83C8-6529920A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A02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arket" w:hAnsi="Marke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chitecture" w:hAnsi="Architecture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90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ind w:left="3600" w:hanging="3600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 w:firstLine="7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BodyTextIndent">
    <w:name w:val="Body Text Indent"/>
    <w:basedOn w:val="Normal"/>
    <w:pPr>
      <w:ind w:left="90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pPr>
      <w:ind w:left="90"/>
    </w:pPr>
    <w:rPr>
      <w:rFonts w:ascii="Arial" w:hAnsi="Arial" w:cs="Arial"/>
      <w:b/>
      <w:bCs/>
      <w:sz w:val="28"/>
    </w:rPr>
  </w:style>
  <w:style w:type="paragraph" w:styleId="BodyTextIndent3">
    <w:name w:val="Body Text Indent 3"/>
    <w:basedOn w:val="Normal"/>
    <w:pPr>
      <w:ind w:left="1440"/>
    </w:pPr>
    <w:rPr>
      <w:rFonts w:ascii="Arial" w:hAnsi="Arial" w:cs="Arial"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eading">
    <w:name w:val="CHeading"/>
    <w:basedOn w:val="Normal"/>
    <w:next w:val="BodyText"/>
    <w:pPr>
      <w:jc w:val="center"/>
    </w:pPr>
    <w:rPr>
      <w:rFonts w:ascii="Arial" w:hAnsi="Arial"/>
      <w:b/>
      <w:bCs/>
      <w:sz w:val="28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b/>
      <w:bCs/>
      <w:sz w:val="32"/>
      <w:szCs w:val="24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styleId="BodyText3">
    <w:name w:val="Body Text 3"/>
    <w:basedOn w:val="Normal"/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Cs w:val="24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hAnsi="Arial"/>
      <w:b/>
      <w:bCs/>
      <w:szCs w:val="24"/>
    </w:rPr>
  </w:style>
  <w:style w:type="paragraph" w:customStyle="1" w:styleId="xl33">
    <w:name w:val="xl33"/>
    <w:basedOn w:val="Normal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CD738F"/>
    <w:rPr>
      <w:sz w:val="16"/>
      <w:szCs w:val="16"/>
    </w:rPr>
  </w:style>
  <w:style w:type="paragraph" w:styleId="CommentText">
    <w:name w:val="annotation text"/>
    <w:basedOn w:val="Normal"/>
    <w:semiHidden/>
    <w:rsid w:val="00CD738F"/>
  </w:style>
  <w:style w:type="paragraph" w:styleId="CommentSubject">
    <w:name w:val="annotation subject"/>
    <w:basedOn w:val="CommentText"/>
    <w:next w:val="CommentText"/>
    <w:semiHidden/>
    <w:rsid w:val="00CD738F"/>
    <w:rPr>
      <w:b/>
      <w:bCs/>
    </w:rPr>
  </w:style>
  <w:style w:type="paragraph" w:styleId="ListParagraph">
    <w:name w:val="List Paragraph"/>
    <w:basedOn w:val="Normal"/>
    <w:uiPriority w:val="34"/>
    <w:qFormat/>
    <w:rsid w:val="00CD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oha/PH/ABOUT/TASKFORCE/Documents/public_health_modernization_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egon.gov/oha/PH/ABOUT/TASKFORCE/Documents/public_health_modernization_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ECCA-7173-408C-8F3A-D61A65D7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1408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DHS/Public Health/PE #16/Tribal Tobacco Preventio &amp; Ed. Program</vt:lpstr>
    </vt:vector>
  </TitlesOfParts>
  <Company>OHD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DHS/Public Health/PE #16/Tribal Tobacco Preventio &amp; Ed. Program</dc:title>
  <dc:subject/>
  <dc:creator>Carlson, D. Kevin</dc:creator>
  <cp:keywords/>
  <dc:description/>
  <cp:lastModifiedBy>Thirstrup Ashley</cp:lastModifiedBy>
  <cp:revision>5</cp:revision>
  <cp:lastPrinted>2010-02-01T20:35:00Z</cp:lastPrinted>
  <dcterms:created xsi:type="dcterms:W3CDTF">2021-04-25T17:18:00Z</dcterms:created>
  <dcterms:modified xsi:type="dcterms:W3CDTF">2021-11-04T14:36:00Z</dcterms:modified>
</cp:coreProperties>
</file>