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223B" w14:textId="3F1AABB1" w:rsidR="00ED3B3C" w:rsidRDefault="00ED3B3C" w:rsidP="008C3D93">
      <w:pPr>
        <w:jc w:val="center"/>
        <w:rPr>
          <w:rFonts w:asciiTheme="majorHAnsi" w:eastAsiaTheme="minorHAnsi" w:hAnsiTheme="majorHAnsi" w:cstheme="majorHAnsi"/>
          <w:color w:val="5B9BD5" w:themeColor="accent5"/>
          <w:sz w:val="32"/>
          <w:szCs w:val="32"/>
        </w:rPr>
      </w:pPr>
      <w:r>
        <w:rPr>
          <w:rFonts w:ascii="Calibri" w:eastAsiaTheme="minorHAnsi" w:hAnsi="Calibri" w:cs="Calibri"/>
          <w:noProof/>
        </w:rPr>
        <w:drawing>
          <wp:anchor distT="0" distB="0" distL="114300" distR="114300" simplePos="0" relativeHeight="251658240" behindDoc="1" locked="0" layoutInCell="1" allowOverlap="1" wp14:anchorId="51E81DF4" wp14:editId="5613A6C3">
            <wp:simplePos x="0" y="0"/>
            <wp:positionH relativeFrom="column">
              <wp:posOffset>-808990</wp:posOffset>
            </wp:positionH>
            <wp:positionV relativeFrom="paragraph">
              <wp:posOffset>-903717</wp:posOffset>
            </wp:positionV>
            <wp:extent cx="7772180" cy="10058400"/>
            <wp:effectExtent l="0" t="0" r="635"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180" cy="10058400"/>
                    </a:xfrm>
                    <a:prstGeom prst="rect">
                      <a:avLst/>
                    </a:prstGeom>
                  </pic:spPr>
                </pic:pic>
              </a:graphicData>
            </a:graphic>
            <wp14:sizeRelH relativeFrom="margin">
              <wp14:pctWidth>0</wp14:pctWidth>
            </wp14:sizeRelH>
            <wp14:sizeRelV relativeFrom="margin">
              <wp14:pctHeight>0</wp14:pctHeight>
            </wp14:sizeRelV>
          </wp:anchor>
        </w:drawing>
      </w:r>
    </w:p>
    <w:p w14:paraId="67AB22B9" w14:textId="6EEB0295" w:rsidR="00ED3B3C" w:rsidRDefault="00ED3B3C" w:rsidP="008C3D93">
      <w:pPr>
        <w:jc w:val="center"/>
        <w:rPr>
          <w:rFonts w:asciiTheme="majorHAnsi" w:eastAsiaTheme="minorHAnsi" w:hAnsiTheme="majorHAnsi" w:cstheme="majorHAnsi"/>
          <w:color w:val="5B9BD5" w:themeColor="accent5"/>
          <w:sz w:val="32"/>
          <w:szCs w:val="32"/>
        </w:rPr>
      </w:pPr>
    </w:p>
    <w:p w14:paraId="1A85D1FD" w14:textId="42C2C179" w:rsidR="00ED3B3C" w:rsidRDefault="00ED3B3C" w:rsidP="008C3D93">
      <w:pPr>
        <w:jc w:val="center"/>
        <w:rPr>
          <w:rFonts w:asciiTheme="majorHAnsi" w:eastAsiaTheme="minorHAnsi" w:hAnsiTheme="majorHAnsi" w:cstheme="majorHAnsi"/>
          <w:color w:val="5B9BD5" w:themeColor="accent5"/>
          <w:sz w:val="32"/>
          <w:szCs w:val="32"/>
        </w:rPr>
      </w:pPr>
    </w:p>
    <w:p w14:paraId="11C274BF" w14:textId="7CBE26EC" w:rsidR="00ED3B3C" w:rsidRDefault="00ED3B3C" w:rsidP="008C3D93">
      <w:pPr>
        <w:jc w:val="center"/>
        <w:rPr>
          <w:rFonts w:asciiTheme="majorHAnsi" w:eastAsiaTheme="minorHAnsi" w:hAnsiTheme="majorHAnsi" w:cstheme="majorHAnsi"/>
          <w:color w:val="5B9BD5" w:themeColor="accent5"/>
          <w:sz w:val="32"/>
          <w:szCs w:val="32"/>
        </w:rPr>
      </w:pPr>
    </w:p>
    <w:p w14:paraId="28FB6A78" w14:textId="3A1C84DC" w:rsidR="00ED3B3C" w:rsidRDefault="00ED3B3C" w:rsidP="008C3D93">
      <w:pPr>
        <w:jc w:val="center"/>
        <w:rPr>
          <w:rFonts w:asciiTheme="majorHAnsi" w:eastAsiaTheme="minorHAnsi" w:hAnsiTheme="majorHAnsi" w:cstheme="majorHAnsi"/>
          <w:color w:val="5B9BD5" w:themeColor="accent5"/>
          <w:sz w:val="32"/>
          <w:szCs w:val="32"/>
        </w:rPr>
      </w:pPr>
    </w:p>
    <w:p w14:paraId="645B8B43" w14:textId="435B4E3E" w:rsidR="00ED3B3C" w:rsidRDefault="00ED3B3C" w:rsidP="008C3D93">
      <w:pPr>
        <w:jc w:val="center"/>
        <w:rPr>
          <w:rFonts w:asciiTheme="majorHAnsi" w:eastAsiaTheme="minorHAnsi" w:hAnsiTheme="majorHAnsi" w:cstheme="majorHAnsi"/>
          <w:color w:val="5B9BD5" w:themeColor="accent5"/>
          <w:sz w:val="32"/>
          <w:szCs w:val="32"/>
        </w:rPr>
      </w:pPr>
    </w:p>
    <w:p w14:paraId="6F00AA47" w14:textId="572319C6" w:rsidR="00ED3B3C" w:rsidRDefault="00ED3B3C" w:rsidP="008C3D93">
      <w:pPr>
        <w:jc w:val="center"/>
        <w:rPr>
          <w:rFonts w:asciiTheme="majorHAnsi" w:eastAsiaTheme="minorHAnsi" w:hAnsiTheme="majorHAnsi" w:cstheme="majorHAnsi"/>
          <w:color w:val="5B9BD5" w:themeColor="accent5"/>
          <w:sz w:val="32"/>
          <w:szCs w:val="32"/>
        </w:rPr>
      </w:pPr>
    </w:p>
    <w:p w14:paraId="6C9EA070" w14:textId="77777777" w:rsidR="00ED3B3C" w:rsidRDefault="00ED3B3C" w:rsidP="008C3D93">
      <w:pPr>
        <w:jc w:val="center"/>
        <w:rPr>
          <w:rFonts w:asciiTheme="majorHAnsi" w:eastAsiaTheme="minorHAnsi" w:hAnsiTheme="majorHAnsi" w:cstheme="majorHAnsi"/>
          <w:color w:val="5B9BD5" w:themeColor="accent5"/>
          <w:sz w:val="32"/>
          <w:szCs w:val="32"/>
        </w:rPr>
      </w:pPr>
    </w:p>
    <w:p w14:paraId="23203E3D" w14:textId="77777777" w:rsidR="00ED3B3C" w:rsidRDefault="00ED3B3C" w:rsidP="008C3D93">
      <w:pPr>
        <w:jc w:val="center"/>
        <w:rPr>
          <w:rFonts w:asciiTheme="majorHAnsi" w:eastAsiaTheme="minorHAnsi" w:hAnsiTheme="majorHAnsi" w:cstheme="majorHAnsi"/>
          <w:color w:val="5B9BD5" w:themeColor="accent5"/>
          <w:sz w:val="32"/>
          <w:szCs w:val="32"/>
        </w:rPr>
      </w:pPr>
    </w:p>
    <w:p w14:paraId="562E8FB4" w14:textId="77777777" w:rsidR="00ED3B3C" w:rsidRDefault="00ED3B3C" w:rsidP="008C3D93">
      <w:pPr>
        <w:jc w:val="center"/>
        <w:rPr>
          <w:rFonts w:asciiTheme="majorHAnsi" w:eastAsiaTheme="minorHAnsi" w:hAnsiTheme="majorHAnsi" w:cstheme="majorHAnsi"/>
          <w:color w:val="5B9BD5" w:themeColor="accent5"/>
          <w:sz w:val="32"/>
          <w:szCs w:val="32"/>
        </w:rPr>
      </w:pPr>
    </w:p>
    <w:p w14:paraId="1C6DFDB4" w14:textId="77777777" w:rsidR="00ED3B3C" w:rsidRDefault="00ED3B3C" w:rsidP="008C3D93">
      <w:pPr>
        <w:jc w:val="center"/>
        <w:rPr>
          <w:rFonts w:asciiTheme="majorHAnsi" w:eastAsiaTheme="minorHAnsi" w:hAnsiTheme="majorHAnsi" w:cstheme="majorHAnsi"/>
          <w:color w:val="5B9BD5" w:themeColor="accent5"/>
          <w:sz w:val="32"/>
          <w:szCs w:val="32"/>
        </w:rPr>
      </w:pPr>
    </w:p>
    <w:p w14:paraId="531BA672" w14:textId="77777777" w:rsidR="008446D8" w:rsidRDefault="008446D8" w:rsidP="00ED3B3C">
      <w:pPr>
        <w:rPr>
          <w:rFonts w:ascii="Arial" w:eastAsiaTheme="minorHAnsi" w:hAnsi="Arial" w:cs="Arial"/>
          <w:color w:val="FFFFFF" w:themeColor="background1"/>
          <w:sz w:val="52"/>
          <w:szCs w:val="52"/>
        </w:rPr>
      </w:pPr>
    </w:p>
    <w:p w14:paraId="1C454009" w14:textId="7ED36564" w:rsidR="004F2623" w:rsidRPr="00090746" w:rsidRDefault="008C3D93" w:rsidP="00ED3B3C">
      <w:pPr>
        <w:rPr>
          <w:rFonts w:asciiTheme="majorHAnsi" w:eastAsiaTheme="minorHAnsi" w:hAnsiTheme="majorHAnsi" w:cstheme="majorHAnsi"/>
          <w:color w:val="FFFFFF" w:themeColor="background1"/>
          <w:sz w:val="72"/>
          <w:szCs w:val="72"/>
        </w:rPr>
      </w:pPr>
      <w:r w:rsidRPr="00090746">
        <w:rPr>
          <w:rFonts w:asciiTheme="majorHAnsi" w:eastAsiaTheme="minorHAnsi" w:hAnsiTheme="majorHAnsi" w:cstheme="majorHAnsi"/>
          <w:color w:val="FFFFFF" w:themeColor="background1"/>
          <w:sz w:val="72"/>
          <w:szCs w:val="72"/>
        </w:rPr>
        <w:t xml:space="preserve">PrEP Cost Sharing </w:t>
      </w:r>
      <w:r w:rsidR="008446D8" w:rsidRPr="00090746">
        <w:rPr>
          <w:rFonts w:asciiTheme="majorHAnsi" w:eastAsiaTheme="minorHAnsi" w:hAnsiTheme="majorHAnsi" w:cstheme="majorHAnsi"/>
          <w:color w:val="FFFFFF" w:themeColor="background1"/>
          <w:sz w:val="72"/>
          <w:szCs w:val="72"/>
        </w:rPr>
        <w:br/>
      </w:r>
      <w:r w:rsidRPr="00090746">
        <w:rPr>
          <w:rFonts w:asciiTheme="majorHAnsi" w:eastAsiaTheme="minorHAnsi" w:hAnsiTheme="majorHAnsi" w:cstheme="majorHAnsi"/>
          <w:color w:val="FFFFFF" w:themeColor="background1"/>
          <w:sz w:val="72"/>
          <w:szCs w:val="72"/>
        </w:rPr>
        <w:t>Complaint Template</w:t>
      </w:r>
    </w:p>
    <w:p w14:paraId="40CBD0F4" w14:textId="4B66E927" w:rsidR="00B47CD3" w:rsidRPr="00ED3B3C" w:rsidRDefault="00B47CD3" w:rsidP="00B47CD3">
      <w:pPr>
        <w:rPr>
          <w:rFonts w:ascii="Arial" w:eastAsiaTheme="minorHAnsi" w:hAnsi="Arial" w:cs="Arial"/>
          <w:color w:val="FFFFFF" w:themeColor="background1"/>
        </w:rPr>
      </w:pPr>
    </w:p>
    <w:p w14:paraId="77BC290A" w14:textId="77777777" w:rsidR="008446D8" w:rsidRDefault="008446D8" w:rsidP="005D6A59">
      <w:pPr>
        <w:rPr>
          <w:rFonts w:ascii="Arial" w:eastAsiaTheme="minorHAnsi" w:hAnsi="Arial" w:cs="Arial"/>
          <w:color w:val="FFFFFF" w:themeColor="background1"/>
        </w:rPr>
      </w:pPr>
    </w:p>
    <w:p w14:paraId="1877AC7F" w14:textId="77777777" w:rsidR="008446D8" w:rsidRDefault="008446D8" w:rsidP="005D6A59">
      <w:pPr>
        <w:rPr>
          <w:rFonts w:ascii="Arial" w:eastAsiaTheme="minorHAnsi" w:hAnsi="Arial" w:cs="Arial"/>
          <w:color w:val="FFFFFF" w:themeColor="background1"/>
        </w:rPr>
      </w:pPr>
    </w:p>
    <w:p w14:paraId="123C52BB" w14:textId="77777777" w:rsidR="008446D8" w:rsidRDefault="008446D8" w:rsidP="005D6A59">
      <w:pPr>
        <w:rPr>
          <w:rFonts w:ascii="Arial" w:eastAsiaTheme="minorHAnsi" w:hAnsi="Arial" w:cs="Arial"/>
          <w:color w:val="FFFFFF" w:themeColor="background1"/>
        </w:rPr>
      </w:pPr>
    </w:p>
    <w:p w14:paraId="0FB0DD60" w14:textId="77777777" w:rsidR="008446D8" w:rsidRDefault="008446D8" w:rsidP="005D6A59">
      <w:pPr>
        <w:rPr>
          <w:rFonts w:ascii="Arial" w:eastAsiaTheme="minorHAnsi" w:hAnsi="Arial" w:cs="Arial"/>
          <w:color w:val="FFFFFF" w:themeColor="background1"/>
        </w:rPr>
      </w:pPr>
    </w:p>
    <w:p w14:paraId="4286627F" w14:textId="77777777" w:rsidR="008446D8" w:rsidRDefault="008446D8" w:rsidP="005D6A59">
      <w:pPr>
        <w:rPr>
          <w:rFonts w:ascii="Arial" w:eastAsiaTheme="minorHAnsi" w:hAnsi="Arial" w:cs="Arial"/>
          <w:color w:val="FFFFFF" w:themeColor="background1"/>
        </w:rPr>
      </w:pPr>
    </w:p>
    <w:p w14:paraId="4D2C5B70" w14:textId="0F2967F9" w:rsidR="000B5D86" w:rsidRPr="008446D8" w:rsidRDefault="003E25DE" w:rsidP="005D6A59">
      <w:pPr>
        <w:rPr>
          <w:rFonts w:ascii="Arial" w:eastAsiaTheme="minorHAnsi" w:hAnsi="Arial" w:cs="Arial"/>
          <w:color w:val="000000" w:themeColor="text1"/>
        </w:rPr>
      </w:pPr>
      <w:r w:rsidRPr="008446D8">
        <w:rPr>
          <w:rFonts w:ascii="Arial" w:eastAsiaTheme="minorHAnsi" w:hAnsi="Arial" w:cs="Arial"/>
          <w:b/>
          <w:bCs/>
          <w:color w:val="000000" w:themeColor="text1"/>
        </w:rPr>
        <w:t>Instructions:</w:t>
      </w:r>
      <w:r w:rsidRPr="008446D8">
        <w:rPr>
          <w:rFonts w:ascii="Arial" w:eastAsiaTheme="minorHAnsi" w:hAnsi="Arial" w:cs="Arial"/>
          <w:color w:val="000000" w:themeColor="text1"/>
        </w:rPr>
        <w:t xml:space="preserve"> </w:t>
      </w:r>
      <w:r w:rsidR="00910267" w:rsidRPr="008446D8">
        <w:rPr>
          <w:rFonts w:ascii="Arial" w:eastAsiaTheme="minorHAnsi" w:hAnsi="Arial" w:cs="Arial"/>
          <w:color w:val="000000" w:themeColor="text1"/>
        </w:rPr>
        <w:t>T</w:t>
      </w:r>
      <w:r w:rsidR="007A2FFE" w:rsidRPr="008446D8">
        <w:rPr>
          <w:rFonts w:ascii="Arial" w:eastAsiaTheme="minorHAnsi" w:hAnsi="Arial" w:cs="Arial"/>
          <w:color w:val="000000" w:themeColor="text1"/>
        </w:rPr>
        <w:t xml:space="preserve">he following template is meant to assist providers and patients </w:t>
      </w:r>
      <w:r w:rsidR="00467E8C" w:rsidRPr="008446D8">
        <w:rPr>
          <w:rFonts w:ascii="Arial" w:eastAsiaTheme="minorHAnsi" w:hAnsi="Arial" w:cs="Arial"/>
          <w:color w:val="000000" w:themeColor="text1"/>
        </w:rPr>
        <w:t>file a complaint about an</w:t>
      </w:r>
      <w:r w:rsidR="00D1519E" w:rsidRPr="008446D8">
        <w:rPr>
          <w:rFonts w:ascii="Arial" w:eastAsiaTheme="minorHAnsi" w:hAnsi="Arial" w:cs="Arial"/>
          <w:color w:val="000000" w:themeColor="text1"/>
        </w:rPr>
        <w:t xml:space="preserve"> uncompliant health plan</w:t>
      </w:r>
      <w:r w:rsidR="00467E8C" w:rsidRPr="008446D8">
        <w:rPr>
          <w:rFonts w:ascii="Arial" w:eastAsiaTheme="minorHAnsi" w:hAnsi="Arial" w:cs="Arial"/>
          <w:color w:val="000000" w:themeColor="text1"/>
        </w:rPr>
        <w:t>.</w:t>
      </w:r>
      <w:r w:rsidR="00F01EBE" w:rsidRPr="008446D8">
        <w:rPr>
          <w:rFonts w:ascii="Arial" w:eastAsiaTheme="minorHAnsi" w:hAnsi="Arial" w:cs="Arial"/>
          <w:color w:val="000000" w:themeColor="text1"/>
        </w:rPr>
        <w:t xml:space="preserve"> </w:t>
      </w:r>
      <w:r w:rsidR="00D53BFD" w:rsidRPr="008446D8">
        <w:rPr>
          <w:rFonts w:ascii="Arial" w:eastAsiaTheme="minorHAnsi" w:hAnsi="Arial" w:cs="Arial"/>
          <w:color w:val="000000" w:themeColor="text1"/>
        </w:rPr>
        <w:t>Complete the items in the brackets below</w:t>
      </w:r>
      <w:r w:rsidR="00FD1DE7" w:rsidRPr="008446D8">
        <w:rPr>
          <w:rFonts w:ascii="Arial" w:eastAsiaTheme="minorHAnsi" w:hAnsi="Arial" w:cs="Arial"/>
          <w:color w:val="000000" w:themeColor="text1"/>
        </w:rPr>
        <w:t xml:space="preserve"> to the best of your ability</w:t>
      </w:r>
      <w:r w:rsidR="00D53BFD" w:rsidRPr="008446D8">
        <w:rPr>
          <w:rFonts w:ascii="Arial" w:eastAsiaTheme="minorHAnsi" w:hAnsi="Arial" w:cs="Arial"/>
          <w:color w:val="000000" w:themeColor="text1"/>
        </w:rPr>
        <w:t>.</w:t>
      </w:r>
      <w:r w:rsidR="00FD1DE7" w:rsidRPr="008446D8">
        <w:rPr>
          <w:rFonts w:ascii="Arial" w:eastAsiaTheme="minorHAnsi" w:hAnsi="Arial" w:cs="Arial"/>
          <w:color w:val="000000" w:themeColor="text1"/>
        </w:rPr>
        <w:t xml:space="preserve"> </w:t>
      </w:r>
      <w:r w:rsidR="00D53BFD" w:rsidRPr="008446D8">
        <w:rPr>
          <w:rFonts w:ascii="Arial" w:eastAsiaTheme="minorHAnsi" w:hAnsi="Arial" w:cs="Arial"/>
          <w:color w:val="000000" w:themeColor="text1"/>
        </w:rPr>
        <w:t xml:space="preserve"> </w:t>
      </w:r>
    </w:p>
    <w:p w14:paraId="184E7866" w14:textId="49F640DC" w:rsidR="000B5D86" w:rsidRPr="008446D8" w:rsidRDefault="000B5D86">
      <w:pPr>
        <w:rPr>
          <w:rFonts w:ascii="Calibri" w:eastAsiaTheme="minorHAnsi" w:hAnsi="Calibri" w:cs="Calibri"/>
          <w:color w:val="000000" w:themeColor="text1"/>
        </w:rPr>
      </w:pPr>
      <w:r w:rsidRPr="008446D8">
        <w:rPr>
          <w:rFonts w:ascii="Calibri" w:eastAsiaTheme="minorHAnsi" w:hAnsi="Calibri" w:cs="Calibri"/>
          <w:color w:val="000000" w:themeColor="text1"/>
        </w:rPr>
        <w:br w:type="page"/>
      </w:r>
    </w:p>
    <w:p w14:paraId="27A1AE7B" w14:textId="67C7325F" w:rsidR="00FD1DE7" w:rsidRDefault="006F3FE5" w:rsidP="005D6A59">
      <w:pPr>
        <w:rPr>
          <w:rFonts w:ascii="Calibri" w:eastAsiaTheme="minorHAnsi" w:hAnsi="Calibri" w:cs="Calibri"/>
        </w:rPr>
      </w:pPr>
      <w:r>
        <w:rPr>
          <w:rFonts w:ascii="Calibri" w:eastAsiaTheme="minorHAnsi" w:hAnsi="Calibri" w:cs="Calibri"/>
          <w:noProof/>
        </w:rPr>
        <w:lastRenderedPageBreak/>
        <w:drawing>
          <wp:anchor distT="0" distB="0" distL="114300" distR="114300" simplePos="0" relativeHeight="251659264" behindDoc="1" locked="0" layoutInCell="1" allowOverlap="1" wp14:anchorId="5FE44A2A" wp14:editId="581B1F0B">
            <wp:simplePos x="0" y="0"/>
            <wp:positionH relativeFrom="column">
              <wp:posOffset>-817880</wp:posOffset>
            </wp:positionH>
            <wp:positionV relativeFrom="paragraph">
              <wp:posOffset>-908834</wp:posOffset>
            </wp:positionV>
            <wp:extent cx="7753290" cy="10031506"/>
            <wp:effectExtent l="0" t="0" r="0" b="1905"/>
            <wp:wrapNone/>
            <wp:docPr id="3" name="Picture 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ackground patter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53290" cy="10031506"/>
                    </a:xfrm>
                    <a:prstGeom prst="rect">
                      <a:avLst/>
                    </a:prstGeom>
                  </pic:spPr>
                </pic:pic>
              </a:graphicData>
            </a:graphic>
            <wp14:sizeRelH relativeFrom="margin">
              <wp14:pctWidth>0</wp14:pctWidth>
            </wp14:sizeRelH>
            <wp14:sizeRelV relativeFrom="margin">
              <wp14:pctHeight>0</wp14:pctHeight>
            </wp14:sizeRelV>
          </wp:anchor>
        </w:drawing>
      </w:r>
    </w:p>
    <w:p w14:paraId="6CE734DE" w14:textId="77777777" w:rsidR="006F3FE5" w:rsidRDefault="006F3FE5" w:rsidP="005D6A59">
      <w:pPr>
        <w:rPr>
          <w:rFonts w:ascii="Arial" w:eastAsiaTheme="minorHAnsi" w:hAnsi="Arial" w:cs="Arial"/>
        </w:rPr>
      </w:pPr>
    </w:p>
    <w:p w14:paraId="53C73591" w14:textId="77777777" w:rsidR="006F3FE5" w:rsidRDefault="006F3FE5" w:rsidP="005D6A59">
      <w:pPr>
        <w:rPr>
          <w:rFonts w:ascii="Arial" w:eastAsiaTheme="minorHAnsi" w:hAnsi="Arial" w:cs="Arial"/>
        </w:rPr>
      </w:pPr>
    </w:p>
    <w:p w14:paraId="006DD562" w14:textId="77777777" w:rsidR="006F3FE5" w:rsidRDefault="006F3FE5" w:rsidP="005D6A59">
      <w:pPr>
        <w:rPr>
          <w:rFonts w:ascii="Arial" w:eastAsiaTheme="minorHAnsi" w:hAnsi="Arial" w:cs="Arial"/>
        </w:rPr>
      </w:pPr>
    </w:p>
    <w:p w14:paraId="5C7CC193" w14:textId="77777777" w:rsidR="006F3FE5" w:rsidRDefault="006F3FE5" w:rsidP="005D6A59">
      <w:pPr>
        <w:rPr>
          <w:rFonts w:ascii="Arial" w:eastAsiaTheme="minorHAnsi" w:hAnsi="Arial" w:cs="Arial"/>
        </w:rPr>
      </w:pPr>
    </w:p>
    <w:p w14:paraId="63B614EC" w14:textId="317DA4E9" w:rsidR="00BF21E6" w:rsidRPr="0086304A" w:rsidRDefault="009B532F" w:rsidP="005D6A59">
      <w:pPr>
        <w:rPr>
          <w:rFonts w:ascii="Arial" w:eastAsiaTheme="minorHAnsi" w:hAnsi="Arial" w:cs="Arial"/>
          <w:color w:val="6F2BE4"/>
        </w:rPr>
      </w:pPr>
      <w:r w:rsidRPr="0086304A">
        <w:rPr>
          <w:rFonts w:ascii="Arial" w:eastAsiaTheme="minorHAnsi" w:hAnsi="Arial" w:cs="Arial"/>
          <w:color w:val="6F2BE4"/>
        </w:rPr>
        <w:t>[DATE]</w:t>
      </w:r>
    </w:p>
    <w:p w14:paraId="5D93A1F9" w14:textId="7C77AE22" w:rsidR="00BF21E6" w:rsidRPr="00654EA8" w:rsidRDefault="00BF21E6" w:rsidP="005D6A59">
      <w:pPr>
        <w:rPr>
          <w:rFonts w:ascii="Arial" w:eastAsiaTheme="minorHAnsi" w:hAnsi="Arial" w:cs="Arial"/>
        </w:rPr>
      </w:pPr>
    </w:p>
    <w:p w14:paraId="16DB4788" w14:textId="77777777" w:rsidR="006D6BC9" w:rsidRPr="00654EA8" w:rsidRDefault="006D6BC9" w:rsidP="006D6BC9">
      <w:pPr>
        <w:rPr>
          <w:rFonts w:ascii="Arial" w:hAnsi="Arial" w:cs="Arial"/>
          <w:i/>
          <w:iCs/>
          <w:color w:val="6D2DE5"/>
        </w:rPr>
      </w:pPr>
      <w:r w:rsidRPr="00654EA8">
        <w:rPr>
          <w:rFonts w:ascii="Arial" w:eastAsiaTheme="minorHAnsi" w:hAnsi="Arial" w:cs="Arial"/>
          <w:i/>
          <w:iCs/>
          <w:color w:val="6D2DE5"/>
        </w:rPr>
        <w:t xml:space="preserve">NOTE: </w:t>
      </w:r>
      <w:r w:rsidRPr="00654EA8">
        <w:rPr>
          <w:rFonts w:ascii="Arial" w:hAnsi="Arial" w:cs="Arial"/>
          <w:i/>
          <w:iCs/>
          <w:color w:val="6D2DE5"/>
        </w:rPr>
        <w:t xml:space="preserve">The bulleted list below provides information on how to find the applicable regulator’s contact information. Remove the other regulator contacts before sending the final letter. </w:t>
      </w:r>
    </w:p>
    <w:p w14:paraId="6B7CA0E0" w14:textId="77777777" w:rsidR="00F07C5D" w:rsidRPr="00654EA8" w:rsidRDefault="00F07C5D" w:rsidP="005D6A59">
      <w:pPr>
        <w:rPr>
          <w:rFonts w:ascii="Arial" w:eastAsiaTheme="minorHAnsi" w:hAnsi="Arial" w:cs="Arial"/>
        </w:rPr>
      </w:pPr>
    </w:p>
    <w:p w14:paraId="5E80CFEA" w14:textId="5A1C6C4E" w:rsidR="00BF21E6" w:rsidRPr="0086304A" w:rsidRDefault="009B532F" w:rsidP="005D6A59">
      <w:pPr>
        <w:rPr>
          <w:rFonts w:ascii="Arial" w:eastAsiaTheme="minorHAnsi" w:hAnsi="Arial" w:cs="Arial"/>
          <w:color w:val="6F2BE4"/>
        </w:rPr>
      </w:pPr>
      <w:r w:rsidRPr="0086304A">
        <w:rPr>
          <w:rFonts w:ascii="Arial" w:eastAsiaTheme="minorHAnsi" w:hAnsi="Arial" w:cs="Arial"/>
          <w:color w:val="6F2BE4"/>
        </w:rPr>
        <w:t>[REGULATOR]</w:t>
      </w:r>
    </w:p>
    <w:p w14:paraId="1B76EBB0" w14:textId="77777777" w:rsidR="009E0F16" w:rsidRPr="00654EA8" w:rsidRDefault="009E0F16" w:rsidP="005D6A59">
      <w:pPr>
        <w:rPr>
          <w:rFonts w:ascii="Arial" w:eastAsiaTheme="minorHAnsi" w:hAnsi="Arial" w:cs="Arial"/>
        </w:rPr>
      </w:pPr>
    </w:p>
    <w:p w14:paraId="0F73CBA6" w14:textId="270068B7" w:rsidR="009B532F" w:rsidRPr="006F3FE5" w:rsidRDefault="006F3FE5" w:rsidP="006F3FE5">
      <w:pPr>
        <w:ind w:left="360"/>
        <w:rPr>
          <w:rFonts w:ascii="Arial" w:hAnsi="Arial" w:cs="Arial"/>
        </w:rPr>
      </w:pPr>
      <w:r w:rsidRPr="006F3FE5">
        <w:rPr>
          <w:rFonts w:ascii="Arial" w:hAnsi="Arial" w:cs="Arial"/>
        </w:rPr>
        <w:t>STATE DEPARTMENT OF INSURANCE</w:t>
      </w:r>
    </w:p>
    <w:p w14:paraId="2488B492" w14:textId="3FFB503D" w:rsidR="009B532F" w:rsidRPr="00654EA8" w:rsidRDefault="009B532F" w:rsidP="006F3FE5">
      <w:pPr>
        <w:pStyle w:val="ListParagraph"/>
        <w:numPr>
          <w:ilvl w:val="1"/>
          <w:numId w:val="6"/>
        </w:numPr>
        <w:ind w:left="1080"/>
        <w:rPr>
          <w:rFonts w:ascii="Arial" w:hAnsi="Arial" w:cs="Arial"/>
        </w:rPr>
      </w:pPr>
      <w:r w:rsidRPr="00654EA8">
        <w:rPr>
          <w:rFonts w:ascii="Arial" w:hAnsi="Arial" w:cs="Arial"/>
        </w:rPr>
        <w:t>Regulates: individual market (on and off Marketplace), small group fully insured market, large group fully insured market</w:t>
      </w:r>
    </w:p>
    <w:p w14:paraId="2741F786" w14:textId="690A9709" w:rsidR="009B532F" w:rsidRDefault="009B532F" w:rsidP="006F3FE5">
      <w:pPr>
        <w:pStyle w:val="ListParagraph"/>
        <w:numPr>
          <w:ilvl w:val="1"/>
          <w:numId w:val="6"/>
        </w:numPr>
        <w:ind w:left="1080"/>
        <w:rPr>
          <w:rFonts w:ascii="Arial" w:hAnsi="Arial" w:cs="Arial"/>
        </w:rPr>
      </w:pPr>
      <w:r w:rsidRPr="00654EA8">
        <w:rPr>
          <w:rFonts w:ascii="Arial" w:hAnsi="Arial" w:cs="Arial"/>
        </w:rPr>
        <w:t xml:space="preserve">Contact information available through </w:t>
      </w:r>
      <w:hyperlink r:id="rId10" w:history="1">
        <w:r w:rsidRPr="0049021D">
          <w:rPr>
            <w:rStyle w:val="Hyperlink"/>
            <w:rFonts w:ascii="Arial" w:hAnsi="Arial" w:cs="Arial"/>
            <w:color w:val="6D2DE5"/>
          </w:rPr>
          <w:t>NAIC consumer resources</w:t>
        </w:r>
      </w:hyperlink>
      <w:r w:rsidRPr="00654EA8">
        <w:rPr>
          <w:rFonts w:ascii="Arial" w:hAnsi="Arial" w:cs="Arial"/>
        </w:rPr>
        <w:t xml:space="preserve"> (scroll to find contact information for your state)</w:t>
      </w:r>
    </w:p>
    <w:p w14:paraId="56513692" w14:textId="77777777" w:rsidR="00B645EF" w:rsidRDefault="00B645EF" w:rsidP="00B645EF">
      <w:pPr>
        <w:pStyle w:val="ListParagraph"/>
        <w:ind w:left="1080"/>
        <w:rPr>
          <w:rFonts w:ascii="Arial" w:hAnsi="Arial" w:cs="Arial"/>
        </w:rPr>
      </w:pPr>
    </w:p>
    <w:p w14:paraId="2A3145B1" w14:textId="4E8C4D55" w:rsidR="00B645EF" w:rsidRPr="00B645EF" w:rsidRDefault="00B645EF" w:rsidP="00B645EF">
      <w:pPr>
        <w:rPr>
          <w:rFonts w:ascii="Arial" w:hAnsi="Arial" w:cs="Arial"/>
        </w:rPr>
      </w:pPr>
      <w:r w:rsidRPr="00B645EF">
        <w:rPr>
          <w:rFonts w:ascii="Arial" w:hAnsi="Arial" w:cs="Arial"/>
        </w:rPr>
        <w:t xml:space="preserve">Oregon: Andrew </w:t>
      </w:r>
      <w:proofErr w:type="spellStart"/>
      <w:r w:rsidRPr="00B645EF">
        <w:rPr>
          <w:rFonts w:ascii="Arial" w:hAnsi="Arial" w:cs="Arial"/>
        </w:rPr>
        <w:t>Stolfi</w:t>
      </w:r>
      <w:proofErr w:type="spellEnd"/>
    </w:p>
    <w:p w14:paraId="777F9BEE" w14:textId="1278CB66" w:rsidR="00B645EF" w:rsidRDefault="00B645EF" w:rsidP="00B645EF">
      <w:pPr>
        <w:rPr>
          <w:rFonts w:ascii="Arial" w:hAnsi="Arial" w:cs="Arial"/>
        </w:rPr>
      </w:pPr>
      <w:r>
        <w:rPr>
          <w:rFonts w:ascii="Arial" w:hAnsi="Arial" w:cs="Arial"/>
        </w:rPr>
        <w:t>Oregon Department of Consumer and Business</w:t>
      </w:r>
    </w:p>
    <w:p w14:paraId="3F1FC51F" w14:textId="572E7E37" w:rsidR="00B645EF" w:rsidRDefault="00B645EF" w:rsidP="00B645EF">
      <w:pPr>
        <w:rPr>
          <w:rFonts w:ascii="Arial" w:hAnsi="Arial" w:cs="Arial"/>
        </w:rPr>
      </w:pPr>
      <w:r>
        <w:rPr>
          <w:rFonts w:ascii="Arial" w:hAnsi="Arial" w:cs="Arial"/>
        </w:rPr>
        <w:t>Services Division of Financial Regulation</w:t>
      </w:r>
    </w:p>
    <w:p w14:paraId="2DACE324" w14:textId="520DD031" w:rsidR="00B645EF" w:rsidRDefault="00B645EF" w:rsidP="00B645EF">
      <w:pPr>
        <w:rPr>
          <w:rFonts w:ascii="Arial" w:hAnsi="Arial" w:cs="Arial"/>
        </w:rPr>
      </w:pPr>
      <w:r>
        <w:rPr>
          <w:rFonts w:ascii="Arial" w:hAnsi="Arial" w:cs="Arial"/>
        </w:rPr>
        <w:t>P.O. Box 14480</w:t>
      </w:r>
    </w:p>
    <w:p w14:paraId="76F8D618" w14:textId="04A75403" w:rsidR="00B645EF" w:rsidRDefault="00B645EF" w:rsidP="00B645EF">
      <w:pPr>
        <w:rPr>
          <w:rFonts w:ascii="Arial" w:hAnsi="Arial" w:cs="Arial"/>
        </w:rPr>
      </w:pPr>
      <w:r>
        <w:rPr>
          <w:rFonts w:ascii="Arial" w:hAnsi="Arial" w:cs="Arial"/>
        </w:rPr>
        <w:t>Salem, OR 97309-0405</w:t>
      </w:r>
    </w:p>
    <w:p w14:paraId="224EA9D2" w14:textId="108F29BB" w:rsidR="00B645EF" w:rsidRDefault="00B645EF" w:rsidP="00B645EF">
      <w:pPr>
        <w:rPr>
          <w:rFonts w:ascii="Arial" w:hAnsi="Arial" w:cs="Arial"/>
        </w:rPr>
      </w:pPr>
      <w:r>
        <w:rPr>
          <w:rFonts w:ascii="Arial" w:hAnsi="Arial" w:cs="Arial"/>
        </w:rPr>
        <w:t>Phone: (503) 947-7980</w:t>
      </w:r>
    </w:p>
    <w:p w14:paraId="5F40A826" w14:textId="3BA8E750" w:rsidR="00B645EF" w:rsidRPr="00B645EF" w:rsidRDefault="00B645EF" w:rsidP="00B645EF">
      <w:pPr>
        <w:rPr>
          <w:rFonts w:ascii="Arial" w:hAnsi="Arial" w:cs="Arial"/>
        </w:rPr>
      </w:pPr>
      <w:r>
        <w:rPr>
          <w:rFonts w:ascii="Arial" w:hAnsi="Arial" w:cs="Arial"/>
        </w:rPr>
        <w:t>Fax: (503) 947-0088</w:t>
      </w:r>
    </w:p>
    <w:p w14:paraId="74F38F53" w14:textId="77777777" w:rsidR="00475B16" w:rsidRPr="00654EA8" w:rsidRDefault="00475B16" w:rsidP="00475B16">
      <w:pPr>
        <w:rPr>
          <w:rFonts w:ascii="Arial" w:hAnsi="Arial" w:cs="Arial"/>
        </w:rPr>
      </w:pPr>
    </w:p>
    <w:p w14:paraId="074EA115" w14:textId="75668669" w:rsidR="009B532F" w:rsidRPr="006F3FE5" w:rsidRDefault="006F3FE5" w:rsidP="006F3FE5">
      <w:pPr>
        <w:ind w:left="360"/>
        <w:rPr>
          <w:rFonts w:ascii="Arial" w:hAnsi="Arial" w:cs="Arial"/>
        </w:rPr>
      </w:pPr>
      <w:r w:rsidRPr="006F3FE5">
        <w:rPr>
          <w:rFonts w:ascii="Arial" w:hAnsi="Arial" w:cs="Arial"/>
        </w:rPr>
        <w:t>DEPARTMENT OF LABOR (DOL)</w:t>
      </w:r>
    </w:p>
    <w:p w14:paraId="63A5131B" w14:textId="1F5B1E90" w:rsidR="009B532F" w:rsidRPr="00654EA8" w:rsidRDefault="009B532F" w:rsidP="009E0F16">
      <w:pPr>
        <w:pStyle w:val="ListParagraph"/>
        <w:numPr>
          <w:ilvl w:val="1"/>
          <w:numId w:val="7"/>
        </w:numPr>
        <w:ind w:left="1080"/>
        <w:rPr>
          <w:rFonts w:ascii="Arial" w:hAnsi="Arial" w:cs="Arial"/>
        </w:rPr>
      </w:pPr>
      <w:r w:rsidRPr="00654EA8">
        <w:rPr>
          <w:rFonts w:ascii="Arial" w:hAnsi="Arial" w:cs="Arial"/>
        </w:rPr>
        <w:t>Regulates: Self-funded employer plans</w:t>
      </w:r>
    </w:p>
    <w:p w14:paraId="05B044B8" w14:textId="4590913A" w:rsidR="009B532F" w:rsidRPr="0049021D" w:rsidRDefault="00B645EF" w:rsidP="009E0F16">
      <w:pPr>
        <w:pStyle w:val="ListParagraph"/>
        <w:numPr>
          <w:ilvl w:val="1"/>
          <w:numId w:val="7"/>
        </w:numPr>
        <w:ind w:left="1080"/>
        <w:rPr>
          <w:rFonts w:ascii="Arial" w:hAnsi="Arial" w:cs="Arial"/>
          <w:color w:val="6D2DE5"/>
        </w:rPr>
      </w:pPr>
      <w:hyperlink r:id="rId11" w:history="1">
        <w:r w:rsidR="009B532F" w:rsidRPr="0049021D">
          <w:rPr>
            <w:rStyle w:val="Hyperlink"/>
            <w:rFonts w:ascii="Arial" w:hAnsi="Arial" w:cs="Arial"/>
            <w:color w:val="6D2DE5"/>
          </w:rPr>
          <w:t>Employee Benefits Security Administration complaint portal</w:t>
        </w:r>
      </w:hyperlink>
    </w:p>
    <w:p w14:paraId="02BFF098" w14:textId="2B4ED4DF" w:rsidR="009B532F" w:rsidRPr="009E0F16" w:rsidRDefault="009B532F" w:rsidP="009E0F16">
      <w:pPr>
        <w:pStyle w:val="ListParagraph"/>
        <w:numPr>
          <w:ilvl w:val="1"/>
          <w:numId w:val="7"/>
        </w:numPr>
        <w:ind w:left="1080"/>
        <w:rPr>
          <w:rFonts w:ascii="Arial" w:hAnsi="Arial" w:cs="Arial"/>
          <w:i/>
          <w:iCs/>
          <w:color w:val="808080" w:themeColor="background1" w:themeShade="80"/>
        </w:rPr>
      </w:pPr>
      <w:r w:rsidRPr="009E0F16">
        <w:rPr>
          <w:rFonts w:ascii="Arial" w:hAnsi="Arial" w:cs="Arial"/>
          <w:i/>
          <w:iCs/>
          <w:color w:val="808080" w:themeColor="background1" w:themeShade="80"/>
        </w:rPr>
        <w:t>NOTE: it may be advisable to first send your complaint to your employer’s Human Resources department before elevating to DOL</w:t>
      </w:r>
    </w:p>
    <w:p w14:paraId="0A4930A7" w14:textId="77777777" w:rsidR="00475B16" w:rsidRPr="00654EA8" w:rsidRDefault="00475B16" w:rsidP="00475B16">
      <w:pPr>
        <w:rPr>
          <w:rFonts w:ascii="Arial" w:hAnsi="Arial" w:cs="Arial"/>
        </w:rPr>
      </w:pPr>
    </w:p>
    <w:p w14:paraId="09EBFD10" w14:textId="0D5ED26F" w:rsidR="009B532F" w:rsidRPr="006F3FE5" w:rsidRDefault="006F3FE5" w:rsidP="006F3FE5">
      <w:pPr>
        <w:ind w:left="360"/>
        <w:rPr>
          <w:rFonts w:ascii="Arial" w:hAnsi="Arial" w:cs="Arial"/>
        </w:rPr>
      </w:pPr>
      <w:r w:rsidRPr="006F3FE5">
        <w:rPr>
          <w:rFonts w:ascii="Arial" w:hAnsi="Arial" w:cs="Arial"/>
        </w:rPr>
        <w:t>CENTERS FOR MEDICARE AND MEDICAID SERVICES (CMS)</w:t>
      </w:r>
    </w:p>
    <w:p w14:paraId="6827148A" w14:textId="64D27E09" w:rsidR="009B532F" w:rsidRPr="00654EA8" w:rsidRDefault="009B532F" w:rsidP="009E0F16">
      <w:pPr>
        <w:pStyle w:val="ListParagraph"/>
        <w:numPr>
          <w:ilvl w:val="1"/>
          <w:numId w:val="8"/>
        </w:numPr>
        <w:ind w:left="1080"/>
        <w:rPr>
          <w:rFonts w:ascii="Arial" w:hAnsi="Arial" w:cs="Arial"/>
        </w:rPr>
      </w:pPr>
      <w:r w:rsidRPr="00654EA8">
        <w:rPr>
          <w:rFonts w:ascii="Arial" w:hAnsi="Arial" w:cs="Arial"/>
        </w:rPr>
        <w:t>Regulates: Self-funded non-federal government plan</w:t>
      </w:r>
    </w:p>
    <w:p w14:paraId="7A3A12BB" w14:textId="41C0F2E6" w:rsidR="009B532F" w:rsidRPr="00654EA8" w:rsidRDefault="009B532F" w:rsidP="009E0F16">
      <w:pPr>
        <w:pStyle w:val="ListParagraph"/>
        <w:numPr>
          <w:ilvl w:val="1"/>
          <w:numId w:val="8"/>
        </w:numPr>
        <w:ind w:left="1080"/>
        <w:rPr>
          <w:rFonts w:ascii="Arial" w:hAnsi="Arial" w:cs="Arial"/>
        </w:rPr>
      </w:pPr>
      <w:r w:rsidRPr="00654EA8">
        <w:rPr>
          <w:rFonts w:ascii="Arial" w:hAnsi="Arial" w:cs="Arial"/>
        </w:rPr>
        <w:t>Email: NonFed@cms.hhs.gov</w:t>
      </w:r>
    </w:p>
    <w:p w14:paraId="70080513" w14:textId="31BAC2DE" w:rsidR="009B532F" w:rsidRPr="009E0F16" w:rsidRDefault="009B532F" w:rsidP="009E0F16">
      <w:pPr>
        <w:pStyle w:val="ListParagraph"/>
        <w:numPr>
          <w:ilvl w:val="1"/>
          <w:numId w:val="8"/>
        </w:numPr>
        <w:ind w:left="1080"/>
        <w:rPr>
          <w:rFonts w:ascii="Arial" w:hAnsi="Arial" w:cs="Arial"/>
          <w:i/>
          <w:iCs/>
          <w:color w:val="808080" w:themeColor="background1" w:themeShade="80"/>
        </w:rPr>
      </w:pPr>
      <w:r w:rsidRPr="009E0F16">
        <w:rPr>
          <w:rFonts w:ascii="Arial" w:hAnsi="Arial" w:cs="Arial"/>
          <w:i/>
          <w:iCs/>
          <w:color w:val="808080" w:themeColor="background1" w:themeShade="80"/>
        </w:rPr>
        <w:t>NOTE: it may be advisable to first send your complaint to your employer’s Human Resources department before elevating to CMS</w:t>
      </w:r>
    </w:p>
    <w:p w14:paraId="081B6E82" w14:textId="77777777" w:rsidR="00776F9A" w:rsidRPr="00654EA8" w:rsidRDefault="00776F9A" w:rsidP="00776F9A">
      <w:pPr>
        <w:rPr>
          <w:rFonts w:ascii="Arial" w:eastAsiaTheme="minorHAnsi" w:hAnsi="Arial" w:cs="Arial"/>
          <w:color w:val="FF0000"/>
        </w:rPr>
      </w:pPr>
    </w:p>
    <w:p w14:paraId="3AEEDF41" w14:textId="77777777" w:rsidR="00464008" w:rsidRPr="00654EA8" w:rsidRDefault="00464008" w:rsidP="006A066F">
      <w:pPr>
        <w:rPr>
          <w:rFonts w:ascii="Arial" w:hAnsi="Arial" w:cs="Arial"/>
        </w:rPr>
      </w:pPr>
    </w:p>
    <w:p w14:paraId="33BF1A37" w14:textId="161C09A7" w:rsidR="006F3FE5" w:rsidRDefault="006A066F" w:rsidP="00464008">
      <w:pPr>
        <w:ind w:firstLine="720"/>
        <w:rPr>
          <w:rFonts w:ascii="Arial" w:hAnsi="Arial" w:cs="Arial"/>
        </w:rPr>
      </w:pPr>
      <w:r w:rsidRPr="00654EA8">
        <w:rPr>
          <w:rFonts w:ascii="Arial" w:hAnsi="Arial" w:cs="Arial"/>
        </w:rPr>
        <w:t>Re: PrEP coverage</w:t>
      </w:r>
      <w:r w:rsidR="009B532F" w:rsidRPr="00654EA8">
        <w:rPr>
          <w:rFonts w:ascii="Arial" w:hAnsi="Arial" w:cs="Arial"/>
        </w:rPr>
        <w:t xml:space="preserve"> for </w:t>
      </w:r>
      <w:r w:rsidR="009B532F" w:rsidRPr="0086304A">
        <w:rPr>
          <w:rFonts w:ascii="Arial" w:hAnsi="Arial" w:cs="Arial"/>
          <w:color w:val="6F2BE4"/>
        </w:rPr>
        <w:t>[BENEFICIARY NAME]</w:t>
      </w:r>
    </w:p>
    <w:p w14:paraId="4CAB0C08" w14:textId="77777777" w:rsidR="006F3FE5" w:rsidRDefault="006F3FE5">
      <w:pPr>
        <w:rPr>
          <w:rFonts w:ascii="Arial" w:hAnsi="Arial" w:cs="Arial"/>
        </w:rPr>
      </w:pPr>
      <w:r>
        <w:rPr>
          <w:rFonts w:ascii="Arial" w:hAnsi="Arial" w:cs="Arial"/>
        </w:rPr>
        <w:br w:type="page"/>
      </w:r>
    </w:p>
    <w:p w14:paraId="1CC6EA6D" w14:textId="49240FAB" w:rsidR="006A066F" w:rsidRPr="00654EA8" w:rsidRDefault="0049021D" w:rsidP="00464008">
      <w:pPr>
        <w:ind w:firstLine="720"/>
        <w:rPr>
          <w:rFonts w:ascii="Arial" w:hAnsi="Arial" w:cs="Arial"/>
        </w:rPr>
      </w:pPr>
      <w:r>
        <w:rPr>
          <w:rFonts w:ascii="Arial" w:hAnsi="Arial" w:cs="Arial"/>
          <w:noProof/>
        </w:rPr>
        <w:lastRenderedPageBreak/>
        <w:drawing>
          <wp:anchor distT="0" distB="0" distL="114300" distR="114300" simplePos="0" relativeHeight="251660288" behindDoc="1" locked="0" layoutInCell="1" allowOverlap="1" wp14:anchorId="3637DE8A" wp14:editId="0441E961">
            <wp:simplePos x="0" y="0"/>
            <wp:positionH relativeFrom="column">
              <wp:posOffset>-808990</wp:posOffset>
            </wp:positionH>
            <wp:positionV relativeFrom="paragraph">
              <wp:posOffset>-887842</wp:posOffset>
            </wp:positionV>
            <wp:extent cx="7758953" cy="10041283"/>
            <wp:effectExtent l="0" t="0" r="1270" b="4445"/>
            <wp:wrapNone/>
            <wp:docPr id="4" name="Picture 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background patter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58953" cy="10041283"/>
                    </a:xfrm>
                    <a:prstGeom prst="rect">
                      <a:avLst/>
                    </a:prstGeom>
                  </pic:spPr>
                </pic:pic>
              </a:graphicData>
            </a:graphic>
            <wp14:sizeRelH relativeFrom="margin">
              <wp14:pctWidth>0</wp14:pctWidth>
            </wp14:sizeRelH>
            <wp14:sizeRelV relativeFrom="margin">
              <wp14:pctHeight>0</wp14:pctHeight>
            </wp14:sizeRelV>
          </wp:anchor>
        </w:drawing>
      </w:r>
    </w:p>
    <w:p w14:paraId="03FDB2EF" w14:textId="55B0FC6D" w:rsidR="006A066F" w:rsidRPr="00654EA8" w:rsidRDefault="006A066F">
      <w:pPr>
        <w:rPr>
          <w:rFonts w:ascii="Arial" w:hAnsi="Arial" w:cs="Arial"/>
        </w:rPr>
      </w:pPr>
    </w:p>
    <w:p w14:paraId="112DCFCA" w14:textId="786B5836" w:rsidR="00D41219" w:rsidRPr="00654EA8" w:rsidRDefault="006A066F">
      <w:pPr>
        <w:rPr>
          <w:rFonts w:ascii="Arial" w:hAnsi="Arial" w:cs="Arial"/>
        </w:rPr>
      </w:pPr>
      <w:r w:rsidRPr="00654EA8">
        <w:rPr>
          <w:rFonts w:ascii="Arial" w:hAnsi="Arial" w:cs="Arial"/>
        </w:rPr>
        <w:t>To Whom It May Concern:</w:t>
      </w:r>
    </w:p>
    <w:p w14:paraId="16CAF75C" w14:textId="3B8B21D9" w:rsidR="006A066F" w:rsidRPr="00654EA8" w:rsidRDefault="006A066F">
      <w:pPr>
        <w:rPr>
          <w:rFonts w:ascii="Arial" w:hAnsi="Arial" w:cs="Arial"/>
        </w:rPr>
      </w:pPr>
    </w:p>
    <w:p w14:paraId="639E42DE" w14:textId="7758427E" w:rsidR="006A066F" w:rsidRPr="00654EA8" w:rsidRDefault="006A066F">
      <w:pPr>
        <w:rPr>
          <w:rFonts w:ascii="Arial" w:hAnsi="Arial" w:cs="Arial"/>
        </w:rPr>
      </w:pPr>
      <w:r w:rsidRPr="00654EA8">
        <w:rPr>
          <w:rFonts w:ascii="Arial" w:hAnsi="Arial" w:cs="Arial"/>
        </w:rPr>
        <w:t xml:space="preserve">I am an enrollee of </w:t>
      </w:r>
      <w:r w:rsidR="009B532F" w:rsidRPr="001B4101">
        <w:rPr>
          <w:rFonts w:ascii="Arial" w:hAnsi="Arial" w:cs="Arial"/>
          <w:color w:val="6F2BE4"/>
        </w:rPr>
        <w:t>[NAME OF PLAN]</w:t>
      </w:r>
      <w:r w:rsidRPr="00654EA8">
        <w:rPr>
          <w:rFonts w:ascii="Arial" w:hAnsi="Arial" w:cs="Arial"/>
        </w:rPr>
        <w:t xml:space="preserve"> through my </w:t>
      </w:r>
      <w:r w:rsidR="009B532F" w:rsidRPr="001B4101">
        <w:rPr>
          <w:rFonts w:ascii="Arial" w:hAnsi="Arial" w:cs="Arial"/>
          <w:color w:val="6F2BE4"/>
        </w:rPr>
        <w:t>[NAME OF EMPLOYER OR IF INDIVIDUAL MARKET REFERENCE IF IT WAS PURCHASED ON MARKETPLACE OR OFF MARKETPLACE]</w:t>
      </w:r>
      <w:r w:rsidRPr="00654EA8">
        <w:rPr>
          <w:rFonts w:ascii="Arial" w:hAnsi="Arial" w:cs="Arial"/>
        </w:rPr>
        <w:t>. For the</w:t>
      </w:r>
      <w:r w:rsidR="009C1212" w:rsidRPr="00654EA8">
        <w:rPr>
          <w:rFonts w:ascii="Arial" w:hAnsi="Arial" w:cs="Arial"/>
        </w:rPr>
        <w:t xml:space="preserve"> current</w:t>
      </w:r>
      <w:r w:rsidRPr="00654EA8">
        <w:rPr>
          <w:rFonts w:ascii="Arial" w:hAnsi="Arial" w:cs="Arial"/>
        </w:rPr>
        <w:t xml:space="preserve"> pla</w:t>
      </w:r>
      <w:r w:rsidR="009B532F" w:rsidRPr="00654EA8">
        <w:rPr>
          <w:rFonts w:ascii="Arial" w:hAnsi="Arial" w:cs="Arial"/>
        </w:rPr>
        <w:t xml:space="preserve">n year </w:t>
      </w:r>
      <w:r w:rsidR="009B532F" w:rsidRPr="001B4101">
        <w:rPr>
          <w:rFonts w:ascii="Arial" w:hAnsi="Arial" w:cs="Arial"/>
          <w:color w:val="6F2BE4"/>
        </w:rPr>
        <w:t>[REFERENCE PLAN YEAR</w:t>
      </w:r>
      <w:r w:rsidR="009C1212" w:rsidRPr="001B4101">
        <w:rPr>
          <w:rFonts w:ascii="Arial" w:hAnsi="Arial" w:cs="Arial"/>
          <w:color w:val="6F2BE4"/>
        </w:rPr>
        <w:t xml:space="preserve">) </w:t>
      </w:r>
      <w:r w:rsidRPr="001B4101">
        <w:rPr>
          <w:rFonts w:ascii="Arial" w:hAnsi="Arial" w:cs="Arial"/>
          <w:color w:val="6F2BE4"/>
        </w:rPr>
        <w:t xml:space="preserve">the plan ID </w:t>
      </w:r>
      <w:r w:rsidR="009C1212" w:rsidRPr="001B4101">
        <w:rPr>
          <w:rFonts w:ascii="Arial" w:hAnsi="Arial" w:cs="Arial"/>
          <w:color w:val="6F2BE4"/>
        </w:rPr>
        <w:t>is</w:t>
      </w:r>
      <w:r w:rsidRPr="001B4101">
        <w:rPr>
          <w:rFonts w:ascii="Arial" w:hAnsi="Arial" w:cs="Arial"/>
          <w:color w:val="6F2BE4"/>
        </w:rPr>
        <w:t>:</w:t>
      </w:r>
      <w:r w:rsidR="009B532F" w:rsidRPr="001B4101">
        <w:rPr>
          <w:rFonts w:ascii="Arial" w:hAnsi="Arial" w:cs="Arial"/>
          <w:color w:val="6F2BE4"/>
        </w:rPr>
        <w:t xml:space="preserve"> [PLAN ID]</w:t>
      </w:r>
      <w:r w:rsidR="009C1212" w:rsidRPr="00654EA8">
        <w:rPr>
          <w:rFonts w:ascii="Arial" w:hAnsi="Arial" w:cs="Arial"/>
        </w:rPr>
        <w:t xml:space="preserve">. </w:t>
      </w:r>
      <w:r w:rsidRPr="00654EA8">
        <w:rPr>
          <w:rFonts w:ascii="Arial" w:hAnsi="Arial" w:cs="Arial"/>
        </w:rPr>
        <w:t>I am writing to appeal and request review of the plan’s decision</w:t>
      </w:r>
      <w:r w:rsidR="004A23F8" w:rsidRPr="00654EA8">
        <w:rPr>
          <w:rFonts w:ascii="Arial" w:hAnsi="Arial" w:cs="Arial"/>
        </w:rPr>
        <w:t xml:space="preserve"> and overall policy</w:t>
      </w:r>
      <w:r w:rsidRPr="00654EA8">
        <w:rPr>
          <w:rFonts w:ascii="Arial" w:hAnsi="Arial" w:cs="Arial"/>
        </w:rPr>
        <w:t xml:space="preserve"> to charge for cost sharing associated with </w:t>
      </w:r>
      <w:r w:rsidR="00343ABC" w:rsidRPr="00654EA8">
        <w:rPr>
          <w:rFonts w:ascii="Arial" w:hAnsi="Arial" w:cs="Arial"/>
        </w:rPr>
        <w:t xml:space="preserve">pre-exposure prophylaxis (PrEP), </w:t>
      </w:r>
      <w:r w:rsidRPr="00654EA8">
        <w:rPr>
          <w:rFonts w:ascii="Arial" w:hAnsi="Arial" w:cs="Arial"/>
        </w:rPr>
        <w:t>a covered preventive service</w:t>
      </w:r>
      <w:r w:rsidR="008E44BB" w:rsidRPr="00654EA8">
        <w:rPr>
          <w:rFonts w:ascii="Arial" w:hAnsi="Arial" w:cs="Arial"/>
        </w:rPr>
        <w:t>.</w:t>
      </w:r>
      <w:r w:rsidR="00E71AA5" w:rsidRPr="00654EA8">
        <w:rPr>
          <w:rFonts w:ascii="Arial" w:hAnsi="Arial" w:cs="Arial"/>
        </w:rPr>
        <w:t xml:space="preserve"> This practice violates the Affordable Care Act (ACA) preventive services coverage and cost-sharing protections.</w:t>
      </w:r>
      <w:r w:rsidR="002A3734" w:rsidRPr="00654EA8">
        <w:rPr>
          <w:rFonts w:ascii="Arial" w:hAnsi="Arial" w:cs="Arial"/>
        </w:rPr>
        <w:t xml:space="preserve"> </w:t>
      </w:r>
    </w:p>
    <w:p w14:paraId="74F37015" w14:textId="3A1FD2D6" w:rsidR="00E71AA5" w:rsidRPr="00654EA8" w:rsidRDefault="00E71AA5">
      <w:pPr>
        <w:rPr>
          <w:rFonts w:ascii="Arial" w:hAnsi="Arial" w:cs="Arial"/>
        </w:rPr>
      </w:pPr>
    </w:p>
    <w:p w14:paraId="2AD79AB9" w14:textId="77777777" w:rsidR="009B532F" w:rsidRPr="00654EA8" w:rsidRDefault="00AA0CD9" w:rsidP="00AA0CD9">
      <w:pPr>
        <w:rPr>
          <w:rFonts w:ascii="Arial" w:hAnsi="Arial" w:cs="Arial"/>
        </w:rPr>
      </w:pPr>
      <w:r w:rsidRPr="00654EA8">
        <w:rPr>
          <w:rFonts w:ascii="Arial" w:hAnsi="Arial" w:cs="Arial"/>
        </w:rPr>
        <w:t xml:space="preserve">My plan is a </w:t>
      </w:r>
      <w:r w:rsidR="009B532F" w:rsidRPr="005A3678">
        <w:rPr>
          <w:rFonts w:ascii="Arial" w:hAnsi="Arial" w:cs="Arial"/>
          <w:color w:val="6F2BE4"/>
        </w:rPr>
        <w:t>[FILL IN PLAN TYPE]</w:t>
      </w:r>
    </w:p>
    <w:p w14:paraId="4A2E48A3" w14:textId="0FBFF5EF" w:rsidR="009B532F" w:rsidRPr="00654EA8" w:rsidRDefault="00AA0CD9" w:rsidP="009B532F">
      <w:pPr>
        <w:pStyle w:val="ListParagraph"/>
        <w:numPr>
          <w:ilvl w:val="0"/>
          <w:numId w:val="4"/>
        </w:numPr>
        <w:rPr>
          <w:rFonts w:ascii="Arial" w:hAnsi="Arial" w:cs="Arial"/>
        </w:rPr>
      </w:pPr>
      <w:r w:rsidRPr="00654EA8">
        <w:rPr>
          <w:rFonts w:ascii="Arial" w:hAnsi="Arial" w:cs="Arial"/>
        </w:rPr>
        <w:t xml:space="preserve">Qualified Health Plan </w:t>
      </w:r>
      <w:r w:rsidR="00343ABC" w:rsidRPr="00654EA8">
        <w:rPr>
          <w:rFonts w:ascii="Arial" w:hAnsi="Arial" w:cs="Arial"/>
        </w:rPr>
        <w:t xml:space="preserve">(QHP) </w:t>
      </w:r>
      <w:r w:rsidRPr="00654EA8">
        <w:rPr>
          <w:rFonts w:ascii="Arial" w:hAnsi="Arial" w:cs="Arial"/>
        </w:rPr>
        <w:t xml:space="preserve">sold in the </w:t>
      </w:r>
      <w:r w:rsidR="009B532F" w:rsidRPr="005A3678">
        <w:rPr>
          <w:rFonts w:ascii="Arial" w:hAnsi="Arial" w:cs="Arial"/>
          <w:color w:val="6F2BE4"/>
        </w:rPr>
        <w:t>[INDIVIDUAL OR SMALL GROUP]</w:t>
      </w:r>
      <w:r w:rsidRPr="005A3678">
        <w:rPr>
          <w:rFonts w:ascii="Arial" w:hAnsi="Arial" w:cs="Arial"/>
          <w:color w:val="6F2BE4"/>
        </w:rPr>
        <w:t xml:space="preserve"> </w:t>
      </w:r>
      <w:r w:rsidRPr="00654EA8">
        <w:rPr>
          <w:rFonts w:ascii="Arial" w:hAnsi="Arial" w:cs="Arial"/>
        </w:rPr>
        <w:t xml:space="preserve">group </w:t>
      </w:r>
      <w:r w:rsidR="009B532F" w:rsidRPr="005A3678">
        <w:rPr>
          <w:rFonts w:ascii="Arial" w:hAnsi="Arial" w:cs="Arial"/>
          <w:color w:val="6F2BE4"/>
        </w:rPr>
        <w:t>[MARKETPLACE OR OFF-MARKETPLACE]</w:t>
      </w:r>
      <w:r w:rsidR="009B532F" w:rsidRPr="00654EA8">
        <w:rPr>
          <w:rFonts w:ascii="Arial" w:hAnsi="Arial" w:cs="Arial"/>
        </w:rPr>
        <w:t xml:space="preserve"> </w:t>
      </w:r>
      <w:r w:rsidRPr="00654EA8">
        <w:rPr>
          <w:rFonts w:ascii="Arial" w:hAnsi="Arial" w:cs="Arial"/>
        </w:rPr>
        <w:t xml:space="preserve">market in </w:t>
      </w:r>
      <w:r w:rsidR="009B532F" w:rsidRPr="005A3678">
        <w:rPr>
          <w:rFonts w:ascii="Arial" w:hAnsi="Arial" w:cs="Arial"/>
          <w:color w:val="6F2BE4"/>
        </w:rPr>
        <w:t>[STATE]</w:t>
      </w:r>
    </w:p>
    <w:p w14:paraId="100A68C2" w14:textId="6C8A5FFD" w:rsidR="009B532F" w:rsidRPr="00654EA8" w:rsidRDefault="009B532F" w:rsidP="009B532F">
      <w:pPr>
        <w:pStyle w:val="ListParagraph"/>
        <w:numPr>
          <w:ilvl w:val="0"/>
          <w:numId w:val="4"/>
        </w:numPr>
        <w:rPr>
          <w:rFonts w:ascii="Arial" w:hAnsi="Arial" w:cs="Arial"/>
        </w:rPr>
      </w:pPr>
      <w:r w:rsidRPr="00654EA8">
        <w:rPr>
          <w:rFonts w:ascii="Arial" w:hAnsi="Arial" w:cs="Arial"/>
        </w:rPr>
        <w:t>Self-funded non-federal government plan (e.g., a plan offered by a municipality)</w:t>
      </w:r>
    </w:p>
    <w:p w14:paraId="1391615A" w14:textId="524A7A36" w:rsidR="009B532F" w:rsidRPr="00654EA8" w:rsidRDefault="009B532F" w:rsidP="009B532F">
      <w:pPr>
        <w:pStyle w:val="ListParagraph"/>
        <w:numPr>
          <w:ilvl w:val="0"/>
          <w:numId w:val="4"/>
        </w:numPr>
        <w:rPr>
          <w:rFonts w:ascii="Arial" w:hAnsi="Arial" w:cs="Arial"/>
        </w:rPr>
      </w:pPr>
      <w:r w:rsidRPr="00654EA8">
        <w:rPr>
          <w:rFonts w:ascii="Arial" w:hAnsi="Arial" w:cs="Arial"/>
        </w:rPr>
        <w:t xml:space="preserve">Self-funded employer plan </w:t>
      </w:r>
    </w:p>
    <w:p w14:paraId="0E3F3FCA" w14:textId="1D1FF552" w:rsidR="009B532F" w:rsidRPr="00654EA8" w:rsidRDefault="009B532F" w:rsidP="009B532F">
      <w:pPr>
        <w:pStyle w:val="ListParagraph"/>
        <w:numPr>
          <w:ilvl w:val="0"/>
          <w:numId w:val="4"/>
        </w:numPr>
        <w:rPr>
          <w:rFonts w:ascii="Arial" w:hAnsi="Arial" w:cs="Arial"/>
        </w:rPr>
      </w:pPr>
      <w:r w:rsidRPr="00654EA8">
        <w:rPr>
          <w:rFonts w:ascii="Arial" w:hAnsi="Arial" w:cs="Arial"/>
        </w:rPr>
        <w:t>Large group employer plan (fully insured)</w:t>
      </w:r>
    </w:p>
    <w:p w14:paraId="2C2A489B" w14:textId="61D3ECDC" w:rsidR="009B532F" w:rsidRPr="00654EA8" w:rsidRDefault="009B532F" w:rsidP="009B532F">
      <w:pPr>
        <w:pStyle w:val="ListParagraph"/>
        <w:numPr>
          <w:ilvl w:val="0"/>
          <w:numId w:val="4"/>
        </w:numPr>
        <w:rPr>
          <w:rFonts w:ascii="Arial" w:hAnsi="Arial" w:cs="Arial"/>
        </w:rPr>
      </w:pPr>
      <w:r w:rsidRPr="00654EA8">
        <w:rPr>
          <w:rFonts w:ascii="Arial" w:hAnsi="Arial" w:cs="Arial"/>
        </w:rPr>
        <w:t>Small group employer plan (fully insured)</w:t>
      </w:r>
    </w:p>
    <w:p w14:paraId="113C7378" w14:textId="77777777" w:rsidR="009B532F" w:rsidRPr="00654EA8" w:rsidRDefault="009B532F" w:rsidP="009B532F">
      <w:pPr>
        <w:rPr>
          <w:rFonts w:ascii="Arial" w:hAnsi="Arial" w:cs="Arial"/>
        </w:rPr>
      </w:pPr>
    </w:p>
    <w:p w14:paraId="576ECFD2" w14:textId="1C018CD0" w:rsidR="00AA0CD9" w:rsidRPr="00654EA8" w:rsidRDefault="00343ABC" w:rsidP="009B532F">
      <w:pPr>
        <w:rPr>
          <w:rFonts w:ascii="Arial" w:hAnsi="Arial" w:cs="Arial"/>
        </w:rPr>
      </w:pPr>
      <w:r w:rsidRPr="00654EA8">
        <w:rPr>
          <w:rFonts w:ascii="Arial" w:hAnsi="Arial" w:cs="Arial"/>
        </w:rPr>
        <w:t>A</w:t>
      </w:r>
      <w:r w:rsidR="00AA0CD9" w:rsidRPr="00654EA8">
        <w:rPr>
          <w:rFonts w:ascii="Arial" w:hAnsi="Arial" w:cs="Arial"/>
        </w:rPr>
        <w:t>s such</w:t>
      </w:r>
      <w:r w:rsidRPr="00654EA8">
        <w:rPr>
          <w:rFonts w:ascii="Arial" w:hAnsi="Arial" w:cs="Arial"/>
        </w:rPr>
        <w:t>,</w:t>
      </w:r>
      <w:r w:rsidR="00AA0CD9" w:rsidRPr="00654EA8">
        <w:rPr>
          <w:rFonts w:ascii="Arial" w:hAnsi="Arial" w:cs="Arial"/>
        </w:rPr>
        <w:t xml:space="preserve"> it is subject to the ACA’s Essential Health Benefits requirements, including the preventive services coverage</w:t>
      </w:r>
      <w:r w:rsidR="00464008" w:rsidRPr="00654EA8">
        <w:rPr>
          <w:rFonts w:ascii="Arial" w:hAnsi="Arial" w:cs="Arial"/>
        </w:rPr>
        <w:t xml:space="preserve"> and cost-sharing</w:t>
      </w:r>
      <w:r w:rsidR="00AA0CD9" w:rsidRPr="00654EA8">
        <w:rPr>
          <w:rFonts w:ascii="Arial" w:hAnsi="Arial" w:cs="Arial"/>
        </w:rPr>
        <w:t xml:space="preserve"> provisions codified</w:t>
      </w:r>
      <w:r w:rsidR="009B532F" w:rsidRPr="00654EA8">
        <w:rPr>
          <w:rFonts w:ascii="Arial" w:hAnsi="Arial" w:cs="Arial"/>
        </w:rPr>
        <w:t xml:space="preserve"> at 42 USC</w:t>
      </w:r>
      <w:r w:rsidR="009B532F" w:rsidRPr="00654EA8">
        <w:rPr>
          <w:rFonts w:ascii="Arial" w:hAnsi="Arial" w:cs="Arial"/>
          <w:color w:val="32434F"/>
          <w:sz w:val="27"/>
          <w:szCs w:val="27"/>
        </w:rPr>
        <w:t xml:space="preserve"> </w:t>
      </w:r>
      <w:r w:rsidR="009B532F" w:rsidRPr="00654EA8">
        <w:rPr>
          <w:rFonts w:ascii="Arial" w:hAnsi="Arial" w:cs="Arial"/>
        </w:rPr>
        <w:t xml:space="preserve">§300gg–13 and 29 CFR § 2590.715-2713. </w:t>
      </w:r>
      <w:r w:rsidR="00AA0CD9" w:rsidRPr="00654EA8">
        <w:rPr>
          <w:rFonts w:ascii="Arial" w:hAnsi="Arial" w:cs="Arial"/>
        </w:rPr>
        <w:t>Under these provisions, non-grandfathered group health plans are required to cover services with a Grade A or B from the U.S. Preventives Services Task Force (USPSTF) without cost sharing, starting no later than the plan year beginning one year after the final recommendation. In June of 2019, the U</w:t>
      </w:r>
      <w:r w:rsidRPr="00654EA8">
        <w:rPr>
          <w:rFonts w:ascii="Arial" w:hAnsi="Arial" w:cs="Arial"/>
        </w:rPr>
        <w:t xml:space="preserve">SPSTF gave PrEP </w:t>
      </w:r>
      <w:r w:rsidR="00BF21E6" w:rsidRPr="00654EA8">
        <w:rPr>
          <w:rFonts w:ascii="Arial" w:hAnsi="Arial" w:cs="Arial"/>
        </w:rPr>
        <w:t>final</w:t>
      </w:r>
      <w:r w:rsidRPr="00654EA8">
        <w:rPr>
          <w:rFonts w:ascii="Arial" w:hAnsi="Arial" w:cs="Arial"/>
        </w:rPr>
        <w:t xml:space="preserve"> Grade A</w:t>
      </w:r>
      <w:r w:rsidR="00BF21E6" w:rsidRPr="00654EA8">
        <w:rPr>
          <w:rFonts w:ascii="Arial" w:hAnsi="Arial" w:cs="Arial"/>
        </w:rPr>
        <w:t xml:space="preserve"> recommendation</w:t>
      </w:r>
      <w:r w:rsidRPr="00654EA8">
        <w:rPr>
          <w:rFonts w:ascii="Arial" w:hAnsi="Arial" w:cs="Arial"/>
        </w:rPr>
        <w:t>.</w:t>
      </w:r>
      <w:r w:rsidR="008E44BB" w:rsidRPr="00654EA8">
        <w:rPr>
          <w:rStyle w:val="FootnoteReference"/>
          <w:rFonts w:ascii="Arial" w:hAnsi="Arial" w:cs="Arial"/>
        </w:rPr>
        <w:footnoteReference w:id="2"/>
      </w:r>
      <w:r w:rsidRPr="00654EA8">
        <w:rPr>
          <w:rFonts w:ascii="Arial" w:hAnsi="Arial" w:cs="Arial"/>
        </w:rPr>
        <w:t xml:space="preserve"> In July 2021, the </w:t>
      </w:r>
      <w:r w:rsidR="008E44BB" w:rsidRPr="00654EA8">
        <w:rPr>
          <w:rFonts w:ascii="Arial" w:hAnsi="Arial" w:cs="Arial"/>
        </w:rPr>
        <w:t>Departments of Labor, Health and Human Services, and Treasury</w:t>
      </w:r>
      <w:r w:rsidRPr="00654EA8">
        <w:rPr>
          <w:rFonts w:ascii="Arial" w:hAnsi="Arial" w:cs="Arial"/>
        </w:rPr>
        <w:t xml:space="preserve"> issued guidance for plans on implementation of the coverage and cost-sharing requirements</w:t>
      </w:r>
      <w:r w:rsidR="00803BB5" w:rsidRPr="00654EA8">
        <w:rPr>
          <w:rFonts w:ascii="Arial" w:hAnsi="Arial" w:cs="Arial"/>
        </w:rPr>
        <w:t>.</w:t>
      </w:r>
      <w:r w:rsidR="00464008" w:rsidRPr="00654EA8">
        <w:rPr>
          <w:rStyle w:val="FootnoteReference"/>
          <w:rFonts w:ascii="Arial" w:hAnsi="Arial" w:cs="Arial"/>
        </w:rPr>
        <w:footnoteReference w:id="3"/>
      </w:r>
      <w:r w:rsidR="00803BB5" w:rsidRPr="00654EA8">
        <w:rPr>
          <w:rFonts w:ascii="Arial" w:hAnsi="Arial" w:cs="Arial"/>
        </w:rPr>
        <w:t xml:space="preserve"> The guidance clarifies that in addition to providing access to the PrEP medication without cost sharing, plans also must cover the following</w:t>
      </w:r>
      <w:r w:rsidR="008E44BB" w:rsidRPr="00654EA8">
        <w:rPr>
          <w:rFonts w:ascii="Arial" w:hAnsi="Arial" w:cs="Arial"/>
        </w:rPr>
        <w:t xml:space="preserve"> ancillary services</w:t>
      </w:r>
      <w:r w:rsidR="00803BB5" w:rsidRPr="00654EA8">
        <w:rPr>
          <w:rFonts w:ascii="Arial" w:hAnsi="Arial" w:cs="Arial"/>
        </w:rPr>
        <w:t xml:space="preserve"> without cost sharing:</w:t>
      </w:r>
    </w:p>
    <w:p w14:paraId="33501DCC" w14:textId="77777777" w:rsidR="00464008" w:rsidRPr="00654EA8" w:rsidRDefault="00464008" w:rsidP="00AA0CD9">
      <w:pPr>
        <w:rPr>
          <w:rFonts w:ascii="Arial" w:hAnsi="Arial" w:cs="Arial"/>
        </w:rPr>
      </w:pPr>
    </w:p>
    <w:p w14:paraId="57505CBB" w14:textId="76434BBB" w:rsidR="00992670" w:rsidRPr="00654EA8" w:rsidRDefault="00803BB5" w:rsidP="0055308A">
      <w:pPr>
        <w:pStyle w:val="ListParagraph"/>
        <w:numPr>
          <w:ilvl w:val="0"/>
          <w:numId w:val="1"/>
        </w:numPr>
        <w:rPr>
          <w:rFonts w:ascii="Arial" w:hAnsi="Arial" w:cs="Arial"/>
        </w:rPr>
      </w:pPr>
      <w:r w:rsidRPr="00654EA8">
        <w:rPr>
          <w:rFonts w:ascii="Arial" w:hAnsi="Arial" w:cs="Arial"/>
        </w:rPr>
        <w:t>HIV testing</w:t>
      </w:r>
      <w:r w:rsidR="004C78F3" w:rsidRPr="00654EA8">
        <w:rPr>
          <w:rFonts w:ascii="Arial" w:hAnsi="Arial" w:cs="Arial"/>
        </w:rPr>
        <w:t>, including HIV-1 RNA testing</w:t>
      </w:r>
      <w:r w:rsidR="00992670" w:rsidRPr="00654EA8">
        <w:rPr>
          <w:rFonts w:ascii="Arial" w:hAnsi="Arial" w:cs="Arial"/>
        </w:rPr>
        <w:t xml:space="preserve"> </w:t>
      </w:r>
      <w:r w:rsidRPr="00654EA8">
        <w:rPr>
          <w:rFonts w:ascii="Arial" w:hAnsi="Arial" w:cs="Arial"/>
        </w:rPr>
        <w:t>(at initiation and every three months</w:t>
      </w:r>
      <w:r w:rsidR="008A4566" w:rsidRPr="00654EA8">
        <w:rPr>
          <w:rFonts w:ascii="Arial" w:hAnsi="Arial" w:cs="Arial"/>
        </w:rPr>
        <w:t xml:space="preserve"> consistent with CDC guidelines</w:t>
      </w:r>
      <w:bookmarkStart w:id="0" w:name="_Ref102044194"/>
      <w:r w:rsidR="008C63E0" w:rsidRPr="00654EA8">
        <w:rPr>
          <w:rStyle w:val="FootnoteReference"/>
          <w:rFonts w:ascii="Arial" w:hAnsi="Arial" w:cs="Arial"/>
        </w:rPr>
        <w:footnoteReference w:id="4"/>
      </w:r>
      <w:bookmarkEnd w:id="0"/>
      <w:r w:rsidRPr="00654EA8">
        <w:rPr>
          <w:rFonts w:ascii="Arial" w:hAnsi="Arial" w:cs="Arial"/>
        </w:rPr>
        <w:t>)</w:t>
      </w:r>
    </w:p>
    <w:p w14:paraId="70B77751" w14:textId="6B057D7E" w:rsidR="00803BB5" w:rsidRPr="00654EA8" w:rsidRDefault="00803BB5" w:rsidP="00803BB5">
      <w:pPr>
        <w:pStyle w:val="ListParagraph"/>
        <w:numPr>
          <w:ilvl w:val="0"/>
          <w:numId w:val="1"/>
        </w:numPr>
        <w:rPr>
          <w:rFonts w:ascii="Arial" w:hAnsi="Arial" w:cs="Arial"/>
        </w:rPr>
      </w:pPr>
      <w:r w:rsidRPr="00654EA8">
        <w:rPr>
          <w:rFonts w:ascii="Arial" w:hAnsi="Arial" w:cs="Arial"/>
        </w:rPr>
        <w:t>Hepatitis B and C testing (at initiation and periodically consistent with CDC guidelines)</w:t>
      </w:r>
    </w:p>
    <w:p w14:paraId="21C7A52E" w14:textId="1C15EB2A" w:rsidR="00803BB5" w:rsidRPr="00654EA8" w:rsidRDefault="00803BB5" w:rsidP="00803BB5">
      <w:pPr>
        <w:pStyle w:val="ListParagraph"/>
        <w:numPr>
          <w:ilvl w:val="0"/>
          <w:numId w:val="1"/>
        </w:numPr>
        <w:rPr>
          <w:rFonts w:ascii="Arial" w:hAnsi="Arial" w:cs="Arial"/>
        </w:rPr>
      </w:pPr>
      <w:r w:rsidRPr="00654EA8">
        <w:rPr>
          <w:rFonts w:ascii="Arial" w:hAnsi="Arial" w:cs="Arial"/>
        </w:rPr>
        <w:t>Creatinine testing and calculated estimated creatine clearance (</w:t>
      </w:r>
      <w:proofErr w:type="spellStart"/>
      <w:r w:rsidRPr="00654EA8">
        <w:rPr>
          <w:rFonts w:ascii="Arial" w:hAnsi="Arial" w:cs="Arial"/>
        </w:rPr>
        <w:t>eCrCl</w:t>
      </w:r>
      <w:proofErr w:type="spellEnd"/>
      <w:r w:rsidRPr="00654EA8">
        <w:rPr>
          <w:rFonts w:ascii="Arial" w:hAnsi="Arial" w:cs="Arial"/>
        </w:rPr>
        <w:t>) or glomerular filtration rate (eGFR) (at initiation and periodically consistent with CDC guidelines)</w:t>
      </w:r>
    </w:p>
    <w:p w14:paraId="0FEB7231" w14:textId="3A98D082" w:rsidR="00803BB5" w:rsidRPr="00654EA8" w:rsidRDefault="008F2660" w:rsidP="00803BB5">
      <w:pPr>
        <w:pStyle w:val="ListParagraph"/>
        <w:numPr>
          <w:ilvl w:val="0"/>
          <w:numId w:val="1"/>
        </w:numPr>
        <w:rPr>
          <w:rFonts w:ascii="Arial" w:hAnsi="Arial" w:cs="Arial"/>
        </w:rPr>
      </w:pPr>
      <w:r>
        <w:rPr>
          <w:rFonts w:ascii="Arial" w:hAnsi="Arial" w:cs="Arial"/>
          <w:noProof/>
        </w:rPr>
        <w:lastRenderedPageBreak/>
        <w:drawing>
          <wp:anchor distT="0" distB="0" distL="114300" distR="114300" simplePos="0" relativeHeight="251661312" behindDoc="1" locked="0" layoutInCell="1" allowOverlap="1" wp14:anchorId="267A7BDB" wp14:editId="19875529">
            <wp:simplePos x="0" y="0"/>
            <wp:positionH relativeFrom="column">
              <wp:posOffset>-812963</wp:posOffset>
            </wp:positionH>
            <wp:positionV relativeFrom="paragraph">
              <wp:posOffset>-889524</wp:posOffset>
            </wp:positionV>
            <wp:extent cx="7761790" cy="10044953"/>
            <wp:effectExtent l="0" t="0" r="0" b="1270"/>
            <wp:wrapNone/>
            <wp:docPr id="5" name="Picture 5"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background patter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07803" cy="10104501"/>
                    </a:xfrm>
                    <a:prstGeom prst="rect">
                      <a:avLst/>
                    </a:prstGeom>
                  </pic:spPr>
                </pic:pic>
              </a:graphicData>
            </a:graphic>
            <wp14:sizeRelH relativeFrom="margin">
              <wp14:pctWidth>0</wp14:pctWidth>
            </wp14:sizeRelH>
            <wp14:sizeRelV relativeFrom="margin">
              <wp14:pctHeight>0</wp14:pctHeight>
            </wp14:sizeRelV>
          </wp:anchor>
        </w:drawing>
      </w:r>
      <w:r w:rsidR="00803BB5" w:rsidRPr="00654EA8">
        <w:rPr>
          <w:rFonts w:ascii="Arial" w:hAnsi="Arial" w:cs="Arial"/>
        </w:rPr>
        <w:t>Sexually transmitted infection screening and counseling</w:t>
      </w:r>
      <w:r w:rsidR="00464008" w:rsidRPr="00654EA8">
        <w:rPr>
          <w:rFonts w:ascii="Arial" w:hAnsi="Arial" w:cs="Arial"/>
        </w:rPr>
        <w:t xml:space="preserve"> (at initiation and periodically consistent with CDC guidelines, including three-site anatomic testing gonorrhea and chlamydia and testing for syphilis, together with behavioral counseling)</w:t>
      </w:r>
    </w:p>
    <w:p w14:paraId="129B0E4D" w14:textId="5181E688" w:rsidR="00464008" w:rsidRPr="00654EA8" w:rsidRDefault="00464008" w:rsidP="00803BB5">
      <w:pPr>
        <w:pStyle w:val="ListParagraph"/>
        <w:numPr>
          <w:ilvl w:val="0"/>
          <w:numId w:val="1"/>
        </w:numPr>
        <w:rPr>
          <w:rFonts w:ascii="Arial" w:hAnsi="Arial" w:cs="Arial"/>
        </w:rPr>
      </w:pPr>
      <w:r w:rsidRPr="00654EA8">
        <w:rPr>
          <w:rFonts w:ascii="Arial" w:hAnsi="Arial" w:cs="Arial"/>
        </w:rPr>
        <w:t>Adherence counseling (at initiation and regularly consistent with CDC guidelines)</w:t>
      </w:r>
    </w:p>
    <w:p w14:paraId="6A0D8779" w14:textId="793251FD" w:rsidR="00464008" w:rsidRPr="00654EA8" w:rsidRDefault="00464008" w:rsidP="00803BB5">
      <w:pPr>
        <w:pStyle w:val="ListParagraph"/>
        <w:numPr>
          <w:ilvl w:val="0"/>
          <w:numId w:val="1"/>
        </w:numPr>
        <w:rPr>
          <w:rFonts w:ascii="Arial" w:hAnsi="Arial" w:cs="Arial"/>
        </w:rPr>
      </w:pPr>
      <w:r w:rsidRPr="00654EA8">
        <w:rPr>
          <w:rFonts w:ascii="Arial" w:hAnsi="Arial" w:cs="Arial"/>
        </w:rPr>
        <w:t xml:space="preserve">Office visits associated with each recommended preventive service when the primary purpose of the office visit is the delivery of the recommended preventive service. </w:t>
      </w:r>
    </w:p>
    <w:p w14:paraId="5127A054" w14:textId="58361448" w:rsidR="00AA0CD9" w:rsidRPr="00654EA8" w:rsidRDefault="00AA0CD9" w:rsidP="00AA0CD9">
      <w:pPr>
        <w:rPr>
          <w:rFonts w:ascii="Arial" w:hAnsi="Arial" w:cs="Arial"/>
        </w:rPr>
      </w:pPr>
    </w:p>
    <w:p w14:paraId="531FEDC0" w14:textId="026B95E8" w:rsidR="00AA0CD9" w:rsidRPr="00654EA8" w:rsidRDefault="003E3A25">
      <w:pPr>
        <w:rPr>
          <w:rFonts w:ascii="Arial" w:hAnsi="Arial" w:cs="Arial"/>
        </w:rPr>
      </w:pPr>
      <w:r w:rsidRPr="00654EA8">
        <w:rPr>
          <w:rFonts w:ascii="Arial" w:hAnsi="Arial" w:cs="Arial"/>
        </w:rPr>
        <w:t xml:space="preserve">Despite these clear requirements, I have been charged </w:t>
      </w:r>
      <w:r w:rsidR="009B532F" w:rsidRPr="00654EA8">
        <w:rPr>
          <w:rFonts w:ascii="Arial" w:hAnsi="Arial" w:cs="Arial"/>
        </w:rPr>
        <w:t>deductibles and/or cost sharing</w:t>
      </w:r>
      <w:r w:rsidRPr="00654EA8">
        <w:rPr>
          <w:rFonts w:ascii="Arial" w:hAnsi="Arial" w:cs="Arial"/>
        </w:rPr>
        <w:t xml:space="preserve"> to access PrEP</w:t>
      </w:r>
      <w:r w:rsidR="008278F6" w:rsidRPr="00654EA8">
        <w:rPr>
          <w:rFonts w:ascii="Arial" w:hAnsi="Arial" w:cs="Arial"/>
        </w:rPr>
        <w:t>, including the following:</w:t>
      </w:r>
    </w:p>
    <w:p w14:paraId="08E8A223" w14:textId="5819A06B" w:rsidR="009C1212" w:rsidRPr="00654EA8" w:rsidRDefault="009C1212">
      <w:pPr>
        <w:rPr>
          <w:rFonts w:ascii="Arial" w:hAnsi="Arial" w:cs="Arial"/>
        </w:rPr>
      </w:pPr>
    </w:p>
    <w:p w14:paraId="7F9D9FBF" w14:textId="5A5D97FF" w:rsidR="008278F6" w:rsidRPr="005A3678" w:rsidRDefault="009B532F" w:rsidP="00311686">
      <w:pPr>
        <w:pStyle w:val="ListParagraph"/>
        <w:numPr>
          <w:ilvl w:val="0"/>
          <w:numId w:val="2"/>
        </w:numPr>
        <w:rPr>
          <w:rFonts w:ascii="Arial" w:hAnsi="Arial" w:cs="Arial"/>
          <w:color w:val="6F2BE4"/>
        </w:rPr>
      </w:pPr>
      <w:r w:rsidRPr="005A3678">
        <w:rPr>
          <w:rFonts w:ascii="Arial" w:hAnsi="Arial" w:cs="Arial"/>
          <w:color w:val="6F2BE4"/>
        </w:rPr>
        <w:t>[LIST ALL DATES OF SERVICES, THE PROVIDER WHO PROVIDED SERVICES AND WHETHER THAT PROVIDER WAS IN THE PLAN’S NETWORK, AND ALL COST SHARING CHARGED. YOU CAN GET THIS INFORMATION FROM LOOKING AT BOTH YOUR EXPLANATION OF BENEFITS FROM YOUR INSURER AND YOUR PROVIDER PORTAL WHICH WILL LIST THE SPECIFIC SERVICES AND LABS PROVIDED. BE AS SPECIFIC AS POSSIBLE].</w:t>
      </w:r>
    </w:p>
    <w:p w14:paraId="43F2AB3F" w14:textId="51D0E544" w:rsidR="00311686" w:rsidRPr="00654EA8" w:rsidRDefault="00311686" w:rsidP="00311686">
      <w:pPr>
        <w:rPr>
          <w:rFonts w:ascii="Arial" w:hAnsi="Arial" w:cs="Arial"/>
        </w:rPr>
      </w:pPr>
    </w:p>
    <w:p w14:paraId="3B7F07F3" w14:textId="3E72A970" w:rsidR="00311686" w:rsidRPr="00654EA8" w:rsidRDefault="00311686" w:rsidP="00311686">
      <w:pPr>
        <w:rPr>
          <w:rFonts w:ascii="Arial" w:hAnsi="Arial" w:cs="Arial"/>
        </w:rPr>
      </w:pPr>
      <w:r w:rsidRPr="00654EA8">
        <w:rPr>
          <w:rFonts w:ascii="Arial" w:hAnsi="Arial" w:cs="Arial"/>
        </w:rPr>
        <w:t xml:space="preserve">According to federal law and according to the terms of my plan’s </w:t>
      </w:r>
      <w:r w:rsidR="009B532F" w:rsidRPr="00654EA8">
        <w:rPr>
          <w:rFonts w:ascii="Arial" w:hAnsi="Arial" w:cs="Arial"/>
        </w:rPr>
        <w:t>coverage documents</w:t>
      </w:r>
      <w:r w:rsidRPr="00654EA8">
        <w:rPr>
          <w:rFonts w:ascii="Arial" w:hAnsi="Arial" w:cs="Arial"/>
        </w:rPr>
        <w:t xml:space="preserve">, I should not have been charged any cost sharing associated with PrEP, a USPSTF Grade A recommended service. </w:t>
      </w:r>
      <w:r w:rsidR="00313C22" w:rsidRPr="00654EA8">
        <w:rPr>
          <w:rFonts w:ascii="Arial" w:hAnsi="Arial" w:cs="Arial"/>
        </w:rPr>
        <w:t xml:space="preserve">I request that </w:t>
      </w:r>
      <w:r w:rsidR="009B532F" w:rsidRPr="005A3678">
        <w:rPr>
          <w:rFonts w:ascii="Arial" w:hAnsi="Arial" w:cs="Arial"/>
          <w:color w:val="6F2BE4"/>
        </w:rPr>
        <w:t>[PLAN NAME]</w:t>
      </w:r>
      <w:r w:rsidR="00313C22" w:rsidRPr="005A3678">
        <w:rPr>
          <w:rFonts w:ascii="Arial" w:hAnsi="Arial" w:cs="Arial"/>
          <w:color w:val="6F2BE4"/>
        </w:rPr>
        <w:t xml:space="preserve"> </w:t>
      </w:r>
      <w:r w:rsidR="00871B69" w:rsidRPr="00654EA8">
        <w:rPr>
          <w:rFonts w:ascii="Arial" w:hAnsi="Arial" w:cs="Arial"/>
        </w:rPr>
        <w:t xml:space="preserve">immediately </w:t>
      </w:r>
      <w:r w:rsidR="00313C22" w:rsidRPr="00654EA8">
        <w:rPr>
          <w:rFonts w:ascii="Arial" w:hAnsi="Arial" w:cs="Arial"/>
        </w:rPr>
        <w:t xml:space="preserve">reimburse me for erroneous cost sharing already paid for PrEP and waive the remainder of cost sharing that </w:t>
      </w:r>
      <w:r w:rsidR="009B532F" w:rsidRPr="005A3678">
        <w:rPr>
          <w:rFonts w:ascii="Arial" w:hAnsi="Arial" w:cs="Arial"/>
          <w:color w:val="6F2BE4"/>
        </w:rPr>
        <w:t>[LAB AND/OR PROVIDER]</w:t>
      </w:r>
      <w:r w:rsidR="00313C22" w:rsidRPr="00654EA8">
        <w:rPr>
          <w:rFonts w:ascii="Arial" w:hAnsi="Arial" w:cs="Arial"/>
        </w:rPr>
        <w:t xml:space="preserve"> has billed me. I also request that </w:t>
      </w:r>
      <w:r w:rsidR="009B532F" w:rsidRPr="005A3678">
        <w:rPr>
          <w:rFonts w:ascii="Arial" w:hAnsi="Arial" w:cs="Arial"/>
          <w:color w:val="6F2BE4"/>
        </w:rPr>
        <w:t>[PLAN NAME]</w:t>
      </w:r>
      <w:r w:rsidR="00313C22" w:rsidRPr="00654EA8">
        <w:rPr>
          <w:rFonts w:ascii="Arial" w:hAnsi="Arial" w:cs="Arial"/>
        </w:rPr>
        <w:t xml:space="preserve"> </w:t>
      </w:r>
      <w:r w:rsidR="00871B69" w:rsidRPr="00654EA8">
        <w:rPr>
          <w:rFonts w:ascii="Arial" w:hAnsi="Arial" w:cs="Arial"/>
        </w:rPr>
        <w:t xml:space="preserve">swiftly </w:t>
      </w:r>
      <w:r w:rsidR="00313C22" w:rsidRPr="00654EA8">
        <w:rPr>
          <w:rFonts w:ascii="Arial" w:hAnsi="Arial" w:cs="Arial"/>
        </w:rPr>
        <w:t>adopt a coverage and cost-sharing policy for PrEP that is in line with federal law, regulation, and guidance</w:t>
      </w:r>
      <w:r w:rsidR="00BB37EA" w:rsidRPr="00654EA8">
        <w:rPr>
          <w:rFonts w:ascii="Arial" w:hAnsi="Arial" w:cs="Arial"/>
        </w:rPr>
        <w:t xml:space="preserve">, treating PrEP like it treats other </w:t>
      </w:r>
      <w:r w:rsidR="00871B69" w:rsidRPr="00654EA8">
        <w:rPr>
          <w:rFonts w:ascii="Arial" w:hAnsi="Arial" w:cs="Arial"/>
        </w:rPr>
        <w:t xml:space="preserve">ACA </w:t>
      </w:r>
      <w:r w:rsidR="00BB37EA" w:rsidRPr="00654EA8">
        <w:rPr>
          <w:rFonts w:ascii="Arial" w:hAnsi="Arial" w:cs="Arial"/>
        </w:rPr>
        <w:t>preventive services</w:t>
      </w:r>
      <w:r w:rsidR="00313C22" w:rsidRPr="00654EA8">
        <w:rPr>
          <w:rFonts w:ascii="Arial" w:hAnsi="Arial" w:cs="Arial"/>
        </w:rPr>
        <w:t>.</w:t>
      </w:r>
      <w:r w:rsidR="00BB37EA" w:rsidRPr="00654EA8">
        <w:rPr>
          <w:rFonts w:ascii="Arial" w:hAnsi="Arial" w:cs="Arial"/>
        </w:rPr>
        <w:t xml:space="preserve"> This must include allowing beneficiaries to access these preventive services without cost sharing at point of service and without an arduous appeals process. Treating PrEP differently from other covered preventive services raises concerns of discriminatory plan design in violation of 42 U.S.C. § 18116 and 45 CFR § 146.121.</w:t>
      </w:r>
      <w:r w:rsidR="002A3734" w:rsidRPr="00654EA8">
        <w:rPr>
          <w:rFonts w:ascii="Arial" w:hAnsi="Arial" w:cs="Arial"/>
        </w:rPr>
        <w:t xml:space="preserve"> </w:t>
      </w:r>
      <w:r w:rsidR="00871B69" w:rsidRPr="00654EA8">
        <w:rPr>
          <w:rFonts w:ascii="Arial" w:hAnsi="Arial" w:cs="Arial"/>
        </w:rPr>
        <w:t xml:space="preserve">Moreover, </w:t>
      </w:r>
      <w:r w:rsidR="002A3734" w:rsidRPr="00654EA8">
        <w:rPr>
          <w:rFonts w:ascii="Arial" w:hAnsi="Arial" w:cs="Arial"/>
        </w:rPr>
        <w:t>PrEP is a highly effective HIV prevention tool</w:t>
      </w:r>
      <w:r w:rsidR="00871B69" w:rsidRPr="00654EA8">
        <w:rPr>
          <w:rFonts w:ascii="Arial" w:hAnsi="Arial" w:cs="Arial"/>
        </w:rPr>
        <w:t xml:space="preserve">. The </w:t>
      </w:r>
      <w:r w:rsidR="002A3734" w:rsidRPr="00654EA8">
        <w:rPr>
          <w:rFonts w:ascii="Arial" w:hAnsi="Arial" w:cs="Arial"/>
        </w:rPr>
        <w:t xml:space="preserve">actions of </w:t>
      </w:r>
      <w:r w:rsidR="009B532F" w:rsidRPr="00FA0D96">
        <w:rPr>
          <w:rFonts w:ascii="Arial" w:hAnsi="Arial" w:cs="Arial"/>
          <w:color w:val="6F2BE4"/>
        </w:rPr>
        <w:t>[PLAN NAME]</w:t>
      </w:r>
      <w:r w:rsidR="00871B69" w:rsidRPr="00654EA8">
        <w:rPr>
          <w:rFonts w:ascii="Arial" w:hAnsi="Arial" w:cs="Arial"/>
        </w:rPr>
        <w:t>, however, create arbitrary financial and administrative barriers to PrEP and will undoubtedly have negative individual and public health consequences.</w:t>
      </w:r>
    </w:p>
    <w:p w14:paraId="51825AC5" w14:textId="10E12A5C" w:rsidR="00313C22" w:rsidRPr="00654EA8" w:rsidRDefault="00313C22" w:rsidP="00311686">
      <w:pPr>
        <w:rPr>
          <w:rFonts w:ascii="Arial" w:hAnsi="Arial" w:cs="Arial"/>
        </w:rPr>
      </w:pPr>
    </w:p>
    <w:p w14:paraId="76C2175D" w14:textId="613A047F" w:rsidR="00313C22" w:rsidRPr="00654EA8" w:rsidRDefault="00BB37EA" w:rsidP="00311686">
      <w:pPr>
        <w:rPr>
          <w:rFonts w:ascii="Arial" w:hAnsi="Arial" w:cs="Arial"/>
        </w:rPr>
      </w:pPr>
      <w:r w:rsidRPr="00654EA8">
        <w:rPr>
          <w:rFonts w:ascii="Arial" w:hAnsi="Arial" w:cs="Arial"/>
        </w:rPr>
        <w:t xml:space="preserve">Thank you for your prompt attention to this matter. </w:t>
      </w:r>
      <w:r w:rsidR="00313C22" w:rsidRPr="00654EA8">
        <w:rPr>
          <w:rFonts w:ascii="Arial" w:hAnsi="Arial" w:cs="Arial"/>
        </w:rPr>
        <w:t xml:space="preserve">I can be reached at </w:t>
      </w:r>
      <w:r w:rsidR="009B532F" w:rsidRPr="00FA0D96">
        <w:rPr>
          <w:rFonts w:ascii="Arial" w:hAnsi="Arial" w:cs="Arial"/>
          <w:color w:val="6F2BE4"/>
        </w:rPr>
        <w:t>[NUMBER AND EMAIL]</w:t>
      </w:r>
    </w:p>
    <w:p w14:paraId="18200C3C" w14:textId="2082190A" w:rsidR="00313C22" w:rsidRPr="00654EA8" w:rsidRDefault="00313C22" w:rsidP="00311686">
      <w:pPr>
        <w:rPr>
          <w:rFonts w:ascii="Arial" w:hAnsi="Arial" w:cs="Arial"/>
        </w:rPr>
      </w:pPr>
    </w:p>
    <w:p w14:paraId="3A0753CC" w14:textId="5A081959" w:rsidR="00313C22" w:rsidRPr="00654EA8" w:rsidRDefault="00313C22" w:rsidP="00311686">
      <w:pPr>
        <w:rPr>
          <w:rFonts w:ascii="Arial" w:hAnsi="Arial" w:cs="Arial"/>
        </w:rPr>
      </w:pPr>
      <w:r w:rsidRPr="00654EA8">
        <w:rPr>
          <w:rFonts w:ascii="Arial" w:hAnsi="Arial" w:cs="Arial"/>
        </w:rPr>
        <w:t xml:space="preserve">Sincerely, </w:t>
      </w:r>
    </w:p>
    <w:p w14:paraId="34B2E14A" w14:textId="096261A3" w:rsidR="00313C22" w:rsidRPr="00654EA8" w:rsidRDefault="00313C22" w:rsidP="00311686">
      <w:pPr>
        <w:rPr>
          <w:rFonts w:ascii="Arial" w:hAnsi="Arial" w:cs="Arial"/>
        </w:rPr>
      </w:pPr>
    </w:p>
    <w:p w14:paraId="4EB17366" w14:textId="0DEA4E19" w:rsidR="00313C22" w:rsidRPr="00654EA8" w:rsidRDefault="00313C22" w:rsidP="00311686">
      <w:pPr>
        <w:rPr>
          <w:rFonts w:ascii="Arial" w:hAnsi="Arial" w:cs="Arial"/>
        </w:rPr>
      </w:pPr>
    </w:p>
    <w:p w14:paraId="7A794BE9" w14:textId="02D182F0" w:rsidR="00853AD5" w:rsidRPr="00654EA8" w:rsidRDefault="00853AD5" w:rsidP="00311686">
      <w:pPr>
        <w:rPr>
          <w:rFonts w:ascii="Arial" w:hAnsi="Arial" w:cs="Arial"/>
        </w:rPr>
      </w:pPr>
      <w:r w:rsidRPr="00654EA8">
        <w:rPr>
          <w:rFonts w:ascii="Arial" w:hAnsi="Arial" w:cs="Arial"/>
        </w:rPr>
        <w:t xml:space="preserve"> </w:t>
      </w:r>
      <w:r w:rsidR="000B5D86" w:rsidRPr="00654EA8">
        <w:rPr>
          <w:rFonts w:ascii="Arial" w:hAnsi="Arial" w:cs="Arial"/>
        </w:rPr>
        <w:softHyphen/>
      </w:r>
    </w:p>
    <w:sectPr w:rsidR="00853AD5" w:rsidRPr="00654EA8" w:rsidSect="008F2660">
      <w:headerReference w:type="even" r:id="rId13"/>
      <w:headerReference w:type="default" r:id="rId14"/>
      <w:footerReference w:type="even" r:id="rId15"/>
      <w:footerReference w:type="default" r:id="rId16"/>
      <w:headerReference w:type="first" r:id="rId17"/>
      <w:footerReference w:type="first" r:id="rId18"/>
      <w:pgSz w:w="12240" w:h="15840"/>
      <w:pgMar w:top="1422" w:right="1296" w:bottom="46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A5EE8" w14:textId="77777777" w:rsidR="00FC1DBB" w:rsidRDefault="00FC1DBB" w:rsidP="00464008">
      <w:r>
        <w:separator/>
      </w:r>
    </w:p>
  </w:endnote>
  <w:endnote w:type="continuationSeparator" w:id="0">
    <w:p w14:paraId="6457F196" w14:textId="77777777" w:rsidR="00FC1DBB" w:rsidRDefault="00FC1DBB" w:rsidP="00464008">
      <w:r>
        <w:continuationSeparator/>
      </w:r>
    </w:p>
  </w:endnote>
  <w:endnote w:type="continuationNotice" w:id="1">
    <w:p w14:paraId="3D1ACC20" w14:textId="77777777" w:rsidR="00FC1DBB" w:rsidRDefault="00FC1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6C64" w14:textId="77777777" w:rsidR="002D0F45" w:rsidRDefault="002D0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F28B" w14:textId="77777777" w:rsidR="002D0F45" w:rsidRDefault="002D0F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15C2" w14:textId="77777777" w:rsidR="002D0F45" w:rsidRDefault="002D0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909D7" w14:textId="77777777" w:rsidR="00FC1DBB" w:rsidRDefault="00FC1DBB" w:rsidP="00464008">
      <w:r>
        <w:separator/>
      </w:r>
    </w:p>
  </w:footnote>
  <w:footnote w:type="continuationSeparator" w:id="0">
    <w:p w14:paraId="21F2E19D" w14:textId="77777777" w:rsidR="00FC1DBB" w:rsidRDefault="00FC1DBB" w:rsidP="00464008">
      <w:r>
        <w:continuationSeparator/>
      </w:r>
    </w:p>
  </w:footnote>
  <w:footnote w:type="continuationNotice" w:id="1">
    <w:p w14:paraId="2F088A83" w14:textId="77777777" w:rsidR="00FC1DBB" w:rsidRDefault="00FC1DBB"/>
  </w:footnote>
  <w:footnote w:id="2">
    <w:p w14:paraId="04FF8E57" w14:textId="7B1117A2" w:rsidR="008E44BB" w:rsidRDefault="008E44BB">
      <w:pPr>
        <w:pStyle w:val="FootnoteText"/>
      </w:pPr>
      <w:r>
        <w:rPr>
          <w:rStyle w:val="FootnoteReference"/>
        </w:rPr>
        <w:footnoteRef/>
      </w:r>
      <w:r>
        <w:t xml:space="preserve"> </w:t>
      </w:r>
      <w:r w:rsidR="003D6C9E" w:rsidRPr="001650EA">
        <w:rPr>
          <w:rFonts w:ascii="Calibri" w:hAnsi="Calibri"/>
        </w:rPr>
        <w:t xml:space="preserve">USPSTF, Final Recommendation Statement, Prevention of Human Immunodeficiency Virus (HIV) Infection: Preexposure Prophylaxis (June 2019) available at </w:t>
      </w:r>
      <w:hyperlink r:id="rId1" w:history="1">
        <w:r w:rsidR="003D6C9E" w:rsidRPr="001650EA">
          <w:rPr>
            <w:rStyle w:val="Hyperlink"/>
            <w:rFonts w:ascii="Calibri" w:hAnsi="Calibri"/>
          </w:rPr>
          <w:t>https://www.uspreventiveservicestaskforce.org/home/getfilebytoken/poDYcagnw7SqKNNbrFt_CV</w:t>
        </w:r>
      </w:hyperlink>
      <w:r w:rsidR="003D6C9E" w:rsidRPr="001650EA">
        <w:rPr>
          <w:rFonts w:ascii="Calibri" w:hAnsi="Calibri"/>
        </w:rPr>
        <w:t>.</w:t>
      </w:r>
    </w:p>
  </w:footnote>
  <w:footnote w:id="3">
    <w:p w14:paraId="021253EA" w14:textId="24DD3A68" w:rsidR="00464008" w:rsidRDefault="00464008">
      <w:pPr>
        <w:pStyle w:val="FootnoteText"/>
      </w:pPr>
      <w:r>
        <w:rPr>
          <w:rStyle w:val="FootnoteReference"/>
        </w:rPr>
        <w:footnoteRef/>
      </w:r>
      <w:r>
        <w:t xml:space="preserve"> Departments of Labor, Health and Human Services, and the Treasury, FAQs about ACA Implementation Part 47 (July 19, 2021), available at </w:t>
      </w:r>
      <w:hyperlink r:id="rId2" w:history="1">
        <w:r w:rsidRPr="00384EC1">
          <w:rPr>
            <w:rStyle w:val="Hyperlink"/>
          </w:rPr>
          <w:t>https://www.cms.gov/CCIIO/Resources/Fact-Sheets-and-FAQs/Downloads/FAQs-Part-47.pdf</w:t>
        </w:r>
      </w:hyperlink>
      <w:r>
        <w:t xml:space="preserve">. </w:t>
      </w:r>
    </w:p>
  </w:footnote>
  <w:footnote w:id="4">
    <w:p w14:paraId="109DAE47" w14:textId="5607F364" w:rsidR="008C63E0" w:rsidRDefault="008C63E0" w:rsidP="006A3AC3">
      <w:pPr>
        <w:pStyle w:val="FootnoteText"/>
      </w:pPr>
      <w:r>
        <w:rPr>
          <w:rStyle w:val="FootnoteReference"/>
        </w:rPr>
        <w:footnoteRef/>
      </w:r>
      <w:r>
        <w:t xml:space="preserve"> </w:t>
      </w:r>
      <w:r w:rsidR="006A3AC3">
        <w:t>US Public Health Service, Preexposure Prophylaxis for the Prevention of HIV Infection in the United States-</w:t>
      </w:r>
      <w:r w:rsidR="004008D6">
        <w:t xml:space="preserve">2021 Update: A Clinical Practice Guidelines (December 2021) available at </w:t>
      </w:r>
      <w:hyperlink r:id="rId3" w:history="1">
        <w:r w:rsidR="00047EC8" w:rsidRPr="00E66D22">
          <w:rPr>
            <w:rStyle w:val="Hyperlink"/>
          </w:rPr>
          <w:t>https://www.cdc.gov/hiv/pdf/risk/prep/cdc-hiv-prep-guidelines-2021.pdf</w:t>
        </w:r>
      </w:hyperlink>
      <w:r w:rsidR="00047EC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50C" w14:textId="77777777" w:rsidR="002D0F45" w:rsidRDefault="002D0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D6F6" w14:textId="4D9906B2" w:rsidR="002D0F45" w:rsidRDefault="002D0F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F40C" w14:textId="77777777" w:rsidR="002D0F45" w:rsidRDefault="002D0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45A"/>
    <w:multiLevelType w:val="hybridMultilevel"/>
    <w:tmpl w:val="02385AD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C573358"/>
    <w:multiLevelType w:val="hybridMultilevel"/>
    <w:tmpl w:val="E662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8A6F2D"/>
    <w:multiLevelType w:val="hybridMultilevel"/>
    <w:tmpl w:val="BF9A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055A76"/>
    <w:multiLevelType w:val="hybridMultilevel"/>
    <w:tmpl w:val="301C2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571FB1"/>
    <w:multiLevelType w:val="hybridMultilevel"/>
    <w:tmpl w:val="F4389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294995"/>
    <w:multiLevelType w:val="hybridMultilevel"/>
    <w:tmpl w:val="DF6A72A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4FE7F7F"/>
    <w:multiLevelType w:val="hybridMultilevel"/>
    <w:tmpl w:val="FE34A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8B781F"/>
    <w:multiLevelType w:val="hybridMultilevel"/>
    <w:tmpl w:val="5CE2A58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67346931">
    <w:abstractNumId w:val="2"/>
  </w:num>
  <w:num w:numId="2" w16cid:durableId="1046023668">
    <w:abstractNumId w:val="3"/>
  </w:num>
  <w:num w:numId="3" w16cid:durableId="2096707489">
    <w:abstractNumId w:val="4"/>
  </w:num>
  <w:num w:numId="4" w16cid:durableId="31544341">
    <w:abstractNumId w:val="1"/>
  </w:num>
  <w:num w:numId="5" w16cid:durableId="282659935">
    <w:abstractNumId w:val="6"/>
  </w:num>
  <w:num w:numId="6" w16cid:durableId="1552963351">
    <w:abstractNumId w:val="0"/>
  </w:num>
  <w:num w:numId="7" w16cid:durableId="1626623423">
    <w:abstractNumId w:val="7"/>
  </w:num>
  <w:num w:numId="8" w16cid:durableId="1490637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6F"/>
    <w:rsid w:val="00037005"/>
    <w:rsid w:val="00047EC8"/>
    <w:rsid w:val="00067B5E"/>
    <w:rsid w:val="000829DC"/>
    <w:rsid w:val="00084A32"/>
    <w:rsid w:val="000850D4"/>
    <w:rsid w:val="00090746"/>
    <w:rsid w:val="000958E0"/>
    <w:rsid w:val="000A061A"/>
    <w:rsid w:val="000B5D86"/>
    <w:rsid w:val="000E43F1"/>
    <w:rsid w:val="00100DDE"/>
    <w:rsid w:val="0010180E"/>
    <w:rsid w:val="00133539"/>
    <w:rsid w:val="00136CAA"/>
    <w:rsid w:val="00150E32"/>
    <w:rsid w:val="00195A7D"/>
    <w:rsid w:val="001B4101"/>
    <w:rsid w:val="001E5434"/>
    <w:rsid w:val="001E7720"/>
    <w:rsid w:val="0021375D"/>
    <w:rsid w:val="002319B3"/>
    <w:rsid w:val="002470CC"/>
    <w:rsid w:val="002A3734"/>
    <w:rsid w:val="002B63C3"/>
    <w:rsid w:val="002D0F45"/>
    <w:rsid w:val="002F45E5"/>
    <w:rsid w:val="00311686"/>
    <w:rsid w:val="00313C22"/>
    <w:rsid w:val="00315FB5"/>
    <w:rsid w:val="003315BF"/>
    <w:rsid w:val="00343ABC"/>
    <w:rsid w:val="003444FD"/>
    <w:rsid w:val="00360299"/>
    <w:rsid w:val="0039703B"/>
    <w:rsid w:val="003D6C9E"/>
    <w:rsid w:val="003E25DE"/>
    <w:rsid w:val="003E3A25"/>
    <w:rsid w:val="003F36F3"/>
    <w:rsid w:val="004008D6"/>
    <w:rsid w:val="00464008"/>
    <w:rsid w:val="00467E8C"/>
    <w:rsid w:val="00475B16"/>
    <w:rsid w:val="0049021D"/>
    <w:rsid w:val="004A23F8"/>
    <w:rsid w:val="004C78F3"/>
    <w:rsid w:val="004E17F8"/>
    <w:rsid w:val="004F2623"/>
    <w:rsid w:val="0053184C"/>
    <w:rsid w:val="0055308A"/>
    <w:rsid w:val="005A3678"/>
    <w:rsid w:val="005B6C71"/>
    <w:rsid w:val="005D6A59"/>
    <w:rsid w:val="005E0852"/>
    <w:rsid w:val="0060529C"/>
    <w:rsid w:val="00654EA8"/>
    <w:rsid w:val="0065757B"/>
    <w:rsid w:val="00692961"/>
    <w:rsid w:val="0069472C"/>
    <w:rsid w:val="006A066F"/>
    <w:rsid w:val="006A3AC3"/>
    <w:rsid w:val="006C7E39"/>
    <w:rsid w:val="006D6BC9"/>
    <w:rsid w:val="006E05F8"/>
    <w:rsid w:val="006F3FE5"/>
    <w:rsid w:val="00701CDD"/>
    <w:rsid w:val="00761908"/>
    <w:rsid w:val="00761EE6"/>
    <w:rsid w:val="00776F9A"/>
    <w:rsid w:val="007A2FFE"/>
    <w:rsid w:val="007B5EEE"/>
    <w:rsid w:val="007C1203"/>
    <w:rsid w:val="007F1333"/>
    <w:rsid w:val="00803BB5"/>
    <w:rsid w:val="008278F6"/>
    <w:rsid w:val="008446D8"/>
    <w:rsid w:val="00853AD5"/>
    <w:rsid w:val="008563A2"/>
    <w:rsid w:val="0086304A"/>
    <w:rsid w:val="00863686"/>
    <w:rsid w:val="00871B69"/>
    <w:rsid w:val="00875803"/>
    <w:rsid w:val="008928DC"/>
    <w:rsid w:val="0089458F"/>
    <w:rsid w:val="008A4566"/>
    <w:rsid w:val="008B64DB"/>
    <w:rsid w:val="008C3D93"/>
    <w:rsid w:val="008C63E0"/>
    <w:rsid w:val="008E44BB"/>
    <w:rsid w:val="008F2660"/>
    <w:rsid w:val="00907027"/>
    <w:rsid w:val="00910267"/>
    <w:rsid w:val="00932F8F"/>
    <w:rsid w:val="00934B7D"/>
    <w:rsid w:val="00992670"/>
    <w:rsid w:val="009B532F"/>
    <w:rsid w:val="009B58A0"/>
    <w:rsid w:val="009C1212"/>
    <w:rsid w:val="009E0F16"/>
    <w:rsid w:val="00A56E07"/>
    <w:rsid w:val="00AA0CD9"/>
    <w:rsid w:val="00B47CD3"/>
    <w:rsid w:val="00B645EF"/>
    <w:rsid w:val="00BA6517"/>
    <w:rsid w:val="00BA6A77"/>
    <w:rsid w:val="00BB37EA"/>
    <w:rsid w:val="00BF21E6"/>
    <w:rsid w:val="00C818A9"/>
    <w:rsid w:val="00CE32C3"/>
    <w:rsid w:val="00CF69F3"/>
    <w:rsid w:val="00D1519E"/>
    <w:rsid w:val="00D41219"/>
    <w:rsid w:val="00D53BFD"/>
    <w:rsid w:val="00D875B4"/>
    <w:rsid w:val="00E03669"/>
    <w:rsid w:val="00E04EED"/>
    <w:rsid w:val="00E61EE8"/>
    <w:rsid w:val="00E71AA5"/>
    <w:rsid w:val="00E83271"/>
    <w:rsid w:val="00EB7434"/>
    <w:rsid w:val="00ED3B3C"/>
    <w:rsid w:val="00EE3029"/>
    <w:rsid w:val="00F01EBE"/>
    <w:rsid w:val="00F07C5D"/>
    <w:rsid w:val="00F267E7"/>
    <w:rsid w:val="00F42BC4"/>
    <w:rsid w:val="00F45861"/>
    <w:rsid w:val="00F84722"/>
    <w:rsid w:val="00FA0D96"/>
    <w:rsid w:val="00FC1DBB"/>
    <w:rsid w:val="00FC435B"/>
    <w:rsid w:val="00FC5194"/>
    <w:rsid w:val="00FD1DE7"/>
    <w:rsid w:val="00FE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D637B"/>
  <w15:chartTrackingRefBased/>
  <w15:docId w15:val="{0983CE35-72C3-4472-8F5C-9CC5E340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A59"/>
    <w:rPr>
      <w:rFonts w:ascii="Times New Roman" w:eastAsia="Times New Roman" w:hAnsi="Times New Roman" w:cs="Times New Roman"/>
    </w:rPr>
  </w:style>
  <w:style w:type="paragraph" w:styleId="Heading1">
    <w:name w:val="heading 1"/>
    <w:basedOn w:val="Normal"/>
    <w:next w:val="Normal"/>
    <w:link w:val="Heading1Char"/>
    <w:uiPriority w:val="9"/>
    <w:qFormat/>
    <w:rsid w:val="00BB37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0CD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A0CD9"/>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AA0CD9"/>
    <w:rPr>
      <w:color w:val="0563C1" w:themeColor="hyperlink"/>
      <w:u w:val="single"/>
    </w:rPr>
  </w:style>
  <w:style w:type="character" w:styleId="UnresolvedMention">
    <w:name w:val="Unresolved Mention"/>
    <w:basedOn w:val="DefaultParagraphFont"/>
    <w:uiPriority w:val="99"/>
    <w:semiHidden/>
    <w:unhideWhenUsed/>
    <w:rsid w:val="00AA0CD9"/>
    <w:rPr>
      <w:color w:val="605E5C"/>
      <w:shd w:val="clear" w:color="auto" w:fill="E1DFDD"/>
    </w:rPr>
  </w:style>
  <w:style w:type="character" w:styleId="FollowedHyperlink">
    <w:name w:val="FollowedHyperlink"/>
    <w:basedOn w:val="DefaultParagraphFont"/>
    <w:uiPriority w:val="99"/>
    <w:semiHidden/>
    <w:unhideWhenUsed/>
    <w:rsid w:val="00AA0CD9"/>
    <w:rPr>
      <w:color w:val="954F72" w:themeColor="followedHyperlink"/>
      <w:u w:val="single"/>
    </w:rPr>
  </w:style>
  <w:style w:type="paragraph" w:styleId="ListParagraph">
    <w:name w:val="List Paragraph"/>
    <w:basedOn w:val="Normal"/>
    <w:uiPriority w:val="34"/>
    <w:qFormat/>
    <w:rsid w:val="00803BB5"/>
    <w:pPr>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unhideWhenUsed/>
    <w:rsid w:val="0046400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64008"/>
    <w:rPr>
      <w:sz w:val="20"/>
      <w:szCs w:val="20"/>
    </w:rPr>
  </w:style>
  <w:style w:type="character" w:styleId="FootnoteReference">
    <w:name w:val="footnote reference"/>
    <w:basedOn w:val="DefaultParagraphFont"/>
    <w:uiPriority w:val="99"/>
    <w:unhideWhenUsed/>
    <w:rsid w:val="00464008"/>
    <w:rPr>
      <w:vertAlign w:val="superscript"/>
    </w:rPr>
  </w:style>
  <w:style w:type="character" w:customStyle="1" w:styleId="Heading1Char">
    <w:name w:val="Heading 1 Char"/>
    <w:basedOn w:val="DefaultParagraphFont"/>
    <w:link w:val="Heading1"/>
    <w:uiPriority w:val="9"/>
    <w:rsid w:val="00BB37EA"/>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CE32C3"/>
    <w:rPr>
      <w:sz w:val="16"/>
      <w:szCs w:val="16"/>
    </w:rPr>
  </w:style>
  <w:style w:type="paragraph" w:styleId="CommentText">
    <w:name w:val="annotation text"/>
    <w:basedOn w:val="Normal"/>
    <w:link w:val="CommentTextChar"/>
    <w:uiPriority w:val="99"/>
    <w:semiHidden/>
    <w:unhideWhenUsed/>
    <w:rsid w:val="00CE32C3"/>
    <w:rPr>
      <w:sz w:val="20"/>
      <w:szCs w:val="20"/>
    </w:rPr>
  </w:style>
  <w:style w:type="character" w:customStyle="1" w:styleId="CommentTextChar">
    <w:name w:val="Comment Text Char"/>
    <w:basedOn w:val="DefaultParagraphFont"/>
    <w:link w:val="CommentText"/>
    <w:uiPriority w:val="99"/>
    <w:semiHidden/>
    <w:rsid w:val="00CE32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32C3"/>
    <w:rPr>
      <w:b/>
      <w:bCs/>
    </w:rPr>
  </w:style>
  <w:style w:type="character" w:customStyle="1" w:styleId="CommentSubjectChar">
    <w:name w:val="Comment Subject Char"/>
    <w:basedOn w:val="CommentTextChar"/>
    <w:link w:val="CommentSubject"/>
    <w:uiPriority w:val="99"/>
    <w:semiHidden/>
    <w:rsid w:val="00CE32C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875B4"/>
    <w:pPr>
      <w:tabs>
        <w:tab w:val="center" w:pos="4680"/>
        <w:tab w:val="right" w:pos="9360"/>
      </w:tabs>
    </w:pPr>
  </w:style>
  <w:style w:type="character" w:customStyle="1" w:styleId="HeaderChar">
    <w:name w:val="Header Char"/>
    <w:basedOn w:val="DefaultParagraphFont"/>
    <w:link w:val="Header"/>
    <w:uiPriority w:val="99"/>
    <w:rsid w:val="00D875B4"/>
    <w:rPr>
      <w:rFonts w:ascii="Times New Roman" w:eastAsia="Times New Roman" w:hAnsi="Times New Roman" w:cs="Times New Roman"/>
    </w:rPr>
  </w:style>
  <w:style w:type="paragraph" w:styleId="Footer">
    <w:name w:val="footer"/>
    <w:basedOn w:val="Normal"/>
    <w:link w:val="FooterChar"/>
    <w:uiPriority w:val="99"/>
    <w:unhideWhenUsed/>
    <w:rsid w:val="00D875B4"/>
    <w:pPr>
      <w:tabs>
        <w:tab w:val="center" w:pos="4680"/>
        <w:tab w:val="right" w:pos="9360"/>
      </w:tabs>
    </w:pPr>
  </w:style>
  <w:style w:type="character" w:customStyle="1" w:styleId="FooterChar">
    <w:name w:val="Footer Char"/>
    <w:basedOn w:val="DefaultParagraphFont"/>
    <w:link w:val="Footer"/>
    <w:uiPriority w:val="99"/>
    <w:rsid w:val="00D875B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84544">
      <w:bodyDiv w:val="1"/>
      <w:marLeft w:val="0"/>
      <w:marRight w:val="0"/>
      <w:marTop w:val="0"/>
      <w:marBottom w:val="0"/>
      <w:divBdr>
        <w:top w:val="none" w:sz="0" w:space="0" w:color="auto"/>
        <w:left w:val="none" w:sz="0" w:space="0" w:color="auto"/>
        <w:bottom w:val="none" w:sz="0" w:space="0" w:color="auto"/>
        <w:right w:val="none" w:sz="0" w:space="0" w:color="auto"/>
      </w:divBdr>
    </w:div>
    <w:div w:id="1687322252">
      <w:bodyDiv w:val="1"/>
      <w:marLeft w:val="0"/>
      <w:marRight w:val="0"/>
      <w:marTop w:val="0"/>
      <w:marBottom w:val="0"/>
      <w:divBdr>
        <w:top w:val="none" w:sz="0" w:space="0" w:color="auto"/>
        <w:left w:val="none" w:sz="0" w:space="0" w:color="auto"/>
        <w:bottom w:val="none" w:sz="0" w:space="0" w:color="auto"/>
        <w:right w:val="none" w:sz="0" w:space="0" w:color="auto"/>
      </w:divBdr>
    </w:div>
    <w:div w:id="1724522097">
      <w:bodyDiv w:val="1"/>
      <w:marLeft w:val="0"/>
      <w:marRight w:val="0"/>
      <w:marTop w:val="0"/>
      <w:marBottom w:val="0"/>
      <w:divBdr>
        <w:top w:val="none" w:sz="0" w:space="0" w:color="auto"/>
        <w:left w:val="none" w:sz="0" w:space="0" w:color="auto"/>
        <w:bottom w:val="none" w:sz="0" w:space="0" w:color="auto"/>
        <w:right w:val="none" w:sz="0" w:space="0" w:color="auto"/>
      </w:divBdr>
    </w:div>
    <w:div w:id="1814368608">
      <w:bodyDiv w:val="1"/>
      <w:marLeft w:val="0"/>
      <w:marRight w:val="0"/>
      <w:marTop w:val="0"/>
      <w:marBottom w:val="0"/>
      <w:divBdr>
        <w:top w:val="none" w:sz="0" w:space="0" w:color="auto"/>
        <w:left w:val="none" w:sz="0" w:space="0" w:color="auto"/>
        <w:bottom w:val="none" w:sz="0" w:space="0" w:color="auto"/>
        <w:right w:val="none" w:sz="0" w:space="0" w:color="auto"/>
      </w:divBdr>
    </w:div>
    <w:div w:id="1994947487">
      <w:bodyDiv w:val="1"/>
      <w:marLeft w:val="0"/>
      <w:marRight w:val="0"/>
      <w:marTop w:val="0"/>
      <w:marBottom w:val="0"/>
      <w:divBdr>
        <w:top w:val="none" w:sz="0" w:space="0" w:color="auto"/>
        <w:left w:val="none" w:sz="0" w:space="0" w:color="auto"/>
        <w:bottom w:val="none" w:sz="0" w:space="0" w:color="auto"/>
        <w:right w:val="none" w:sz="0" w:space="0" w:color="auto"/>
      </w:divBdr>
    </w:div>
    <w:div w:id="2035888401">
      <w:bodyDiv w:val="1"/>
      <w:marLeft w:val="0"/>
      <w:marRight w:val="0"/>
      <w:marTop w:val="0"/>
      <w:marBottom w:val="0"/>
      <w:divBdr>
        <w:top w:val="none" w:sz="0" w:space="0" w:color="auto"/>
        <w:left w:val="none" w:sz="0" w:space="0" w:color="auto"/>
        <w:bottom w:val="none" w:sz="0" w:space="0" w:color="auto"/>
        <w:right w:val="none" w:sz="0" w:space="0" w:color="auto"/>
      </w:divBdr>
    </w:div>
    <w:div w:id="205588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kebsa.dol.gov/WebIntake/?_ga=2.228831390.345169218.1649512453-291991894.164951245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ntent.naic.org/consumer.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hiv/pdf/risk/prep/cdc-hiv-prep-guidelines-2021.pdf" TargetMode="External"/><Relationship Id="rId2" Type="http://schemas.openxmlformats.org/officeDocument/2006/relationships/hyperlink" Target="https://www.cms.gov/CCIIO/Resources/Fact-Sheets-and-FAQs/Downloads/FAQs-Part-47.pdf" TargetMode="External"/><Relationship Id="rId1" Type="http://schemas.openxmlformats.org/officeDocument/2006/relationships/hyperlink" Target="https://www.uspreventiveservicestaskforce.org/home/getfilebytoken/poDYcagnw7SqKNNbrFt_C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381CD-27EE-EC48-9F12-4C307433A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Links>
    <vt:vector size="30" baseType="variant">
      <vt:variant>
        <vt:i4>3604563</vt:i4>
      </vt:variant>
      <vt:variant>
        <vt:i4>3</vt:i4>
      </vt:variant>
      <vt:variant>
        <vt:i4>0</vt:i4>
      </vt:variant>
      <vt:variant>
        <vt:i4>5</vt:i4>
      </vt:variant>
      <vt:variant>
        <vt:lpwstr>https://www.askebsa.dol.gov/WebIntake/?_ga=2.228831390.345169218.1649512453-291991894.1649512453</vt:lpwstr>
      </vt:variant>
      <vt:variant>
        <vt:lpwstr/>
      </vt:variant>
      <vt:variant>
        <vt:i4>458819</vt:i4>
      </vt:variant>
      <vt:variant>
        <vt:i4>0</vt:i4>
      </vt:variant>
      <vt:variant>
        <vt:i4>0</vt:i4>
      </vt:variant>
      <vt:variant>
        <vt:i4>5</vt:i4>
      </vt:variant>
      <vt:variant>
        <vt:lpwstr>https://content.naic.org/consumer.htm</vt:lpwstr>
      </vt:variant>
      <vt:variant>
        <vt:lpwstr/>
      </vt:variant>
      <vt:variant>
        <vt:i4>2424953</vt:i4>
      </vt:variant>
      <vt:variant>
        <vt:i4>6</vt:i4>
      </vt:variant>
      <vt:variant>
        <vt:i4>0</vt:i4>
      </vt:variant>
      <vt:variant>
        <vt:i4>5</vt:i4>
      </vt:variant>
      <vt:variant>
        <vt:lpwstr>https://www.cdc.gov/hiv/pdf/risk/prep/cdc-hiv-prep-guidelines-2021.pdf</vt:lpwstr>
      </vt:variant>
      <vt:variant>
        <vt:lpwstr/>
      </vt:variant>
      <vt:variant>
        <vt:i4>7012468</vt:i4>
      </vt:variant>
      <vt:variant>
        <vt:i4>3</vt:i4>
      </vt:variant>
      <vt:variant>
        <vt:i4>0</vt:i4>
      </vt:variant>
      <vt:variant>
        <vt:i4>5</vt:i4>
      </vt:variant>
      <vt:variant>
        <vt:lpwstr>https://www.cms.gov/CCIIO/Resources/Fact-Sheets-and-FAQs/Downloads/FAQs-Part-47.pdf</vt:lpwstr>
      </vt:variant>
      <vt:variant>
        <vt:lpwstr/>
      </vt:variant>
      <vt:variant>
        <vt:i4>8257558</vt:i4>
      </vt:variant>
      <vt:variant>
        <vt:i4>0</vt:i4>
      </vt:variant>
      <vt:variant>
        <vt:i4>0</vt:i4>
      </vt:variant>
      <vt:variant>
        <vt:i4>5</vt:i4>
      </vt:variant>
      <vt:variant>
        <vt:lpwstr>https://www.uspreventiveservicestaskforce.org/home/getfilebytoken/poDYcagnw7SqKNNbrFt_CV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Killelea</dc:creator>
  <cp:keywords/>
  <dc:description/>
  <cp:lastModifiedBy>Knapp Alicia T</cp:lastModifiedBy>
  <cp:revision>2</cp:revision>
  <dcterms:created xsi:type="dcterms:W3CDTF">2023-11-13T16:24:00Z</dcterms:created>
  <dcterms:modified xsi:type="dcterms:W3CDTF">2023-11-13T16:24:00Z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2023-11-13T16:19:42Z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ce4755f7-3a27-4f21-83ac-a6de5d84cff8</vt:lpwstr>
  </property>
  <property fmtid="{D5CDD505-2E9C-101B-9397-08002B2CF9AE}" pid="8" name="MSIP_Label_ebdd6eeb-0dd0-4927-947e-a759f08fcf55_ContentBits">
    <vt:lpwstr>0</vt:lpwstr>
  </property>
</Properties>
</file>