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ightGrid-Accent1"/>
        <w:tblpPr w:leftFromText="180" w:rightFromText="180" w:vertAnchor="text" w:horzAnchor="page" w:tblpX="1369" w:tblpY="-179"/>
        <w:tblW w:w="0" w:type="auto"/>
        <w:tblLayout w:type="fixed"/>
        <w:tblLook w:val="04A0" w:firstRow="1" w:lastRow="0" w:firstColumn="1" w:lastColumn="0" w:noHBand="0" w:noVBand="1"/>
      </w:tblPr>
      <w:tblGrid>
        <w:gridCol w:w="1996"/>
        <w:gridCol w:w="5312"/>
        <w:gridCol w:w="5868"/>
      </w:tblGrid>
      <w:tr w:rsidR="0028610F" w14:paraId="5A70DF4E" w14:textId="77777777" w:rsidTr="009430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76" w:type="dxa"/>
            <w:gridSpan w:val="3"/>
          </w:tcPr>
          <w:p w14:paraId="29E90DD7" w14:textId="77777777" w:rsidR="0028610F" w:rsidRPr="00477CCB" w:rsidRDefault="007602EE" w:rsidP="0028610F">
            <w:pPr>
              <w:rPr>
                <w:b w:val="0"/>
              </w:rPr>
            </w:pPr>
            <w:bookmarkStart w:id="0" w:name="_GoBack"/>
            <w:bookmarkEnd w:id="0"/>
            <w:r w:rsidRPr="00A41013">
              <w:t>Policy:</w:t>
            </w:r>
            <w:r w:rsidR="00477CCB">
              <w:t xml:space="preserve"> </w:t>
            </w:r>
            <w:r w:rsidR="00477CCB" w:rsidRPr="00477CCB">
              <w:rPr>
                <w:b w:val="0"/>
              </w:rPr>
              <w:t>Oregon School Immunization Rules</w:t>
            </w:r>
          </w:p>
          <w:p w14:paraId="6CC4B8E2" w14:textId="77777777" w:rsidR="00477CCB" w:rsidRPr="00A41013" w:rsidRDefault="00477CCB" w:rsidP="0028610F">
            <w:r w:rsidRPr="00477CCB">
              <w:rPr>
                <w:b w:val="0"/>
              </w:rPr>
              <w:t>http://arcweb.sos.state.or.us/pages/rules/oars_300/oar_333/333_050.html</w:t>
            </w:r>
          </w:p>
          <w:p w14:paraId="51F5B6C1" w14:textId="77777777" w:rsidR="0028610F" w:rsidRPr="00A41013" w:rsidRDefault="0028610F" w:rsidP="0028610F"/>
        </w:tc>
      </w:tr>
      <w:tr w:rsidR="0028610F" w14:paraId="0CBFB9B6" w14:textId="77777777" w:rsidTr="009430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76" w:type="dxa"/>
            <w:gridSpan w:val="3"/>
          </w:tcPr>
          <w:p w14:paraId="3733A155" w14:textId="77777777" w:rsidR="0028610F" w:rsidRDefault="0028610F" w:rsidP="0028610F">
            <w:pPr>
              <w:ind w:left="360"/>
            </w:pPr>
            <w:r w:rsidRPr="00A41013">
              <w:t xml:space="preserve">Specific Policy </w:t>
            </w:r>
            <w:r w:rsidR="007602EE" w:rsidRPr="00A41013">
              <w:t xml:space="preserve">Review </w:t>
            </w:r>
            <w:r w:rsidRPr="00A41013">
              <w:t>Goal:</w:t>
            </w:r>
          </w:p>
          <w:p w14:paraId="52C1063B" w14:textId="77777777" w:rsidR="00A41013" w:rsidRPr="00A41013" w:rsidRDefault="00A41013" w:rsidP="0028610F">
            <w:pPr>
              <w:ind w:left="360"/>
            </w:pPr>
          </w:p>
          <w:p w14:paraId="5218E2CB" w14:textId="77777777" w:rsidR="0028610F" w:rsidRPr="00D1112D" w:rsidRDefault="0028610F" w:rsidP="00D1112D"/>
          <w:p w14:paraId="1FC16C07" w14:textId="77777777" w:rsidR="0028610F" w:rsidRPr="00477CCB" w:rsidRDefault="0028610F" w:rsidP="00477CCB">
            <w:pPr>
              <w:pStyle w:val="ListParagraph"/>
              <w:numPr>
                <w:ilvl w:val="0"/>
                <w:numId w:val="3"/>
              </w:numPr>
            </w:pPr>
            <w:r w:rsidRPr="00477CCB">
              <w:t xml:space="preserve">Review of existing policy </w:t>
            </w:r>
          </w:p>
          <w:p w14:paraId="5A59F9B2" w14:textId="77777777" w:rsidR="0028610F" w:rsidRDefault="0028610F" w:rsidP="00D1112D">
            <w:pPr>
              <w:pStyle w:val="ListParagraph"/>
              <w:numPr>
                <w:ilvl w:val="0"/>
                <w:numId w:val="1"/>
              </w:numPr>
            </w:pPr>
            <w:r w:rsidRPr="00A41013">
              <w:t>Review of potential policy</w:t>
            </w:r>
          </w:p>
          <w:p w14:paraId="48CD017F" w14:textId="77777777" w:rsidR="00D1112D" w:rsidRDefault="00D1112D" w:rsidP="00D1112D">
            <w:pPr>
              <w:pStyle w:val="ListParagraph"/>
            </w:pPr>
          </w:p>
          <w:p w14:paraId="7BBF4B30" w14:textId="77777777" w:rsidR="00477CCB" w:rsidRPr="0094309A" w:rsidRDefault="00477CCB" w:rsidP="00D1112D">
            <w:pPr>
              <w:pStyle w:val="ListParagraph"/>
              <w:rPr>
                <w:rFonts w:eastAsia="Times New Roman" w:cs="Times New Roman"/>
                <w:b w:val="0"/>
              </w:rPr>
            </w:pPr>
            <w:r w:rsidRPr="0094309A">
              <w:rPr>
                <w:b w:val="0"/>
              </w:rPr>
              <w:t xml:space="preserve">Evidence Based Recommendations: </w:t>
            </w:r>
            <w:r w:rsidRPr="0094309A">
              <w:rPr>
                <w:rFonts w:eastAsia="Times New Roman" w:cs="Times New Roman"/>
                <w:b w:val="0"/>
              </w:rPr>
              <w:t xml:space="preserve"> Guide to Community Preventive Services. Universally recommended vaccinations: vaccination requirements for </w:t>
            </w:r>
            <w:proofErr w:type="gramStart"/>
            <w:r w:rsidRPr="0094309A">
              <w:rPr>
                <w:rFonts w:eastAsia="Times New Roman" w:cs="Times New Roman"/>
                <w:b w:val="0"/>
              </w:rPr>
              <w:t>child care</w:t>
            </w:r>
            <w:proofErr w:type="gramEnd"/>
            <w:r w:rsidRPr="0094309A">
              <w:rPr>
                <w:rFonts w:eastAsia="Times New Roman" w:cs="Times New Roman"/>
                <w:b w:val="0"/>
              </w:rPr>
              <w:t xml:space="preserve">, school, and college attendance (abbreviated). </w:t>
            </w:r>
            <w:hyperlink r:id="rId9" w:history="1">
              <w:r w:rsidRPr="0094309A">
                <w:rPr>
                  <w:rStyle w:val="Hyperlink"/>
                  <w:rFonts w:eastAsia="Times New Roman" w:cs="Times New Roman"/>
                  <w:b w:val="0"/>
                </w:rPr>
                <w:t>www.thecommunityguide.org/vaccines/universally/requirements_school.html</w:t>
              </w:r>
            </w:hyperlink>
            <w:r w:rsidRPr="0094309A">
              <w:rPr>
                <w:rFonts w:eastAsia="Times New Roman" w:cs="Times New Roman"/>
                <w:b w:val="0"/>
              </w:rPr>
              <w:t>. Last updated: 06/2009.</w:t>
            </w:r>
          </w:p>
          <w:p w14:paraId="74B45969" w14:textId="77777777" w:rsidR="00DF3B86" w:rsidRPr="0094309A" w:rsidRDefault="00DF3B86" w:rsidP="00D1112D">
            <w:pPr>
              <w:pStyle w:val="ListParagraph"/>
              <w:rPr>
                <w:rFonts w:eastAsia="Times New Roman" w:cs="Times New Roman"/>
                <w:b w:val="0"/>
              </w:rPr>
            </w:pPr>
          </w:p>
          <w:p w14:paraId="45D6FD6A" w14:textId="77777777" w:rsidR="00DF3B86" w:rsidRPr="0094309A" w:rsidRDefault="00DF3B86" w:rsidP="00D1112D">
            <w:pPr>
              <w:pStyle w:val="ListParagraph"/>
              <w:rPr>
                <w:rFonts w:eastAsia="Times New Roman" w:cs="Times New Roman"/>
                <w:b w:val="0"/>
              </w:rPr>
            </w:pPr>
            <w:r w:rsidRPr="0094309A">
              <w:rPr>
                <w:rFonts w:eastAsia="Times New Roman" w:cs="Times New Roman"/>
                <w:b w:val="0"/>
              </w:rPr>
              <w:t>http://www.thecommunityguide.org/vaccines/universally/RRrequirements_school.html</w:t>
            </w:r>
          </w:p>
          <w:p w14:paraId="63C4B77A" w14:textId="77777777" w:rsidR="00477CCB" w:rsidRPr="00D1112D" w:rsidRDefault="00477CCB" w:rsidP="00D1112D">
            <w:pPr>
              <w:pStyle w:val="ListParagraph"/>
            </w:pPr>
          </w:p>
        </w:tc>
      </w:tr>
      <w:tr w:rsidR="0094309A" w14:paraId="0FFFA3D6" w14:textId="77777777" w:rsidTr="0094309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6" w:type="dxa"/>
          </w:tcPr>
          <w:p w14:paraId="32442E4B" w14:textId="77777777" w:rsidR="0028610F" w:rsidRPr="00A41013" w:rsidRDefault="0028610F" w:rsidP="0028610F">
            <w:r w:rsidRPr="00A41013">
              <w:t>Policy Elements</w:t>
            </w:r>
          </w:p>
        </w:tc>
        <w:tc>
          <w:tcPr>
            <w:tcW w:w="5312" w:type="dxa"/>
          </w:tcPr>
          <w:p w14:paraId="7CB0CF68" w14:textId="77777777" w:rsidR="0028610F" w:rsidRPr="00A41013" w:rsidRDefault="0028610F" w:rsidP="0028610F">
            <w:pPr>
              <w:cnfStyle w:val="000000010000" w:firstRow="0" w:lastRow="0" w:firstColumn="0" w:lastColumn="0" w:oddVBand="0" w:evenVBand="0" w:oddHBand="0" w:evenHBand="1" w:firstRowFirstColumn="0" w:firstRowLastColumn="0" w:lastRowFirstColumn="0" w:lastRowLastColumn="0"/>
              <w:rPr>
                <w:rFonts w:asciiTheme="majorHAnsi" w:hAnsiTheme="majorHAnsi"/>
                <w:b/>
              </w:rPr>
            </w:pPr>
            <w:r w:rsidRPr="00A41013">
              <w:rPr>
                <w:rFonts w:asciiTheme="majorHAnsi" w:hAnsiTheme="majorHAnsi"/>
                <w:b/>
              </w:rPr>
              <w:t>Key Questions</w:t>
            </w:r>
          </w:p>
        </w:tc>
        <w:tc>
          <w:tcPr>
            <w:tcW w:w="5868" w:type="dxa"/>
          </w:tcPr>
          <w:p w14:paraId="2611B2A8" w14:textId="77777777" w:rsidR="0028610F" w:rsidRPr="00A41013" w:rsidRDefault="0028610F" w:rsidP="0028610F">
            <w:pPr>
              <w:cnfStyle w:val="000000010000" w:firstRow="0" w:lastRow="0" w:firstColumn="0" w:lastColumn="0" w:oddVBand="0" w:evenVBand="0" w:oddHBand="0" w:evenHBand="1" w:firstRowFirstColumn="0" w:firstRowLastColumn="0" w:lastRowFirstColumn="0" w:lastRowLastColumn="0"/>
              <w:rPr>
                <w:rFonts w:asciiTheme="majorHAnsi" w:hAnsiTheme="majorHAnsi"/>
                <w:b/>
              </w:rPr>
            </w:pPr>
            <w:r w:rsidRPr="00A41013">
              <w:rPr>
                <w:rFonts w:asciiTheme="majorHAnsi" w:hAnsiTheme="majorHAnsi"/>
                <w:b/>
              </w:rPr>
              <w:t>Discussion &amp; Review Notes</w:t>
            </w:r>
          </w:p>
        </w:tc>
      </w:tr>
      <w:tr w:rsidR="0094309A" w14:paraId="15DFFB26" w14:textId="77777777" w:rsidTr="009430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6" w:type="dxa"/>
          </w:tcPr>
          <w:p w14:paraId="5D3D032F" w14:textId="77777777" w:rsidR="0028610F" w:rsidRPr="00A41013" w:rsidRDefault="0028610F" w:rsidP="0028610F"/>
          <w:p w14:paraId="08B015FE" w14:textId="77777777" w:rsidR="0028610F" w:rsidRPr="00A41013" w:rsidRDefault="00A41013" w:rsidP="0028610F">
            <w:r>
              <w:t>Evidence-</w:t>
            </w:r>
            <w:r w:rsidR="00D1112D">
              <w:t>Based &amp; Best P</w:t>
            </w:r>
            <w:r w:rsidR="0028610F" w:rsidRPr="00A41013">
              <w:t>ractice</w:t>
            </w:r>
            <w:r>
              <w:t>s</w:t>
            </w:r>
          </w:p>
          <w:p w14:paraId="664864AC" w14:textId="77777777" w:rsidR="0028610F" w:rsidRPr="00A41013" w:rsidRDefault="0028610F" w:rsidP="0028610F"/>
        </w:tc>
        <w:tc>
          <w:tcPr>
            <w:tcW w:w="5312" w:type="dxa"/>
          </w:tcPr>
          <w:p w14:paraId="024B0B8E" w14:textId="77777777" w:rsidR="0028610F" w:rsidRPr="00A41013" w:rsidRDefault="0028610F" w:rsidP="0028610F">
            <w:pPr>
              <w:widowControl w:val="0"/>
              <w:autoSpaceDE w:val="0"/>
              <w:autoSpaceDN w:val="0"/>
              <w:adjustRightInd w:val="0"/>
              <w:spacing w:after="240"/>
              <w:cnfStyle w:val="000000100000" w:firstRow="0" w:lastRow="0" w:firstColumn="0" w:lastColumn="0" w:oddVBand="0" w:evenVBand="0" w:oddHBand="1" w:evenHBand="0" w:firstRowFirstColumn="0" w:firstRowLastColumn="0" w:lastRowFirstColumn="0" w:lastRowLastColumn="0"/>
              <w:rPr>
                <w:rFonts w:asciiTheme="majorHAnsi" w:hAnsiTheme="majorHAnsi" w:cs="Helvetica Light"/>
              </w:rPr>
            </w:pPr>
            <w:r w:rsidRPr="00A41013">
              <w:rPr>
                <w:rFonts w:asciiTheme="majorHAnsi" w:hAnsiTheme="majorHAnsi" w:cs="Helvetica Light"/>
              </w:rPr>
              <w:t>Is the policy consistent with evidence-based public health and newly emerging public health issues and information?</w:t>
            </w:r>
          </w:p>
        </w:tc>
        <w:tc>
          <w:tcPr>
            <w:tcW w:w="5868" w:type="dxa"/>
          </w:tcPr>
          <w:p w14:paraId="1406FDBC" w14:textId="77777777" w:rsidR="0028610F" w:rsidRPr="00107181" w:rsidRDefault="00DF3B86" w:rsidP="00DF3B86">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22"/>
                <w:szCs w:val="22"/>
              </w:rPr>
            </w:pPr>
            <w:r w:rsidRPr="00107181">
              <w:rPr>
                <w:rFonts w:asciiTheme="majorHAnsi" w:hAnsiTheme="majorHAnsi"/>
                <w:sz w:val="22"/>
                <w:szCs w:val="22"/>
              </w:rPr>
              <w:t xml:space="preserve">Yes, </w:t>
            </w:r>
            <w:r w:rsidRPr="00107181">
              <w:rPr>
                <w:rFonts w:asciiTheme="majorHAnsi" w:eastAsia="Times New Roman" w:hAnsiTheme="majorHAnsi" w:cs="Times New Roman"/>
                <w:sz w:val="22"/>
                <w:szCs w:val="22"/>
              </w:rPr>
              <w:t>ORS 433.235 through 433.284 (which require evidence of immunization or a medical, immunity, or religious exemption for each child as a condition of attendance in any school or facility, and which require exclusion from school or facility attendance until such requirements are met) is consistent with the Community Guide’s recommendation that there is a vaccination requirements for child care, school, and college attendance. This recommendation is based on strong evidence of effectiveness in increasing vaccination rates and in decreasing rates of vaccine-preventable disease and associated morbidity and mortality.</w:t>
            </w:r>
          </w:p>
          <w:p w14:paraId="6B40E326" w14:textId="77777777" w:rsidR="00DF3B86" w:rsidRPr="00107181" w:rsidRDefault="00DF3B86" w:rsidP="00DF3B86">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22"/>
                <w:szCs w:val="22"/>
              </w:rPr>
            </w:pPr>
          </w:p>
          <w:p w14:paraId="33570F15" w14:textId="77777777" w:rsidR="00DF3B86" w:rsidRPr="00107181" w:rsidRDefault="00DF3B86" w:rsidP="00DF3B86">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22"/>
                <w:szCs w:val="22"/>
              </w:rPr>
            </w:pPr>
            <w:r w:rsidRPr="00107181">
              <w:rPr>
                <w:rFonts w:asciiTheme="majorHAnsi" w:eastAsia="Times New Roman" w:hAnsiTheme="majorHAnsi" w:cs="Times New Roman"/>
                <w:sz w:val="22"/>
                <w:szCs w:val="22"/>
              </w:rPr>
              <w:t xml:space="preserve">However, the Task Force recommendations do not include religious exemption as part of their recommendation, and they </w:t>
            </w:r>
            <w:r w:rsidRPr="00107181">
              <w:rPr>
                <w:rFonts w:asciiTheme="majorHAnsi" w:eastAsia="Times New Roman" w:hAnsiTheme="majorHAnsi" w:cs="Times New Roman"/>
                <w:sz w:val="22"/>
                <w:szCs w:val="22"/>
              </w:rPr>
              <w:lastRenderedPageBreak/>
              <w:t xml:space="preserve">note that the continuing effectiveness of such requirements may depend on consistent enforcement, </w:t>
            </w:r>
            <w:r w:rsidRPr="00107181">
              <w:rPr>
                <w:rFonts w:asciiTheme="majorHAnsi" w:eastAsia="Times New Roman" w:hAnsiTheme="majorHAnsi" w:cs="Times New Roman"/>
                <w:b/>
                <w:sz w:val="22"/>
                <w:szCs w:val="22"/>
                <w:u w:val="single"/>
              </w:rPr>
              <w:t>ease of obtaining vaccinations relative to that of obtaining nonmedical exemptions,</w:t>
            </w:r>
            <w:r w:rsidRPr="00107181">
              <w:rPr>
                <w:rFonts w:asciiTheme="majorHAnsi" w:eastAsia="Times New Roman" w:hAnsiTheme="majorHAnsi" w:cs="Times New Roman"/>
                <w:sz w:val="22"/>
                <w:szCs w:val="22"/>
              </w:rPr>
              <w:t xml:space="preserve"> and adequacy of financial, logistical, and community support for implementation.</w:t>
            </w:r>
          </w:p>
          <w:p w14:paraId="2DEA7039" w14:textId="77777777" w:rsidR="002B4FB1" w:rsidRPr="00107181" w:rsidRDefault="002B4FB1" w:rsidP="00DF3B86">
            <w:pPr>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p>
        </w:tc>
      </w:tr>
      <w:tr w:rsidR="0094309A" w14:paraId="51DCDBA1" w14:textId="77777777" w:rsidTr="0094309A">
        <w:trPr>
          <w:cnfStyle w:val="000000010000" w:firstRow="0" w:lastRow="0" w:firstColumn="0" w:lastColumn="0" w:oddVBand="0" w:evenVBand="0" w:oddHBand="0" w:evenHBand="1" w:firstRowFirstColumn="0" w:firstRowLastColumn="0" w:lastRowFirstColumn="0" w:lastRowLastColumn="0"/>
          <w:trHeight w:val="2536"/>
        </w:trPr>
        <w:tc>
          <w:tcPr>
            <w:cnfStyle w:val="001000000000" w:firstRow="0" w:lastRow="0" w:firstColumn="1" w:lastColumn="0" w:oddVBand="0" w:evenVBand="0" w:oddHBand="0" w:evenHBand="0" w:firstRowFirstColumn="0" w:firstRowLastColumn="0" w:lastRowFirstColumn="0" w:lastRowLastColumn="0"/>
            <w:tcW w:w="1996" w:type="dxa"/>
          </w:tcPr>
          <w:p w14:paraId="4CB29C5F" w14:textId="77777777" w:rsidR="0028610F" w:rsidRPr="00A41013" w:rsidRDefault="0028610F" w:rsidP="0028610F"/>
          <w:p w14:paraId="7B25D1DC" w14:textId="77777777" w:rsidR="0028610F" w:rsidRPr="00A41013" w:rsidRDefault="00D1112D" w:rsidP="0028610F">
            <w:r>
              <w:t>Evidence &amp; Data to Support the P</w:t>
            </w:r>
            <w:r w:rsidR="0028610F" w:rsidRPr="00A41013">
              <w:t>olicy</w:t>
            </w:r>
          </w:p>
        </w:tc>
        <w:tc>
          <w:tcPr>
            <w:tcW w:w="5312" w:type="dxa"/>
          </w:tcPr>
          <w:p w14:paraId="74F0CD98" w14:textId="77777777" w:rsidR="0028610F" w:rsidRPr="00A41013" w:rsidRDefault="0028610F" w:rsidP="0028610F">
            <w:pPr>
              <w:widowControl w:val="0"/>
              <w:autoSpaceDE w:val="0"/>
              <w:autoSpaceDN w:val="0"/>
              <w:adjustRightInd w:val="0"/>
              <w:spacing w:after="240"/>
              <w:cnfStyle w:val="000000010000" w:firstRow="0" w:lastRow="0" w:firstColumn="0" w:lastColumn="0" w:oddVBand="0" w:evenVBand="0" w:oddHBand="0" w:evenHBand="1" w:firstRowFirstColumn="0" w:firstRowLastColumn="0" w:lastRowFirstColumn="0" w:lastRowLastColumn="0"/>
              <w:rPr>
                <w:rFonts w:asciiTheme="majorHAnsi" w:hAnsiTheme="majorHAnsi" w:cs="Times"/>
              </w:rPr>
            </w:pPr>
            <w:r w:rsidRPr="00A41013">
              <w:rPr>
                <w:rFonts w:asciiTheme="majorHAnsi" w:hAnsiTheme="majorHAnsi" w:cs="Times"/>
              </w:rPr>
              <w:t>Is there data or evidence to support the policy?</w:t>
            </w:r>
          </w:p>
          <w:p w14:paraId="550C36FB" w14:textId="77777777" w:rsidR="0028610F" w:rsidRPr="00A41013" w:rsidRDefault="0028610F" w:rsidP="0028610F">
            <w:pPr>
              <w:widowControl w:val="0"/>
              <w:autoSpaceDE w:val="0"/>
              <w:autoSpaceDN w:val="0"/>
              <w:adjustRightInd w:val="0"/>
              <w:spacing w:after="240"/>
              <w:cnfStyle w:val="000000010000" w:firstRow="0" w:lastRow="0" w:firstColumn="0" w:lastColumn="0" w:oddVBand="0" w:evenVBand="0" w:oddHBand="0" w:evenHBand="1" w:firstRowFirstColumn="0" w:firstRowLastColumn="0" w:lastRowFirstColumn="0" w:lastRowLastColumn="0"/>
              <w:rPr>
                <w:rFonts w:asciiTheme="majorHAnsi" w:hAnsiTheme="majorHAnsi" w:cs="Calibri"/>
              </w:rPr>
            </w:pPr>
            <w:r w:rsidRPr="00A41013">
              <w:rPr>
                <w:rFonts w:asciiTheme="majorHAnsi" w:hAnsiTheme="majorHAnsi" w:cs="Calibri"/>
              </w:rPr>
              <w:t>Is there a connection betw</w:t>
            </w:r>
            <w:r w:rsidR="00A41013">
              <w:rPr>
                <w:rFonts w:asciiTheme="majorHAnsi" w:hAnsiTheme="majorHAnsi" w:cs="Calibri"/>
              </w:rPr>
              <w:t>een the policy and the problem?</w:t>
            </w:r>
          </w:p>
          <w:p w14:paraId="50A61147" w14:textId="77777777" w:rsidR="0028610F" w:rsidRPr="00A41013" w:rsidRDefault="0028610F" w:rsidP="0028610F">
            <w:pPr>
              <w:widowControl w:val="0"/>
              <w:autoSpaceDE w:val="0"/>
              <w:autoSpaceDN w:val="0"/>
              <w:adjustRightInd w:val="0"/>
              <w:spacing w:after="240"/>
              <w:cnfStyle w:val="000000010000" w:firstRow="0" w:lastRow="0" w:firstColumn="0" w:lastColumn="0" w:oddVBand="0" w:evenVBand="0" w:oddHBand="0" w:evenHBand="1" w:firstRowFirstColumn="0" w:firstRowLastColumn="0" w:lastRowFirstColumn="0" w:lastRowLastColumn="0"/>
              <w:rPr>
                <w:rFonts w:asciiTheme="majorHAnsi" w:hAnsiTheme="majorHAnsi" w:cs="Calibri"/>
              </w:rPr>
            </w:pPr>
            <w:r w:rsidRPr="00A41013">
              <w:rPr>
                <w:rFonts w:asciiTheme="majorHAnsi" w:hAnsiTheme="majorHAnsi" w:cs="Calibri"/>
              </w:rPr>
              <w:t>What d</w:t>
            </w:r>
            <w:r w:rsidR="00A41013">
              <w:rPr>
                <w:rFonts w:asciiTheme="majorHAnsi" w:hAnsiTheme="majorHAnsi" w:cs="Calibri"/>
              </w:rPr>
              <w:t>ata or research makes the case?</w:t>
            </w:r>
          </w:p>
          <w:p w14:paraId="0DF19F52" w14:textId="77777777" w:rsidR="0028610F" w:rsidRPr="00A41013" w:rsidRDefault="0028610F" w:rsidP="0028610F">
            <w:pPr>
              <w:widowControl w:val="0"/>
              <w:autoSpaceDE w:val="0"/>
              <w:autoSpaceDN w:val="0"/>
              <w:adjustRightInd w:val="0"/>
              <w:spacing w:after="240"/>
              <w:cnfStyle w:val="000000010000" w:firstRow="0" w:lastRow="0" w:firstColumn="0" w:lastColumn="0" w:oddVBand="0" w:evenVBand="0" w:oddHBand="0" w:evenHBand="1" w:firstRowFirstColumn="0" w:firstRowLastColumn="0" w:lastRowFirstColumn="0" w:lastRowLastColumn="0"/>
              <w:rPr>
                <w:rFonts w:asciiTheme="majorHAnsi" w:hAnsiTheme="majorHAnsi" w:cs="Times"/>
              </w:rPr>
            </w:pPr>
            <w:r w:rsidRPr="00A41013">
              <w:rPr>
                <w:rFonts w:asciiTheme="majorHAnsi" w:hAnsiTheme="majorHAnsi" w:cs="Calibri"/>
              </w:rPr>
              <w:t>Can you create local data, too?</w:t>
            </w:r>
          </w:p>
          <w:p w14:paraId="0979CE0E" w14:textId="77777777" w:rsidR="0028610F" w:rsidRPr="00A41013" w:rsidRDefault="0028610F" w:rsidP="0028610F">
            <w:pPr>
              <w:widowControl w:val="0"/>
              <w:autoSpaceDE w:val="0"/>
              <w:autoSpaceDN w:val="0"/>
              <w:adjustRightInd w:val="0"/>
              <w:spacing w:after="240"/>
              <w:cnfStyle w:val="000000010000" w:firstRow="0" w:lastRow="0" w:firstColumn="0" w:lastColumn="0" w:oddVBand="0" w:evenVBand="0" w:oddHBand="0" w:evenHBand="1" w:firstRowFirstColumn="0" w:firstRowLastColumn="0" w:lastRowFirstColumn="0" w:lastRowLastColumn="0"/>
              <w:rPr>
                <w:rFonts w:asciiTheme="majorHAnsi" w:hAnsiTheme="majorHAnsi" w:cs="Helvetica Light"/>
              </w:rPr>
            </w:pPr>
          </w:p>
        </w:tc>
        <w:tc>
          <w:tcPr>
            <w:tcW w:w="5868" w:type="dxa"/>
          </w:tcPr>
          <w:p w14:paraId="20E2AA95" w14:textId="77777777" w:rsidR="002B4FB1" w:rsidRPr="00107181" w:rsidRDefault="002B4FB1" w:rsidP="002B4FB1">
            <w:pPr>
              <w:pStyle w:val="NormalWeb"/>
              <w:cnfStyle w:val="000000010000" w:firstRow="0" w:lastRow="0" w:firstColumn="0" w:lastColumn="0" w:oddVBand="0" w:evenVBand="0" w:oddHBand="0" w:evenHBand="1" w:firstRowFirstColumn="0" w:firstRowLastColumn="0" w:lastRowFirstColumn="0" w:lastRowLastColumn="0"/>
              <w:rPr>
                <w:rFonts w:asciiTheme="majorHAnsi" w:hAnsiTheme="majorHAnsi"/>
                <w:sz w:val="22"/>
                <w:szCs w:val="22"/>
              </w:rPr>
            </w:pPr>
            <w:r w:rsidRPr="00107181">
              <w:rPr>
                <w:rFonts w:asciiTheme="majorHAnsi" w:hAnsiTheme="majorHAnsi"/>
                <w:sz w:val="22"/>
                <w:szCs w:val="22"/>
              </w:rPr>
              <w:t>Yes, there is data to support this policy. The Community Guide Task Force conducted a review (search period 1997–2009</w:t>
            </w:r>
            <w:proofErr w:type="gramStart"/>
            <w:r w:rsidRPr="00107181">
              <w:rPr>
                <w:rFonts w:asciiTheme="majorHAnsi" w:hAnsiTheme="majorHAnsi"/>
                <w:sz w:val="22"/>
                <w:szCs w:val="22"/>
              </w:rPr>
              <w:t>) which</w:t>
            </w:r>
            <w:proofErr w:type="gramEnd"/>
            <w:r w:rsidRPr="00107181">
              <w:rPr>
                <w:rFonts w:asciiTheme="majorHAnsi" w:hAnsiTheme="majorHAnsi"/>
                <w:sz w:val="22"/>
                <w:szCs w:val="22"/>
              </w:rPr>
              <w:t xml:space="preserve"> included 18 additional studies. Nine studies with 12</w:t>
            </w:r>
            <w:r w:rsidRPr="00107181">
              <w:rPr>
                <w:rStyle w:val="Strong"/>
                <w:rFonts w:asciiTheme="majorHAnsi" w:hAnsiTheme="majorHAnsi"/>
                <w:sz w:val="22"/>
                <w:szCs w:val="22"/>
              </w:rPr>
              <w:t xml:space="preserve"> </w:t>
            </w:r>
            <w:r w:rsidRPr="00107181">
              <w:rPr>
                <w:rStyle w:val="Strong"/>
                <w:rFonts w:asciiTheme="majorHAnsi" w:hAnsiTheme="majorHAnsi"/>
                <w:b w:val="0"/>
                <w:sz w:val="22"/>
                <w:szCs w:val="22"/>
              </w:rPr>
              <w:t>study arms</w:t>
            </w:r>
            <w:r w:rsidRPr="00107181">
              <w:rPr>
                <w:rStyle w:val="Strong"/>
                <w:rFonts w:asciiTheme="majorHAnsi" w:hAnsiTheme="majorHAnsi"/>
                <w:sz w:val="22"/>
                <w:szCs w:val="22"/>
              </w:rPr>
              <w:t xml:space="preserve"> </w:t>
            </w:r>
            <w:r w:rsidRPr="00107181">
              <w:rPr>
                <w:rFonts w:asciiTheme="majorHAnsi" w:hAnsiTheme="majorHAnsi"/>
                <w:sz w:val="22"/>
                <w:szCs w:val="22"/>
              </w:rPr>
              <w:t>provided a common measurement of change in vaccination rates. These studies observed a median absolute increase in vaccination rates of 34.3 percentage points (interquartile interval [IQI]: 11.7 to 46.6 percentage points).</w:t>
            </w:r>
          </w:p>
          <w:p w14:paraId="32B6D226" w14:textId="77777777" w:rsidR="002B4FB1" w:rsidRPr="00107181" w:rsidRDefault="002B4FB1" w:rsidP="002B4FB1">
            <w:pPr>
              <w:pStyle w:val="NormalWeb"/>
              <w:cnfStyle w:val="000000010000" w:firstRow="0" w:lastRow="0" w:firstColumn="0" w:lastColumn="0" w:oddVBand="0" w:evenVBand="0" w:oddHBand="0" w:evenHBand="1" w:firstRowFirstColumn="0" w:firstRowLastColumn="0" w:lastRowFirstColumn="0" w:lastRowLastColumn="0"/>
              <w:rPr>
                <w:rFonts w:asciiTheme="majorHAnsi" w:hAnsiTheme="majorHAnsi"/>
                <w:sz w:val="22"/>
                <w:szCs w:val="22"/>
              </w:rPr>
            </w:pPr>
            <w:r w:rsidRPr="00107181">
              <w:rPr>
                <w:rFonts w:asciiTheme="majorHAnsi" w:hAnsiTheme="majorHAnsi"/>
                <w:sz w:val="22"/>
                <w:szCs w:val="22"/>
              </w:rPr>
              <w:t>Additional evidence on effectiveness was provided by six studies measuring changes in vaccination rates that could not be included in the summary effect estimate.</w:t>
            </w:r>
          </w:p>
          <w:p w14:paraId="2AA8C23D" w14:textId="77777777" w:rsidR="002B4FB1" w:rsidRPr="00107181" w:rsidRDefault="002B4FB1" w:rsidP="002B4FB1">
            <w:pPr>
              <w:pStyle w:val="NormalWeb"/>
              <w:cnfStyle w:val="000000010000" w:firstRow="0" w:lastRow="0" w:firstColumn="0" w:lastColumn="0" w:oddVBand="0" w:evenVBand="0" w:oddHBand="0" w:evenHBand="1" w:firstRowFirstColumn="0" w:firstRowLastColumn="0" w:lastRowFirstColumn="0" w:lastRowLastColumn="0"/>
              <w:rPr>
                <w:rFonts w:asciiTheme="majorHAnsi" w:hAnsiTheme="majorHAnsi"/>
                <w:sz w:val="22"/>
                <w:szCs w:val="22"/>
              </w:rPr>
            </w:pPr>
            <w:r w:rsidRPr="00107181">
              <w:rPr>
                <w:rFonts w:asciiTheme="majorHAnsi" w:hAnsiTheme="majorHAnsi"/>
                <w:sz w:val="22"/>
                <w:szCs w:val="22"/>
              </w:rPr>
              <w:t xml:space="preserve">Three studies identified in the update review provided evidence that vaccination requirements are also effective in decreasing rates of vaccine-preventable disease. One U.S.-based study reported a decline in hepatitis A incidence after the implementation of a </w:t>
            </w:r>
            <w:proofErr w:type="gramStart"/>
            <w:r w:rsidRPr="00107181">
              <w:rPr>
                <w:rFonts w:asciiTheme="majorHAnsi" w:hAnsiTheme="majorHAnsi"/>
                <w:sz w:val="22"/>
                <w:szCs w:val="22"/>
              </w:rPr>
              <w:t>child care</w:t>
            </w:r>
            <w:proofErr w:type="gramEnd"/>
            <w:r w:rsidRPr="00107181">
              <w:rPr>
                <w:rFonts w:asciiTheme="majorHAnsi" w:hAnsiTheme="majorHAnsi"/>
                <w:sz w:val="22"/>
                <w:szCs w:val="22"/>
              </w:rPr>
              <w:t xml:space="preserve"> entry requirement in response to an outbreak. One study from Italy observed reductions in rates of hepatitis B disease attributable to the implementation of vaccination requirements and school and community based vaccination programs. A study from Japan documented increases in excess mortality rates among younger children due to influenza and pneumonia, after the removal of a national influenza vaccination mandate and school based immunization program.</w:t>
            </w:r>
          </w:p>
          <w:p w14:paraId="27306E1C" w14:textId="77777777" w:rsidR="0094309A" w:rsidRDefault="0094309A" w:rsidP="002B4FB1">
            <w:pPr>
              <w:pStyle w:val="NormalWeb"/>
              <w:cnfStyle w:val="000000010000" w:firstRow="0" w:lastRow="0" w:firstColumn="0" w:lastColumn="0" w:oddVBand="0" w:evenVBand="0" w:oddHBand="0" w:evenHBand="1" w:firstRowFirstColumn="0" w:firstRowLastColumn="0" w:lastRowFirstColumn="0" w:lastRowLastColumn="0"/>
              <w:rPr>
                <w:rFonts w:asciiTheme="majorHAnsi" w:hAnsiTheme="majorHAnsi"/>
                <w:sz w:val="22"/>
                <w:szCs w:val="22"/>
              </w:rPr>
            </w:pPr>
            <w:r>
              <w:rPr>
                <w:rFonts w:asciiTheme="majorHAnsi" w:hAnsiTheme="majorHAnsi"/>
                <w:sz w:val="22"/>
                <w:szCs w:val="22"/>
              </w:rPr>
              <w:t xml:space="preserve">Local and State Immunization Data: </w:t>
            </w:r>
            <w:hyperlink r:id="rId10" w:history="1">
              <w:r w:rsidRPr="0094309A">
                <w:rPr>
                  <w:rStyle w:val="Hyperlink"/>
                  <w:rFonts w:asciiTheme="majorHAnsi" w:hAnsiTheme="majorHAnsi"/>
                  <w:sz w:val="22"/>
                  <w:szCs w:val="22"/>
                </w:rPr>
                <w:t>http://public.health.oregon.gov/PreventionWellness/VaccinesImmunization/Pages/research.aspx</w:t>
              </w:r>
            </w:hyperlink>
          </w:p>
          <w:p w14:paraId="07FCFABF" w14:textId="77777777" w:rsidR="002B4FB1" w:rsidRPr="00107181" w:rsidRDefault="002B4FB1" w:rsidP="002B4FB1">
            <w:pPr>
              <w:pStyle w:val="NormalWeb"/>
              <w:cnfStyle w:val="000000010000" w:firstRow="0" w:lastRow="0" w:firstColumn="0" w:lastColumn="0" w:oddVBand="0" w:evenVBand="0" w:oddHBand="0" w:evenHBand="1" w:firstRowFirstColumn="0" w:firstRowLastColumn="0" w:lastRowFirstColumn="0" w:lastRowLastColumn="0"/>
              <w:rPr>
                <w:rFonts w:asciiTheme="majorHAnsi" w:hAnsiTheme="majorHAnsi"/>
                <w:sz w:val="22"/>
                <w:szCs w:val="22"/>
              </w:rPr>
            </w:pPr>
            <w:r w:rsidRPr="00107181">
              <w:rPr>
                <w:rFonts w:asciiTheme="majorHAnsi" w:hAnsiTheme="majorHAnsi"/>
                <w:sz w:val="22"/>
                <w:szCs w:val="22"/>
              </w:rPr>
              <w:t>Religious Exemption Rates by County: see attachment</w:t>
            </w:r>
          </w:p>
          <w:p w14:paraId="0F2C2B4F" w14:textId="77777777" w:rsidR="00107181" w:rsidRPr="00107181" w:rsidRDefault="002B4FB1" w:rsidP="002B4FB1">
            <w:pPr>
              <w:cnfStyle w:val="000000010000" w:firstRow="0" w:lastRow="0" w:firstColumn="0" w:lastColumn="0" w:oddVBand="0" w:evenVBand="0" w:oddHBand="0" w:evenHBand="1" w:firstRowFirstColumn="0" w:firstRowLastColumn="0" w:lastRowFirstColumn="0" w:lastRowLastColumn="0"/>
              <w:rPr>
                <w:rFonts w:asciiTheme="majorHAnsi" w:hAnsiTheme="majorHAnsi"/>
                <w:sz w:val="22"/>
                <w:szCs w:val="22"/>
              </w:rPr>
            </w:pPr>
            <w:r w:rsidRPr="00107181">
              <w:rPr>
                <w:rFonts w:asciiTheme="majorHAnsi" w:hAnsiTheme="majorHAnsi"/>
                <w:sz w:val="22"/>
                <w:szCs w:val="22"/>
              </w:rPr>
              <w:t xml:space="preserve">Local Problems with policy: </w:t>
            </w:r>
          </w:p>
          <w:p w14:paraId="2C8638D6" w14:textId="77777777" w:rsidR="0028610F" w:rsidRDefault="002B4FB1" w:rsidP="00107181">
            <w:pP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sz w:val="22"/>
                <w:szCs w:val="22"/>
              </w:rPr>
            </w:pPr>
            <w:r w:rsidRPr="00107181">
              <w:rPr>
                <w:rFonts w:asciiTheme="majorHAnsi" w:hAnsiTheme="majorHAnsi"/>
                <w:sz w:val="22"/>
                <w:szCs w:val="22"/>
              </w:rPr>
              <w:t>“</w:t>
            </w:r>
            <w:r w:rsidRPr="00107181">
              <w:rPr>
                <w:rFonts w:asciiTheme="majorHAnsi" w:eastAsia="Times New Roman" w:hAnsiTheme="majorHAnsi" w:cs="Times New Roman"/>
                <w:sz w:val="22"/>
                <w:szCs w:val="22"/>
              </w:rPr>
              <w:t xml:space="preserve">Religious exemptions to school immunization requirements are on the rise in Oregon. Currently, 3.89% of kindergarten parents are opting to sign waivers to school immunization requirements rather than fully vaccinating their children. While this suggests overall compliance with school requirements, a closer look reveals pockets of under-immunization </w:t>
            </w:r>
            <w:proofErr w:type="spellStart"/>
            <w:r w:rsidRPr="00107181">
              <w:rPr>
                <w:rFonts w:asciiTheme="majorHAnsi" w:eastAsia="Times New Roman" w:hAnsiTheme="majorHAnsi" w:cs="Times New Roman"/>
                <w:sz w:val="22"/>
                <w:szCs w:val="22"/>
              </w:rPr>
              <w:t>insome</w:t>
            </w:r>
            <w:proofErr w:type="spellEnd"/>
            <w:r w:rsidRPr="00107181">
              <w:rPr>
                <w:rFonts w:asciiTheme="majorHAnsi" w:eastAsia="Times New Roman" w:hAnsiTheme="majorHAnsi" w:cs="Times New Roman"/>
                <w:sz w:val="22"/>
                <w:szCs w:val="22"/>
              </w:rPr>
              <w:t xml:space="preserve"> communities where exemption rates are well above the state average, which places vulnerable community members at-risk for vaccine preventable diseases. “</w:t>
            </w:r>
          </w:p>
          <w:p w14:paraId="343F39FE" w14:textId="77777777" w:rsidR="0094309A" w:rsidRDefault="0094309A" w:rsidP="00107181">
            <w:pP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sz w:val="22"/>
                <w:szCs w:val="22"/>
              </w:rPr>
            </w:pPr>
          </w:p>
          <w:p w14:paraId="78A08D5A" w14:textId="77777777" w:rsidR="0094309A" w:rsidRDefault="0094309A" w:rsidP="00107181">
            <w:pP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sz w:val="22"/>
                <w:szCs w:val="22"/>
              </w:rPr>
            </w:pPr>
            <w:r>
              <w:rPr>
                <w:rFonts w:asciiTheme="majorHAnsi" w:eastAsia="Times New Roman" w:hAnsiTheme="majorHAnsi" w:cs="Times New Roman"/>
                <w:sz w:val="22"/>
                <w:szCs w:val="22"/>
              </w:rPr>
              <w:t xml:space="preserve">Religious Exemption Report: </w:t>
            </w:r>
            <w:hyperlink r:id="rId11" w:history="1">
              <w:r w:rsidRPr="00755E16">
                <w:rPr>
                  <w:rStyle w:val="Hyperlink"/>
                  <w:rFonts w:asciiTheme="majorHAnsi" w:eastAsia="Times New Roman" w:hAnsiTheme="majorHAnsi" w:cs="Times New Roman"/>
                  <w:sz w:val="22"/>
                  <w:szCs w:val="22"/>
                </w:rPr>
                <w:t>http://public.health.oregon.gov/PreventionWellness/VaccinesImmunization/Documents/ReligExemptReport.pdf</w:t>
              </w:r>
            </w:hyperlink>
          </w:p>
          <w:p w14:paraId="425BABDB" w14:textId="77777777" w:rsidR="0094309A" w:rsidRPr="00107181" w:rsidRDefault="0094309A" w:rsidP="00107181">
            <w:pP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sz w:val="22"/>
                <w:szCs w:val="22"/>
              </w:rPr>
            </w:pPr>
          </w:p>
        </w:tc>
      </w:tr>
      <w:tr w:rsidR="0094309A" w14:paraId="52E4E446" w14:textId="77777777" w:rsidTr="009430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6" w:type="dxa"/>
          </w:tcPr>
          <w:p w14:paraId="20E29EFC" w14:textId="77777777" w:rsidR="0028610F" w:rsidRPr="00A41013" w:rsidRDefault="0028610F" w:rsidP="0028610F"/>
          <w:p w14:paraId="30F9E7D0" w14:textId="77777777" w:rsidR="0028610F" w:rsidRPr="00A41013" w:rsidRDefault="0028610F" w:rsidP="0028610F">
            <w:r w:rsidRPr="00A41013">
              <w:t>Public Health Impacts</w:t>
            </w:r>
          </w:p>
        </w:tc>
        <w:tc>
          <w:tcPr>
            <w:tcW w:w="5312" w:type="dxa"/>
          </w:tcPr>
          <w:p w14:paraId="7E3EEE3A" w14:textId="77777777" w:rsidR="0028610F" w:rsidRPr="00A41013" w:rsidRDefault="0028610F" w:rsidP="0028610F">
            <w:pPr>
              <w:widowControl w:val="0"/>
              <w:autoSpaceDE w:val="0"/>
              <w:autoSpaceDN w:val="0"/>
              <w:adjustRightInd w:val="0"/>
              <w:spacing w:after="240"/>
              <w:cnfStyle w:val="000000100000" w:firstRow="0" w:lastRow="0" w:firstColumn="0" w:lastColumn="0" w:oddVBand="0" w:evenVBand="0" w:oddHBand="1" w:evenHBand="0" w:firstRowFirstColumn="0" w:firstRowLastColumn="0" w:lastRowFirstColumn="0" w:lastRowLastColumn="0"/>
              <w:rPr>
                <w:rFonts w:asciiTheme="majorHAnsi" w:hAnsiTheme="majorHAnsi" w:cs="Helvetica Light"/>
              </w:rPr>
            </w:pPr>
            <w:r w:rsidRPr="00A41013">
              <w:rPr>
                <w:rFonts w:asciiTheme="majorHAnsi" w:hAnsiTheme="majorHAnsi" w:cs="Helvetica Light"/>
              </w:rPr>
              <w:t>Does the policy have public health/ population health benefits?</w:t>
            </w:r>
          </w:p>
          <w:p w14:paraId="4F4614D7" w14:textId="77777777" w:rsidR="0028610F" w:rsidRPr="00A41013" w:rsidRDefault="0028610F" w:rsidP="0028610F">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5868" w:type="dxa"/>
          </w:tcPr>
          <w:p w14:paraId="4E9A59FD" w14:textId="77777777" w:rsidR="00107181" w:rsidRPr="00107181" w:rsidRDefault="00107181" w:rsidP="00107181">
            <w:pPr>
              <w:pStyle w:val="NormalWeb"/>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107181">
              <w:rPr>
                <w:rFonts w:asciiTheme="majorHAnsi" w:hAnsiTheme="majorHAnsi"/>
                <w:sz w:val="22"/>
                <w:szCs w:val="22"/>
              </w:rPr>
              <w:t xml:space="preserve">Yes, there is evidence that the policy </w:t>
            </w:r>
            <w:r>
              <w:rPr>
                <w:rFonts w:asciiTheme="majorHAnsi" w:hAnsiTheme="majorHAnsi"/>
                <w:sz w:val="22"/>
                <w:szCs w:val="22"/>
              </w:rPr>
              <w:t>has population health benefits:</w:t>
            </w:r>
            <w:r w:rsidRPr="00107181">
              <w:rPr>
                <w:rFonts w:asciiTheme="majorHAnsi" w:hAnsiTheme="majorHAnsi"/>
                <w:sz w:val="22"/>
                <w:szCs w:val="22"/>
              </w:rPr>
              <w:t xml:space="preserve">  The Community Guide Task Force conducted a review (search period 1997–2009</w:t>
            </w:r>
            <w:proofErr w:type="gramStart"/>
            <w:r w:rsidRPr="00107181">
              <w:rPr>
                <w:rFonts w:asciiTheme="majorHAnsi" w:hAnsiTheme="majorHAnsi"/>
                <w:sz w:val="22"/>
                <w:szCs w:val="22"/>
              </w:rPr>
              <w:t>) which</w:t>
            </w:r>
            <w:proofErr w:type="gramEnd"/>
            <w:r w:rsidRPr="00107181">
              <w:rPr>
                <w:rFonts w:asciiTheme="majorHAnsi" w:hAnsiTheme="majorHAnsi"/>
                <w:sz w:val="22"/>
                <w:szCs w:val="22"/>
              </w:rPr>
              <w:t xml:space="preserve"> included 18 additional studies. Nine studies with 12</w:t>
            </w:r>
            <w:r w:rsidRPr="00107181">
              <w:rPr>
                <w:rStyle w:val="Strong"/>
                <w:rFonts w:asciiTheme="majorHAnsi" w:hAnsiTheme="majorHAnsi"/>
                <w:sz w:val="22"/>
                <w:szCs w:val="22"/>
              </w:rPr>
              <w:t xml:space="preserve"> </w:t>
            </w:r>
            <w:r w:rsidRPr="00107181">
              <w:rPr>
                <w:rStyle w:val="Strong"/>
                <w:rFonts w:asciiTheme="majorHAnsi" w:hAnsiTheme="majorHAnsi"/>
                <w:b w:val="0"/>
                <w:sz w:val="22"/>
                <w:szCs w:val="22"/>
              </w:rPr>
              <w:t>study arms</w:t>
            </w:r>
            <w:r w:rsidRPr="00107181">
              <w:rPr>
                <w:rStyle w:val="Strong"/>
                <w:rFonts w:asciiTheme="majorHAnsi" w:hAnsiTheme="majorHAnsi"/>
                <w:sz w:val="22"/>
                <w:szCs w:val="22"/>
              </w:rPr>
              <w:t xml:space="preserve"> </w:t>
            </w:r>
            <w:r w:rsidRPr="00107181">
              <w:rPr>
                <w:rFonts w:asciiTheme="majorHAnsi" w:hAnsiTheme="majorHAnsi"/>
                <w:sz w:val="22"/>
                <w:szCs w:val="22"/>
              </w:rPr>
              <w:t>provided a common measurement of change in vaccination rates. These studies observed a median absolute increase in vaccination rates of 34.3 percentage points (interquartile interval [IQI]: 11.7 to 46.6 percentage points).</w:t>
            </w:r>
          </w:p>
          <w:p w14:paraId="127B2F9B" w14:textId="77777777" w:rsidR="00107181" w:rsidRPr="00107181" w:rsidRDefault="00107181" w:rsidP="00107181">
            <w:pPr>
              <w:pStyle w:val="NormalWeb"/>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107181">
              <w:rPr>
                <w:rFonts w:asciiTheme="majorHAnsi" w:hAnsiTheme="majorHAnsi"/>
                <w:sz w:val="22"/>
                <w:szCs w:val="22"/>
              </w:rPr>
              <w:t>Additional evidence on effectiveness was provided by six studies measuring changes in vaccination rates that could not be included in the summary effect estimate.</w:t>
            </w:r>
          </w:p>
          <w:p w14:paraId="1ADE07FB" w14:textId="77777777" w:rsidR="0028610F" w:rsidRPr="00107181" w:rsidRDefault="0028610F" w:rsidP="0028610F">
            <w:pPr>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p>
        </w:tc>
      </w:tr>
      <w:tr w:rsidR="0094309A" w14:paraId="770CA13A" w14:textId="77777777" w:rsidTr="0094309A">
        <w:trPr>
          <w:cnfStyle w:val="000000010000" w:firstRow="0" w:lastRow="0" w:firstColumn="0" w:lastColumn="0" w:oddVBand="0" w:evenVBand="0" w:oddHBand="0" w:evenHBand="1" w:firstRowFirstColumn="0" w:firstRowLastColumn="0" w:lastRowFirstColumn="0" w:lastRowLastColumn="0"/>
          <w:trHeight w:val="2473"/>
        </w:trPr>
        <w:tc>
          <w:tcPr>
            <w:cnfStyle w:val="001000000000" w:firstRow="0" w:lastRow="0" w:firstColumn="1" w:lastColumn="0" w:oddVBand="0" w:evenVBand="0" w:oddHBand="0" w:evenHBand="0" w:firstRowFirstColumn="0" w:firstRowLastColumn="0" w:lastRowFirstColumn="0" w:lastRowLastColumn="0"/>
            <w:tcW w:w="1996" w:type="dxa"/>
          </w:tcPr>
          <w:p w14:paraId="32164532" w14:textId="77777777" w:rsidR="0028610F" w:rsidRPr="00A41013" w:rsidRDefault="0028610F" w:rsidP="0028610F"/>
          <w:p w14:paraId="1B695AFE" w14:textId="77777777" w:rsidR="0028610F" w:rsidRPr="00A41013" w:rsidRDefault="0028610F" w:rsidP="0028610F">
            <w:r w:rsidRPr="00A41013">
              <w:t>Health Equity Considerations</w:t>
            </w:r>
          </w:p>
        </w:tc>
        <w:tc>
          <w:tcPr>
            <w:tcW w:w="5312" w:type="dxa"/>
          </w:tcPr>
          <w:p w14:paraId="33D49538" w14:textId="77777777" w:rsidR="0028610F" w:rsidRPr="00A41013" w:rsidRDefault="0028610F" w:rsidP="0028610F">
            <w:pPr>
              <w:widowControl w:val="0"/>
              <w:autoSpaceDE w:val="0"/>
              <w:autoSpaceDN w:val="0"/>
              <w:adjustRightInd w:val="0"/>
              <w:spacing w:after="240"/>
              <w:cnfStyle w:val="000000010000" w:firstRow="0" w:lastRow="0" w:firstColumn="0" w:lastColumn="0" w:oddVBand="0" w:evenVBand="0" w:oddHBand="0" w:evenHBand="1" w:firstRowFirstColumn="0" w:firstRowLastColumn="0" w:lastRowFirstColumn="0" w:lastRowLastColumn="0"/>
              <w:rPr>
                <w:rFonts w:asciiTheme="majorHAnsi" w:hAnsiTheme="majorHAnsi" w:cs="Helvetica Light"/>
              </w:rPr>
            </w:pPr>
            <w:r w:rsidRPr="00A41013">
              <w:rPr>
                <w:rFonts w:asciiTheme="majorHAnsi" w:hAnsiTheme="majorHAnsi" w:cs="Helvetica Light"/>
              </w:rPr>
              <w:t>Does the policy include considerations for health equity/ reducing disparities in access and outcomes?</w:t>
            </w:r>
          </w:p>
          <w:p w14:paraId="7D6D621A" w14:textId="77777777" w:rsidR="0028610F" w:rsidRPr="00A41013" w:rsidRDefault="0028610F" w:rsidP="0028610F">
            <w:pPr>
              <w:widowControl w:val="0"/>
              <w:autoSpaceDE w:val="0"/>
              <w:autoSpaceDN w:val="0"/>
              <w:adjustRightInd w:val="0"/>
              <w:spacing w:after="240"/>
              <w:cnfStyle w:val="000000010000" w:firstRow="0" w:lastRow="0" w:firstColumn="0" w:lastColumn="0" w:oddVBand="0" w:evenVBand="0" w:oddHBand="0" w:evenHBand="1" w:firstRowFirstColumn="0" w:firstRowLastColumn="0" w:lastRowFirstColumn="0" w:lastRowLastColumn="0"/>
              <w:rPr>
                <w:rFonts w:asciiTheme="majorHAnsi" w:hAnsiTheme="majorHAnsi" w:cs="Times"/>
              </w:rPr>
            </w:pPr>
            <w:r w:rsidRPr="00A41013">
              <w:rPr>
                <w:rFonts w:asciiTheme="majorHAnsi" w:hAnsiTheme="majorHAnsi" w:cs="Calibri"/>
              </w:rPr>
              <w:t>If yes, can you strengthen this impact? If no, how can you improve it?</w:t>
            </w:r>
          </w:p>
          <w:p w14:paraId="68597AB3" w14:textId="77777777" w:rsidR="0028610F" w:rsidRPr="00A41013" w:rsidRDefault="0028610F" w:rsidP="00D1112D">
            <w:pPr>
              <w:widowControl w:val="0"/>
              <w:autoSpaceDE w:val="0"/>
              <w:autoSpaceDN w:val="0"/>
              <w:adjustRightInd w:val="0"/>
              <w:spacing w:after="240"/>
              <w:cnfStyle w:val="000000010000" w:firstRow="0" w:lastRow="0" w:firstColumn="0" w:lastColumn="0" w:oddVBand="0" w:evenVBand="0" w:oddHBand="0" w:evenHBand="1" w:firstRowFirstColumn="0" w:firstRowLastColumn="0" w:lastRowFirstColumn="0" w:lastRowLastColumn="0"/>
              <w:rPr>
                <w:rFonts w:asciiTheme="majorHAnsi" w:hAnsiTheme="majorHAnsi" w:cs="Helvetica Light"/>
              </w:rPr>
            </w:pPr>
          </w:p>
        </w:tc>
        <w:tc>
          <w:tcPr>
            <w:tcW w:w="5868" w:type="dxa"/>
          </w:tcPr>
          <w:p w14:paraId="4BC51D96" w14:textId="77777777" w:rsidR="0028610F" w:rsidRPr="00107181" w:rsidRDefault="002B4FB1" w:rsidP="002B4FB1">
            <w:pP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sz w:val="22"/>
                <w:szCs w:val="22"/>
              </w:rPr>
            </w:pPr>
            <w:r w:rsidRPr="00107181">
              <w:rPr>
                <w:rFonts w:asciiTheme="majorHAnsi" w:hAnsiTheme="majorHAnsi"/>
                <w:sz w:val="22"/>
                <w:szCs w:val="22"/>
              </w:rPr>
              <w:t xml:space="preserve">The Community Guide Task Force found that </w:t>
            </w:r>
            <w:r w:rsidRPr="00107181">
              <w:rPr>
                <w:rFonts w:asciiTheme="majorHAnsi" w:eastAsia="Times New Roman" w:hAnsiTheme="majorHAnsi" w:cs="Times New Roman"/>
                <w:sz w:val="22"/>
                <w:szCs w:val="22"/>
              </w:rPr>
              <w:t>findings from two included intervention studies suggest that vaccination requirements may confer additional benefits by improving vaccination rates among racial and ethnic minorities and lower SES populations, thereby reducing health disparities. Although not directly evaluated by studies in this review, vaccination requirements may also increase contact between youth (especially adolescents) and their primary care providers, increasing opportunities for the provision of other preventive health services.</w:t>
            </w:r>
          </w:p>
          <w:p w14:paraId="640CE74B" w14:textId="77777777" w:rsidR="002B4FB1" w:rsidRPr="00107181" w:rsidRDefault="002B4FB1" w:rsidP="002B4FB1">
            <w:pP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sz w:val="22"/>
                <w:szCs w:val="22"/>
              </w:rPr>
            </w:pPr>
          </w:p>
          <w:p w14:paraId="5E122659" w14:textId="76D437A1" w:rsidR="002B4FB1" w:rsidRDefault="00107181" w:rsidP="002B4FB1">
            <w:pP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sz w:val="22"/>
                <w:szCs w:val="22"/>
              </w:rPr>
            </w:pPr>
            <w:r>
              <w:rPr>
                <w:rFonts w:asciiTheme="majorHAnsi" w:eastAsia="Times New Roman" w:hAnsiTheme="majorHAnsi" w:cs="Times New Roman"/>
                <w:sz w:val="22"/>
                <w:szCs w:val="22"/>
              </w:rPr>
              <w:t>This impact could be strengthened</w:t>
            </w:r>
            <w:r w:rsidR="00C94B26">
              <w:rPr>
                <w:rFonts w:asciiTheme="majorHAnsi" w:eastAsia="Times New Roman" w:hAnsiTheme="majorHAnsi" w:cs="Times New Roman"/>
                <w:sz w:val="22"/>
                <w:szCs w:val="22"/>
              </w:rPr>
              <w:t>.</w:t>
            </w:r>
          </w:p>
          <w:p w14:paraId="79561911" w14:textId="77777777" w:rsidR="0094309A" w:rsidRPr="00107181" w:rsidRDefault="0094309A" w:rsidP="002B4FB1">
            <w:pPr>
              <w:cnfStyle w:val="000000010000" w:firstRow="0" w:lastRow="0" w:firstColumn="0" w:lastColumn="0" w:oddVBand="0" w:evenVBand="0" w:oddHBand="0" w:evenHBand="1" w:firstRowFirstColumn="0" w:firstRowLastColumn="0" w:lastRowFirstColumn="0" w:lastRowLastColumn="0"/>
              <w:rPr>
                <w:rFonts w:asciiTheme="majorHAnsi" w:hAnsiTheme="majorHAnsi"/>
                <w:sz w:val="22"/>
                <w:szCs w:val="22"/>
              </w:rPr>
            </w:pPr>
          </w:p>
        </w:tc>
      </w:tr>
      <w:tr w:rsidR="00FB0F28" w14:paraId="67960C1C" w14:textId="77777777" w:rsidTr="00FB0F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6" w:type="dxa"/>
          </w:tcPr>
          <w:p w14:paraId="3A92183F" w14:textId="77777777" w:rsidR="00FB0F28" w:rsidRPr="0028610F" w:rsidRDefault="00FB0F28" w:rsidP="0028610F">
            <w:r>
              <w:t>Overall Analysis:</w:t>
            </w:r>
          </w:p>
        </w:tc>
        <w:tc>
          <w:tcPr>
            <w:tcW w:w="11180" w:type="dxa"/>
            <w:gridSpan w:val="2"/>
          </w:tcPr>
          <w:p w14:paraId="5FEAB0FC" w14:textId="54A75D39" w:rsidR="00C94B26" w:rsidRPr="00C94B26" w:rsidRDefault="00C94B26" w:rsidP="00C94B26">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22"/>
                <w:szCs w:val="22"/>
              </w:rPr>
            </w:pPr>
            <w:r w:rsidRPr="00C94B26">
              <w:rPr>
                <w:rFonts w:asciiTheme="majorHAnsi" w:hAnsiTheme="majorHAnsi"/>
                <w:sz w:val="22"/>
                <w:szCs w:val="22"/>
              </w:rPr>
              <w:t xml:space="preserve">This policy does align with evidence based recommendations, but could be strengthened with regard to the ease of opting out </w:t>
            </w:r>
            <w:r w:rsidRPr="00C94B26">
              <w:rPr>
                <w:rFonts w:asciiTheme="majorHAnsi" w:eastAsia="Times New Roman" w:hAnsiTheme="majorHAnsi" w:cs="Times New Roman"/>
                <w:sz w:val="22"/>
                <w:szCs w:val="22"/>
              </w:rPr>
              <w:t xml:space="preserve"> -- the Task Force recommendations do not include religious exemption as part of their evidence based recommendation, and they note that the continuing effectiveness of such requirements may depend on consistent enforcement, </w:t>
            </w:r>
            <w:r w:rsidRPr="00C94B26">
              <w:rPr>
                <w:rFonts w:asciiTheme="majorHAnsi" w:eastAsia="Times New Roman" w:hAnsiTheme="majorHAnsi" w:cs="Times New Roman"/>
                <w:b/>
                <w:sz w:val="22"/>
                <w:szCs w:val="22"/>
                <w:u w:val="single"/>
              </w:rPr>
              <w:t>ease of obtaining vaccinations relative to that of obtaining nonmedical exemptions,</w:t>
            </w:r>
            <w:r w:rsidRPr="00C94B26">
              <w:rPr>
                <w:rFonts w:asciiTheme="majorHAnsi" w:eastAsia="Times New Roman" w:hAnsiTheme="majorHAnsi" w:cs="Times New Roman"/>
                <w:sz w:val="22"/>
                <w:szCs w:val="22"/>
              </w:rPr>
              <w:t xml:space="preserve"> and adequacy of financial, logistical, and community support for implementation.</w:t>
            </w:r>
          </w:p>
          <w:p w14:paraId="7E23D3D9" w14:textId="666F8914" w:rsidR="00FB0F28" w:rsidRDefault="00FB0F28" w:rsidP="0028610F">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p w14:paraId="3F83213F" w14:textId="77777777" w:rsidR="00FB0F28" w:rsidRDefault="00FB0F28" w:rsidP="0028610F">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p w14:paraId="249F39A4" w14:textId="77777777" w:rsidR="00FB0F28" w:rsidRDefault="00FB0F28" w:rsidP="0028610F">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p w14:paraId="0B73148F" w14:textId="77777777" w:rsidR="00FB0F28" w:rsidRDefault="00FB0F28" w:rsidP="0028610F">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p w14:paraId="58E86C78" w14:textId="77777777" w:rsidR="00FB0F28" w:rsidRPr="0028610F" w:rsidRDefault="00FB0F28" w:rsidP="0028610F">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bl>
    <w:p w14:paraId="025B8A2F" w14:textId="77777777" w:rsidR="00ED0ABA" w:rsidRDefault="00ED0ABA"/>
    <w:p w14:paraId="0CD0D1CB" w14:textId="77777777" w:rsidR="002B4FB1" w:rsidRDefault="002B4FB1">
      <w:r>
        <w:rPr>
          <w:noProof/>
        </w:rPr>
        <w:drawing>
          <wp:inline distT="0" distB="0" distL="0" distR="0" wp14:anchorId="420D0C60" wp14:editId="09A08F1E">
            <wp:extent cx="6972300" cy="492698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72861" cy="4927379"/>
                    </a:xfrm>
                    <a:prstGeom prst="rect">
                      <a:avLst/>
                    </a:prstGeom>
                    <a:noFill/>
                    <a:ln>
                      <a:noFill/>
                    </a:ln>
                  </pic:spPr>
                </pic:pic>
              </a:graphicData>
            </a:graphic>
          </wp:inline>
        </w:drawing>
      </w:r>
      <w:r w:rsidR="00107181" w:rsidRPr="00107181">
        <w:t>http://public.health.oregon.gov/PreventionWellness/VaccinesImmunization/GettingImmunized/Documents/SchRelExemptMap.pdf</w:t>
      </w:r>
    </w:p>
    <w:sectPr w:rsidR="002B4FB1" w:rsidSect="0028610F">
      <w:headerReference w:type="even" r:id="rId13"/>
      <w:headerReference w:type="default" r:id="rId14"/>
      <w:footerReference w:type="even" r:id="rId15"/>
      <w:footerReference w:type="default" r:id="rId16"/>
      <w:headerReference w:type="first" r:id="rId17"/>
      <w:footerReference w:type="first" r:id="rId18"/>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2D9729" w14:textId="77777777" w:rsidR="000B7585" w:rsidRDefault="000B7585" w:rsidP="00107181">
      <w:r>
        <w:separator/>
      </w:r>
    </w:p>
  </w:endnote>
  <w:endnote w:type="continuationSeparator" w:id="0">
    <w:p w14:paraId="74FDD0F4" w14:textId="77777777" w:rsidR="000B7585" w:rsidRDefault="000B7585" w:rsidP="00107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Helvetica Light">
    <w:panose1 w:val="020B0403020202020204"/>
    <w:charset w:val="00"/>
    <w:family w:val="auto"/>
    <w:pitch w:val="variable"/>
    <w:sig w:usb0="800000AF" w:usb1="4000204A"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105348" w14:textId="77777777" w:rsidR="00312852" w:rsidRDefault="0031285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2325BE" w14:textId="77777777" w:rsidR="00312852" w:rsidRDefault="00312852">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9D603A" w14:textId="77777777" w:rsidR="00312852" w:rsidRDefault="0031285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9F2AB1" w14:textId="77777777" w:rsidR="000B7585" w:rsidRDefault="000B7585" w:rsidP="00107181">
      <w:r>
        <w:separator/>
      </w:r>
    </w:p>
  </w:footnote>
  <w:footnote w:type="continuationSeparator" w:id="0">
    <w:p w14:paraId="5088238F" w14:textId="77777777" w:rsidR="000B7585" w:rsidRDefault="000B7585" w:rsidP="0010718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0FA036" w14:textId="77777777" w:rsidR="00312852" w:rsidRDefault="00312852">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E5A18C" w14:textId="40FDF4B1" w:rsidR="000B7585" w:rsidRDefault="000B7585" w:rsidP="000B7585">
    <w:pPr>
      <w:pStyle w:val="Header"/>
    </w:pPr>
    <w:r>
      <w:t>Policy Review Checkli</w:t>
    </w:r>
    <w:r w:rsidR="00312852">
      <w:t>st Example</w:t>
    </w:r>
    <w:r w:rsidR="00312852">
      <w:tab/>
    </w:r>
    <w:r w:rsidR="00312852">
      <w:tab/>
    </w:r>
    <w:r w:rsidR="00312852">
      <w:tab/>
    </w:r>
    <w:r w:rsidR="00312852">
      <w:tab/>
    </w:r>
    <w:r w:rsidR="00312852">
      <w:tab/>
      <w:t xml:space="preserve">         April 30</w:t>
    </w:r>
    <w:r>
      <w:t>, 2013</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E6EB39" w14:textId="77777777" w:rsidR="00312852" w:rsidRDefault="0031285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50F36"/>
    <w:multiLevelType w:val="hybridMultilevel"/>
    <w:tmpl w:val="5CD4AD5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1363AC"/>
    <w:multiLevelType w:val="hybridMultilevel"/>
    <w:tmpl w:val="3844F014"/>
    <w:lvl w:ilvl="0" w:tplc="2628594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15760F0"/>
    <w:multiLevelType w:val="hybridMultilevel"/>
    <w:tmpl w:val="E4789242"/>
    <w:lvl w:ilvl="0" w:tplc="2628594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10F"/>
    <w:rsid w:val="000B7585"/>
    <w:rsid w:val="00107181"/>
    <w:rsid w:val="0028610F"/>
    <w:rsid w:val="002B4FB1"/>
    <w:rsid w:val="00312852"/>
    <w:rsid w:val="00396400"/>
    <w:rsid w:val="00477CCB"/>
    <w:rsid w:val="007602EE"/>
    <w:rsid w:val="008D6144"/>
    <w:rsid w:val="008F659C"/>
    <w:rsid w:val="0094309A"/>
    <w:rsid w:val="00A41013"/>
    <w:rsid w:val="00C94B26"/>
    <w:rsid w:val="00D1112D"/>
    <w:rsid w:val="00D21C96"/>
    <w:rsid w:val="00D46613"/>
    <w:rsid w:val="00DD7911"/>
    <w:rsid w:val="00DF3B86"/>
    <w:rsid w:val="00ED0ABA"/>
    <w:rsid w:val="00FB0F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250CF0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861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Shading1-Accent5">
    <w:name w:val="Medium Shading 1 Accent 5"/>
    <w:basedOn w:val="TableNormal"/>
    <w:uiPriority w:val="63"/>
    <w:rsid w:val="0028610F"/>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Grid3-Accent5">
    <w:name w:val="Medium Grid 3 Accent 5"/>
    <w:basedOn w:val="TableNormal"/>
    <w:uiPriority w:val="69"/>
    <w:rsid w:val="0028610F"/>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LightGrid-Accent1">
    <w:name w:val="Light Grid Accent 1"/>
    <w:basedOn w:val="TableNormal"/>
    <w:uiPriority w:val="62"/>
    <w:rsid w:val="0028610F"/>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ListParagraph">
    <w:name w:val="List Paragraph"/>
    <w:basedOn w:val="Normal"/>
    <w:uiPriority w:val="34"/>
    <w:qFormat/>
    <w:rsid w:val="0028610F"/>
    <w:pPr>
      <w:ind w:left="720"/>
      <w:contextualSpacing/>
    </w:pPr>
  </w:style>
  <w:style w:type="character" w:styleId="Hyperlink">
    <w:name w:val="Hyperlink"/>
    <w:basedOn w:val="DefaultParagraphFont"/>
    <w:uiPriority w:val="99"/>
    <w:unhideWhenUsed/>
    <w:rsid w:val="00477CCB"/>
    <w:rPr>
      <w:color w:val="0000FF"/>
      <w:u w:val="single"/>
    </w:rPr>
  </w:style>
  <w:style w:type="paragraph" w:styleId="NormalWeb">
    <w:name w:val="Normal (Web)"/>
    <w:basedOn w:val="Normal"/>
    <w:uiPriority w:val="99"/>
    <w:unhideWhenUsed/>
    <w:rsid w:val="002B4FB1"/>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2B4FB1"/>
    <w:rPr>
      <w:b/>
      <w:bCs/>
    </w:rPr>
  </w:style>
  <w:style w:type="paragraph" w:styleId="BalloonText">
    <w:name w:val="Balloon Text"/>
    <w:basedOn w:val="Normal"/>
    <w:link w:val="BalloonTextChar"/>
    <w:uiPriority w:val="99"/>
    <w:semiHidden/>
    <w:unhideWhenUsed/>
    <w:rsid w:val="002B4FB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B4FB1"/>
    <w:rPr>
      <w:rFonts w:ascii="Lucida Grande" w:hAnsi="Lucida Grande" w:cs="Lucida Grande"/>
      <w:sz w:val="18"/>
      <w:szCs w:val="18"/>
    </w:rPr>
  </w:style>
  <w:style w:type="paragraph" w:styleId="Header">
    <w:name w:val="header"/>
    <w:basedOn w:val="Normal"/>
    <w:link w:val="HeaderChar"/>
    <w:uiPriority w:val="99"/>
    <w:unhideWhenUsed/>
    <w:rsid w:val="00107181"/>
    <w:pPr>
      <w:tabs>
        <w:tab w:val="center" w:pos="4320"/>
        <w:tab w:val="right" w:pos="8640"/>
      </w:tabs>
    </w:pPr>
  </w:style>
  <w:style w:type="character" w:customStyle="1" w:styleId="HeaderChar">
    <w:name w:val="Header Char"/>
    <w:basedOn w:val="DefaultParagraphFont"/>
    <w:link w:val="Header"/>
    <w:uiPriority w:val="99"/>
    <w:rsid w:val="00107181"/>
  </w:style>
  <w:style w:type="paragraph" w:styleId="Footer">
    <w:name w:val="footer"/>
    <w:basedOn w:val="Normal"/>
    <w:link w:val="FooterChar"/>
    <w:uiPriority w:val="99"/>
    <w:unhideWhenUsed/>
    <w:rsid w:val="00107181"/>
    <w:pPr>
      <w:tabs>
        <w:tab w:val="center" w:pos="4320"/>
        <w:tab w:val="right" w:pos="8640"/>
      </w:tabs>
    </w:pPr>
  </w:style>
  <w:style w:type="character" w:customStyle="1" w:styleId="FooterChar">
    <w:name w:val="Footer Char"/>
    <w:basedOn w:val="DefaultParagraphFont"/>
    <w:link w:val="Footer"/>
    <w:uiPriority w:val="99"/>
    <w:rsid w:val="0010718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861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Shading1-Accent5">
    <w:name w:val="Medium Shading 1 Accent 5"/>
    <w:basedOn w:val="TableNormal"/>
    <w:uiPriority w:val="63"/>
    <w:rsid w:val="0028610F"/>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Grid3-Accent5">
    <w:name w:val="Medium Grid 3 Accent 5"/>
    <w:basedOn w:val="TableNormal"/>
    <w:uiPriority w:val="69"/>
    <w:rsid w:val="0028610F"/>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LightGrid-Accent1">
    <w:name w:val="Light Grid Accent 1"/>
    <w:basedOn w:val="TableNormal"/>
    <w:uiPriority w:val="62"/>
    <w:rsid w:val="0028610F"/>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ListParagraph">
    <w:name w:val="List Paragraph"/>
    <w:basedOn w:val="Normal"/>
    <w:uiPriority w:val="34"/>
    <w:qFormat/>
    <w:rsid w:val="0028610F"/>
    <w:pPr>
      <w:ind w:left="720"/>
      <w:contextualSpacing/>
    </w:pPr>
  </w:style>
  <w:style w:type="character" w:styleId="Hyperlink">
    <w:name w:val="Hyperlink"/>
    <w:basedOn w:val="DefaultParagraphFont"/>
    <w:uiPriority w:val="99"/>
    <w:unhideWhenUsed/>
    <w:rsid w:val="00477CCB"/>
    <w:rPr>
      <w:color w:val="0000FF"/>
      <w:u w:val="single"/>
    </w:rPr>
  </w:style>
  <w:style w:type="paragraph" w:styleId="NormalWeb">
    <w:name w:val="Normal (Web)"/>
    <w:basedOn w:val="Normal"/>
    <w:uiPriority w:val="99"/>
    <w:unhideWhenUsed/>
    <w:rsid w:val="002B4FB1"/>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2B4FB1"/>
    <w:rPr>
      <w:b/>
      <w:bCs/>
    </w:rPr>
  </w:style>
  <w:style w:type="paragraph" w:styleId="BalloonText">
    <w:name w:val="Balloon Text"/>
    <w:basedOn w:val="Normal"/>
    <w:link w:val="BalloonTextChar"/>
    <w:uiPriority w:val="99"/>
    <w:semiHidden/>
    <w:unhideWhenUsed/>
    <w:rsid w:val="002B4FB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B4FB1"/>
    <w:rPr>
      <w:rFonts w:ascii="Lucida Grande" w:hAnsi="Lucida Grande" w:cs="Lucida Grande"/>
      <w:sz w:val="18"/>
      <w:szCs w:val="18"/>
    </w:rPr>
  </w:style>
  <w:style w:type="paragraph" w:styleId="Header">
    <w:name w:val="header"/>
    <w:basedOn w:val="Normal"/>
    <w:link w:val="HeaderChar"/>
    <w:uiPriority w:val="99"/>
    <w:unhideWhenUsed/>
    <w:rsid w:val="00107181"/>
    <w:pPr>
      <w:tabs>
        <w:tab w:val="center" w:pos="4320"/>
        <w:tab w:val="right" w:pos="8640"/>
      </w:tabs>
    </w:pPr>
  </w:style>
  <w:style w:type="character" w:customStyle="1" w:styleId="HeaderChar">
    <w:name w:val="Header Char"/>
    <w:basedOn w:val="DefaultParagraphFont"/>
    <w:link w:val="Header"/>
    <w:uiPriority w:val="99"/>
    <w:rsid w:val="00107181"/>
  </w:style>
  <w:style w:type="paragraph" w:styleId="Footer">
    <w:name w:val="footer"/>
    <w:basedOn w:val="Normal"/>
    <w:link w:val="FooterChar"/>
    <w:uiPriority w:val="99"/>
    <w:unhideWhenUsed/>
    <w:rsid w:val="00107181"/>
    <w:pPr>
      <w:tabs>
        <w:tab w:val="center" w:pos="4320"/>
        <w:tab w:val="right" w:pos="8640"/>
      </w:tabs>
    </w:pPr>
  </w:style>
  <w:style w:type="character" w:customStyle="1" w:styleId="FooterChar">
    <w:name w:val="Footer Char"/>
    <w:basedOn w:val="DefaultParagraphFont"/>
    <w:link w:val="Footer"/>
    <w:uiPriority w:val="99"/>
    <w:rsid w:val="001071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867260">
      <w:bodyDiv w:val="1"/>
      <w:marLeft w:val="0"/>
      <w:marRight w:val="0"/>
      <w:marTop w:val="0"/>
      <w:marBottom w:val="0"/>
      <w:divBdr>
        <w:top w:val="none" w:sz="0" w:space="0" w:color="auto"/>
        <w:left w:val="none" w:sz="0" w:space="0" w:color="auto"/>
        <w:bottom w:val="none" w:sz="0" w:space="0" w:color="auto"/>
        <w:right w:val="none" w:sz="0" w:space="0" w:color="auto"/>
      </w:divBdr>
      <w:divsChild>
        <w:div w:id="1634482092">
          <w:marLeft w:val="0"/>
          <w:marRight w:val="0"/>
          <w:marTop w:val="0"/>
          <w:marBottom w:val="0"/>
          <w:divBdr>
            <w:top w:val="none" w:sz="0" w:space="0" w:color="auto"/>
            <w:left w:val="none" w:sz="0" w:space="0" w:color="auto"/>
            <w:bottom w:val="none" w:sz="0" w:space="0" w:color="auto"/>
            <w:right w:val="none" w:sz="0" w:space="0" w:color="auto"/>
          </w:divBdr>
        </w:div>
        <w:div w:id="1686590531">
          <w:marLeft w:val="0"/>
          <w:marRight w:val="0"/>
          <w:marTop w:val="0"/>
          <w:marBottom w:val="0"/>
          <w:divBdr>
            <w:top w:val="none" w:sz="0" w:space="0" w:color="auto"/>
            <w:left w:val="none" w:sz="0" w:space="0" w:color="auto"/>
            <w:bottom w:val="none" w:sz="0" w:space="0" w:color="auto"/>
            <w:right w:val="none" w:sz="0" w:space="0" w:color="auto"/>
          </w:divBdr>
        </w:div>
        <w:div w:id="504127676">
          <w:marLeft w:val="0"/>
          <w:marRight w:val="0"/>
          <w:marTop w:val="0"/>
          <w:marBottom w:val="0"/>
          <w:divBdr>
            <w:top w:val="none" w:sz="0" w:space="0" w:color="auto"/>
            <w:left w:val="none" w:sz="0" w:space="0" w:color="auto"/>
            <w:bottom w:val="none" w:sz="0" w:space="0" w:color="auto"/>
            <w:right w:val="none" w:sz="0" w:space="0" w:color="auto"/>
          </w:divBdr>
        </w:div>
        <w:div w:id="762341004">
          <w:marLeft w:val="0"/>
          <w:marRight w:val="0"/>
          <w:marTop w:val="0"/>
          <w:marBottom w:val="0"/>
          <w:divBdr>
            <w:top w:val="none" w:sz="0" w:space="0" w:color="auto"/>
            <w:left w:val="none" w:sz="0" w:space="0" w:color="auto"/>
            <w:bottom w:val="none" w:sz="0" w:space="0" w:color="auto"/>
            <w:right w:val="none" w:sz="0" w:space="0" w:color="auto"/>
          </w:divBdr>
        </w:div>
        <w:div w:id="1104496496">
          <w:marLeft w:val="0"/>
          <w:marRight w:val="0"/>
          <w:marTop w:val="0"/>
          <w:marBottom w:val="0"/>
          <w:divBdr>
            <w:top w:val="none" w:sz="0" w:space="0" w:color="auto"/>
            <w:left w:val="none" w:sz="0" w:space="0" w:color="auto"/>
            <w:bottom w:val="none" w:sz="0" w:space="0" w:color="auto"/>
            <w:right w:val="none" w:sz="0" w:space="0" w:color="auto"/>
          </w:divBdr>
        </w:div>
        <w:div w:id="1101803487">
          <w:marLeft w:val="0"/>
          <w:marRight w:val="0"/>
          <w:marTop w:val="0"/>
          <w:marBottom w:val="0"/>
          <w:divBdr>
            <w:top w:val="none" w:sz="0" w:space="0" w:color="auto"/>
            <w:left w:val="none" w:sz="0" w:space="0" w:color="auto"/>
            <w:bottom w:val="none" w:sz="0" w:space="0" w:color="auto"/>
            <w:right w:val="none" w:sz="0" w:space="0" w:color="auto"/>
          </w:divBdr>
        </w:div>
        <w:div w:id="336083205">
          <w:marLeft w:val="0"/>
          <w:marRight w:val="0"/>
          <w:marTop w:val="0"/>
          <w:marBottom w:val="0"/>
          <w:divBdr>
            <w:top w:val="none" w:sz="0" w:space="0" w:color="auto"/>
            <w:left w:val="none" w:sz="0" w:space="0" w:color="auto"/>
            <w:bottom w:val="none" w:sz="0" w:space="0" w:color="auto"/>
            <w:right w:val="none" w:sz="0" w:space="0" w:color="auto"/>
          </w:divBdr>
        </w:div>
        <w:div w:id="306325452">
          <w:marLeft w:val="0"/>
          <w:marRight w:val="0"/>
          <w:marTop w:val="0"/>
          <w:marBottom w:val="0"/>
          <w:divBdr>
            <w:top w:val="none" w:sz="0" w:space="0" w:color="auto"/>
            <w:left w:val="none" w:sz="0" w:space="0" w:color="auto"/>
            <w:bottom w:val="none" w:sz="0" w:space="0" w:color="auto"/>
            <w:right w:val="none" w:sz="0" w:space="0" w:color="auto"/>
          </w:divBdr>
        </w:div>
        <w:div w:id="1346712599">
          <w:marLeft w:val="0"/>
          <w:marRight w:val="0"/>
          <w:marTop w:val="0"/>
          <w:marBottom w:val="0"/>
          <w:divBdr>
            <w:top w:val="none" w:sz="0" w:space="0" w:color="auto"/>
            <w:left w:val="none" w:sz="0" w:space="0" w:color="auto"/>
            <w:bottom w:val="none" w:sz="0" w:space="0" w:color="auto"/>
            <w:right w:val="none" w:sz="0" w:space="0" w:color="auto"/>
          </w:divBdr>
        </w:div>
        <w:div w:id="1580871233">
          <w:marLeft w:val="0"/>
          <w:marRight w:val="0"/>
          <w:marTop w:val="0"/>
          <w:marBottom w:val="0"/>
          <w:divBdr>
            <w:top w:val="none" w:sz="0" w:space="0" w:color="auto"/>
            <w:left w:val="none" w:sz="0" w:space="0" w:color="auto"/>
            <w:bottom w:val="none" w:sz="0" w:space="0" w:color="auto"/>
            <w:right w:val="none" w:sz="0" w:space="0" w:color="auto"/>
          </w:divBdr>
        </w:div>
        <w:div w:id="194194482">
          <w:marLeft w:val="0"/>
          <w:marRight w:val="0"/>
          <w:marTop w:val="0"/>
          <w:marBottom w:val="0"/>
          <w:divBdr>
            <w:top w:val="none" w:sz="0" w:space="0" w:color="auto"/>
            <w:left w:val="none" w:sz="0" w:space="0" w:color="auto"/>
            <w:bottom w:val="none" w:sz="0" w:space="0" w:color="auto"/>
            <w:right w:val="none" w:sz="0" w:space="0" w:color="auto"/>
          </w:divBdr>
        </w:div>
        <w:div w:id="45029034">
          <w:marLeft w:val="0"/>
          <w:marRight w:val="0"/>
          <w:marTop w:val="0"/>
          <w:marBottom w:val="0"/>
          <w:divBdr>
            <w:top w:val="none" w:sz="0" w:space="0" w:color="auto"/>
            <w:left w:val="none" w:sz="0" w:space="0" w:color="auto"/>
            <w:bottom w:val="none" w:sz="0" w:space="0" w:color="auto"/>
            <w:right w:val="none" w:sz="0" w:space="0" w:color="auto"/>
          </w:divBdr>
        </w:div>
        <w:div w:id="1978996885">
          <w:marLeft w:val="0"/>
          <w:marRight w:val="0"/>
          <w:marTop w:val="0"/>
          <w:marBottom w:val="0"/>
          <w:divBdr>
            <w:top w:val="none" w:sz="0" w:space="0" w:color="auto"/>
            <w:left w:val="none" w:sz="0" w:space="0" w:color="auto"/>
            <w:bottom w:val="none" w:sz="0" w:space="0" w:color="auto"/>
            <w:right w:val="none" w:sz="0" w:space="0" w:color="auto"/>
          </w:divBdr>
        </w:div>
      </w:divsChild>
    </w:div>
    <w:div w:id="98173426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thecommunityguide.org/vaccines/universally/requirements_school.html" TargetMode="External"/><Relationship Id="rId20" Type="http://schemas.openxmlformats.org/officeDocument/2006/relationships/theme" Target="theme/theme1.xml"/><Relationship Id="rId10" Type="http://schemas.openxmlformats.org/officeDocument/2006/relationships/hyperlink" Target="http://public.health.oregon.gov/PreventionWellness/VaccinesImmunization/Pages/research.aspx" TargetMode="External"/><Relationship Id="rId11" Type="http://schemas.openxmlformats.org/officeDocument/2006/relationships/hyperlink" Target="http://public.health.oregon.gov/PreventionWellness/VaccinesImmunization/Documents/ReligExemptReport.pdf" TargetMode="External"/><Relationship Id="rId12" Type="http://schemas.openxmlformats.org/officeDocument/2006/relationships/image" Target="media/image1.emf"/><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header" Target="header3.xml"/><Relationship Id="rId18" Type="http://schemas.openxmlformats.org/officeDocument/2006/relationships/footer" Target="footer3.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B62D47-F6CF-A540-9EB0-12F7479A9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991</Words>
  <Characters>5649</Characters>
  <Application>Microsoft Macintosh Word</Application>
  <DocSecurity>0</DocSecurity>
  <Lines>47</Lines>
  <Paragraphs>13</Paragraphs>
  <ScaleCrop>false</ScaleCrop>
  <Company>Oregon Coalition of Local Health Officials, Inc</Company>
  <LinksUpToDate>false</LinksUpToDate>
  <CharactersWithSpaces>6627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Mowlds</dc:creator>
  <cp:keywords/>
  <dc:description/>
  <cp:lastModifiedBy>Erin Mowlds</cp:lastModifiedBy>
  <cp:revision>2</cp:revision>
  <dcterms:created xsi:type="dcterms:W3CDTF">2013-05-08T20:49:00Z</dcterms:created>
  <dcterms:modified xsi:type="dcterms:W3CDTF">2013-05-08T20:49:00Z</dcterms:modified>
</cp:coreProperties>
</file>