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582" w:rsidRDefault="001B2582" w:rsidP="001B2582">
      <w:pPr>
        <w:spacing w:after="0"/>
        <w:rPr>
          <w:b/>
          <w:sz w:val="28"/>
        </w:rPr>
      </w:pPr>
      <w:r w:rsidRPr="001B2582">
        <w:rPr>
          <w:b/>
          <w:sz w:val="28"/>
        </w:rPr>
        <w:t>Jackson County Public Health</w:t>
      </w:r>
      <w:r w:rsidR="00C435F2">
        <w:rPr>
          <w:b/>
          <w:sz w:val="28"/>
        </w:rPr>
        <w:t xml:space="preserve"> </w:t>
      </w:r>
      <w:r w:rsidRPr="001B2582">
        <w:rPr>
          <w:b/>
          <w:sz w:val="28"/>
        </w:rPr>
        <w:t xml:space="preserve">Performance &amp; Quality </w:t>
      </w:r>
    </w:p>
    <w:p w:rsidR="001B2582" w:rsidRPr="003F2AF2" w:rsidRDefault="001B2582" w:rsidP="001B2582">
      <w:pPr>
        <w:spacing w:after="0"/>
        <w:rPr>
          <w:b/>
        </w:rPr>
      </w:pPr>
    </w:p>
    <w:p w:rsidR="001B2582" w:rsidRDefault="001B2582" w:rsidP="001B2582">
      <w:pPr>
        <w:spacing w:after="0"/>
        <w:rPr>
          <w:b/>
          <w:sz w:val="24"/>
        </w:rPr>
      </w:pPr>
      <w:r>
        <w:rPr>
          <w:b/>
          <w:sz w:val="24"/>
        </w:rPr>
        <w:t>Performance Management Software Options</w:t>
      </w:r>
    </w:p>
    <w:p w:rsidR="001B2582" w:rsidRDefault="001B2582" w:rsidP="001B2582">
      <w:pPr>
        <w:spacing w:after="0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2435"/>
        <w:gridCol w:w="2970"/>
        <w:gridCol w:w="2970"/>
        <w:gridCol w:w="2880"/>
      </w:tblGrid>
      <w:tr w:rsidR="004F4441" w:rsidTr="00C435F2">
        <w:tc>
          <w:tcPr>
            <w:tcW w:w="1520" w:type="dxa"/>
          </w:tcPr>
          <w:p w:rsidR="004F4441" w:rsidRDefault="004F4441" w:rsidP="001B2582">
            <w:pPr>
              <w:rPr>
                <w:b/>
                <w:sz w:val="24"/>
              </w:rPr>
            </w:pPr>
          </w:p>
        </w:tc>
        <w:tc>
          <w:tcPr>
            <w:tcW w:w="2435" w:type="dxa"/>
            <w:shd w:val="clear" w:color="auto" w:fill="E7E6E6" w:themeFill="background2"/>
          </w:tcPr>
          <w:p w:rsidR="004F4441" w:rsidRDefault="004F4441" w:rsidP="005A5FF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VMSG</w:t>
            </w:r>
          </w:p>
        </w:tc>
        <w:tc>
          <w:tcPr>
            <w:tcW w:w="2970" w:type="dxa"/>
            <w:shd w:val="clear" w:color="auto" w:fill="E7E6E6" w:themeFill="background2"/>
          </w:tcPr>
          <w:p w:rsidR="004F4441" w:rsidRDefault="004F4441" w:rsidP="005A5FF5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InsightVision</w:t>
            </w:r>
            <w:proofErr w:type="spellEnd"/>
          </w:p>
        </w:tc>
        <w:tc>
          <w:tcPr>
            <w:tcW w:w="2970" w:type="dxa"/>
            <w:shd w:val="clear" w:color="auto" w:fill="E7E6E6" w:themeFill="background2"/>
          </w:tcPr>
          <w:p w:rsidR="004F4441" w:rsidRDefault="004F4441" w:rsidP="005A5FF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Achieve It</w:t>
            </w:r>
          </w:p>
        </w:tc>
        <w:tc>
          <w:tcPr>
            <w:tcW w:w="2880" w:type="dxa"/>
            <w:shd w:val="clear" w:color="auto" w:fill="E7E6E6" w:themeFill="background2"/>
          </w:tcPr>
          <w:p w:rsidR="004F4441" w:rsidRDefault="004F4441" w:rsidP="005A5FF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Clear Impact Scorecard</w:t>
            </w:r>
          </w:p>
        </w:tc>
      </w:tr>
      <w:tr w:rsidR="004F4441" w:rsidTr="00C435F2">
        <w:tc>
          <w:tcPr>
            <w:tcW w:w="1520" w:type="dxa"/>
            <w:shd w:val="clear" w:color="auto" w:fill="E7E6E6" w:themeFill="background2"/>
          </w:tcPr>
          <w:p w:rsidR="004F4441" w:rsidRPr="001B2582" w:rsidRDefault="004F4441" w:rsidP="001B2582">
            <w:pPr>
              <w:rPr>
                <w:sz w:val="24"/>
              </w:rPr>
            </w:pPr>
            <w:r>
              <w:rPr>
                <w:sz w:val="24"/>
              </w:rPr>
              <w:t>Cost</w:t>
            </w:r>
          </w:p>
        </w:tc>
        <w:tc>
          <w:tcPr>
            <w:tcW w:w="2435" w:type="dxa"/>
            <w:vAlign w:val="center"/>
          </w:tcPr>
          <w:p w:rsidR="004F4441" w:rsidRDefault="004F4441" w:rsidP="005A5FF5">
            <w:pPr>
              <w:jc w:val="center"/>
            </w:pPr>
            <w:r>
              <w:t>$100/user per year</w:t>
            </w:r>
          </w:p>
          <w:p w:rsidR="004F4441" w:rsidRPr="001B2582" w:rsidRDefault="004F4441" w:rsidP="005A5FF5">
            <w:pPr>
              <w:jc w:val="center"/>
            </w:pPr>
            <w:r>
              <w:t>min. of 10 users</w:t>
            </w:r>
          </w:p>
        </w:tc>
        <w:tc>
          <w:tcPr>
            <w:tcW w:w="2970" w:type="dxa"/>
            <w:vAlign w:val="center"/>
          </w:tcPr>
          <w:p w:rsidR="004F4441" w:rsidRPr="001B2582" w:rsidRDefault="008022B4" w:rsidP="008022B4">
            <w:pPr>
              <w:jc w:val="center"/>
            </w:pPr>
            <w:r>
              <w:t xml:space="preserve">Complicated – see spreadsheet. Able to do a one-time purchase or a monthly fee for user licenses. One-time purchase licenses then also have an annual fee. Min of 10 users. Many features and technical assistance options cost extra </w:t>
            </w:r>
          </w:p>
        </w:tc>
        <w:tc>
          <w:tcPr>
            <w:tcW w:w="2970" w:type="dxa"/>
            <w:vAlign w:val="center"/>
          </w:tcPr>
          <w:p w:rsidR="004F4441" w:rsidRDefault="002A0E4F" w:rsidP="008022B4">
            <w:pPr>
              <w:jc w:val="center"/>
            </w:pPr>
            <w:r>
              <w:t>$500 – 1000/user per year</w:t>
            </w:r>
          </w:p>
          <w:p w:rsidR="002A0E4F" w:rsidRDefault="002A0E4F" w:rsidP="008022B4">
            <w:pPr>
              <w:jc w:val="center"/>
            </w:pPr>
            <w:r>
              <w:t>Lower price per user with higher number of users</w:t>
            </w:r>
          </w:p>
          <w:p w:rsidR="002A0E4F" w:rsidRDefault="002A0E4F" w:rsidP="008022B4">
            <w:pPr>
              <w:jc w:val="center"/>
            </w:pPr>
            <w:r>
              <w:t>Typically min. 25 users</w:t>
            </w:r>
          </w:p>
          <w:p w:rsidR="003F2AF2" w:rsidRDefault="003F2AF2" w:rsidP="008022B4">
            <w:pPr>
              <w:jc w:val="center"/>
            </w:pPr>
            <w:r>
              <w:t>Have been cagey about given us an exact estimate for our division</w:t>
            </w:r>
          </w:p>
          <w:p w:rsidR="008022B4" w:rsidRDefault="008022B4" w:rsidP="008022B4">
            <w:pPr>
              <w:jc w:val="center"/>
            </w:pPr>
          </w:p>
          <w:p w:rsidR="008022B4" w:rsidRPr="001B2582" w:rsidRDefault="008022B4" w:rsidP="008022B4">
            <w:pPr>
              <w:jc w:val="center"/>
            </w:pPr>
            <w:r>
              <w:t>Staff training and other high-intensity technical assistance and customer service options included in the price</w:t>
            </w:r>
          </w:p>
        </w:tc>
        <w:tc>
          <w:tcPr>
            <w:tcW w:w="2880" w:type="dxa"/>
            <w:vAlign w:val="center"/>
          </w:tcPr>
          <w:p w:rsidR="004F4441" w:rsidRDefault="008022B4" w:rsidP="008022B4">
            <w:pPr>
              <w:jc w:val="center"/>
            </w:pPr>
            <w:r>
              <w:t>$50/user/month ($600/user per year)</w:t>
            </w:r>
          </w:p>
          <w:p w:rsidR="008022B4" w:rsidRDefault="008022B4" w:rsidP="008022B4">
            <w:pPr>
              <w:jc w:val="center"/>
            </w:pPr>
            <w:r>
              <w:t xml:space="preserve">min. of 5 users </w:t>
            </w:r>
          </w:p>
          <w:p w:rsidR="008022B4" w:rsidRDefault="008022B4" w:rsidP="008022B4">
            <w:pPr>
              <w:jc w:val="center"/>
            </w:pPr>
          </w:p>
          <w:p w:rsidR="008022B4" w:rsidRPr="001B2582" w:rsidRDefault="008022B4" w:rsidP="008022B4">
            <w:pPr>
              <w:jc w:val="center"/>
            </w:pPr>
            <w:r>
              <w:t>On-site training and advanced technical assistance avail for additional fee</w:t>
            </w:r>
          </w:p>
        </w:tc>
      </w:tr>
      <w:tr w:rsidR="004F4441" w:rsidTr="00C435F2">
        <w:tc>
          <w:tcPr>
            <w:tcW w:w="1520" w:type="dxa"/>
            <w:shd w:val="clear" w:color="auto" w:fill="E7E6E6" w:themeFill="background2"/>
          </w:tcPr>
          <w:p w:rsidR="004F4441" w:rsidRPr="001B2582" w:rsidRDefault="004F4441" w:rsidP="001B2582">
            <w:pPr>
              <w:rPr>
                <w:sz w:val="24"/>
              </w:rPr>
            </w:pPr>
            <w:r>
              <w:rPr>
                <w:sz w:val="24"/>
              </w:rPr>
              <w:t>Cloud-based</w:t>
            </w:r>
          </w:p>
        </w:tc>
        <w:tc>
          <w:tcPr>
            <w:tcW w:w="2435" w:type="dxa"/>
            <w:vAlign w:val="center"/>
          </w:tcPr>
          <w:p w:rsidR="004F4441" w:rsidRPr="001B2582" w:rsidRDefault="004F4441" w:rsidP="005A5FF5">
            <w:pPr>
              <w:jc w:val="center"/>
            </w:pPr>
            <w:r>
              <w:t>yes</w:t>
            </w:r>
          </w:p>
        </w:tc>
        <w:tc>
          <w:tcPr>
            <w:tcW w:w="2970" w:type="dxa"/>
            <w:vAlign w:val="center"/>
          </w:tcPr>
          <w:p w:rsidR="004F4441" w:rsidRPr="001B2582" w:rsidRDefault="008022B4" w:rsidP="008022B4">
            <w:pPr>
              <w:jc w:val="center"/>
            </w:pPr>
            <w:r>
              <w:t>yes</w:t>
            </w:r>
          </w:p>
        </w:tc>
        <w:tc>
          <w:tcPr>
            <w:tcW w:w="2970" w:type="dxa"/>
            <w:vAlign w:val="center"/>
          </w:tcPr>
          <w:p w:rsidR="004F4441" w:rsidRPr="001B2582" w:rsidRDefault="002A0E4F" w:rsidP="008022B4">
            <w:pPr>
              <w:jc w:val="center"/>
            </w:pPr>
            <w:r>
              <w:t>yes</w:t>
            </w:r>
          </w:p>
        </w:tc>
        <w:tc>
          <w:tcPr>
            <w:tcW w:w="2880" w:type="dxa"/>
            <w:vAlign w:val="center"/>
          </w:tcPr>
          <w:p w:rsidR="004F4441" w:rsidRPr="001B2582" w:rsidRDefault="008022B4" w:rsidP="008022B4">
            <w:pPr>
              <w:jc w:val="center"/>
            </w:pPr>
            <w:r>
              <w:t>yes</w:t>
            </w:r>
          </w:p>
        </w:tc>
      </w:tr>
      <w:tr w:rsidR="004F4441" w:rsidTr="00C435F2">
        <w:tc>
          <w:tcPr>
            <w:tcW w:w="1520" w:type="dxa"/>
            <w:shd w:val="clear" w:color="auto" w:fill="E7E6E6" w:themeFill="background2"/>
          </w:tcPr>
          <w:p w:rsidR="004F4441" w:rsidRPr="001B2582" w:rsidRDefault="004F4441" w:rsidP="001B2582">
            <w:pPr>
              <w:rPr>
                <w:sz w:val="24"/>
              </w:rPr>
            </w:pPr>
            <w:r>
              <w:rPr>
                <w:sz w:val="24"/>
              </w:rPr>
              <w:t>Auto prompts for data entry</w:t>
            </w:r>
          </w:p>
        </w:tc>
        <w:tc>
          <w:tcPr>
            <w:tcW w:w="2435" w:type="dxa"/>
            <w:vAlign w:val="center"/>
          </w:tcPr>
          <w:p w:rsidR="004F4441" w:rsidRPr="001B2582" w:rsidRDefault="004F4441" w:rsidP="005A5FF5">
            <w:pPr>
              <w:jc w:val="center"/>
            </w:pPr>
            <w:r>
              <w:t>yes</w:t>
            </w:r>
          </w:p>
        </w:tc>
        <w:tc>
          <w:tcPr>
            <w:tcW w:w="2970" w:type="dxa"/>
            <w:vAlign w:val="center"/>
          </w:tcPr>
          <w:p w:rsidR="004F4441" w:rsidRPr="001B2582" w:rsidRDefault="008022B4" w:rsidP="008022B4">
            <w:pPr>
              <w:jc w:val="center"/>
            </w:pPr>
            <w:r>
              <w:t>no</w:t>
            </w:r>
          </w:p>
        </w:tc>
        <w:tc>
          <w:tcPr>
            <w:tcW w:w="2970" w:type="dxa"/>
            <w:vAlign w:val="center"/>
          </w:tcPr>
          <w:p w:rsidR="004F4441" w:rsidRDefault="002A0E4F" w:rsidP="008022B4">
            <w:pPr>
              <w:jc w:val="center"/>
            </w:pPr>
            <w:r>
              <w:t>yes</w:t>
            </w:r>
          </w:p>
          <w:p w:rsidR="002A0E4F" w:rsidRPr="001B2582" w:rsidRDefault="002A0E4F" w:rsidP="008022B4">
            <w:pPr>
              <w:jc w:val="center"/>
            </w:pPr>
            <w:r>
              <w:t>e-mail prompt comes with link directly into recipient’s data entry portal</w:t>
            </w:r>
          </w:p>
        </w:tc>
        <w:tc>
          <w:tcPr>
            <w:tcW w:w="2880" w:type="dxa"/>
            <w:vAlign w:val="center"/>
          </w:tcPr>
          <w:p w:rsidR="004F4441" w:rsidRDefault="00761A25" w:rsidP="008022B4">
            <w:pPr>
              <w:jc w:val="center"/>
            </w:pPr>
            <w:r>
              <w:t>y</w:t>
            </w:r>
            <w:r w:rsidR="008022B4">
              <w:t>es</w:t>
            </w:r>
          </w:p>
          <w:p w:rsidR="00761A25" w:rsidRPr="001B2582" w:rsidRDefault="00761A25" w:rsidP="008022B4">
            <w:pPr>
              <w:jc w:val="center"/>
            </w:pPr>
            <w:r>
              <w:t>(may not be as straight-forward as for other options?)</w:t>
            </w:r>
            <w:bookmarkStart w:id="0" w:name="_GoBack"/>
            <w:bookmarkEnd w:id="0"/>
          </w:p>
        </w:tc>
      </w:tr>
      <w:tr w:rsidR="004F4441" w:rsidTr="00C435F2">
        <w:tc>
          <w:tcPr>
            <w:tcW w:w="1520" w:type="dxa"/>
            <w:shd w:val="clear" w:color="auto" w:fill="E7E6E6" w:themeFill="background2"/>
          </w:tcPr>
          <w:p w:rsidR="004F4441" w:rsidRPr="001B2582" w:rsidRDefault="004F4441" w:rsidP="001B2582">
            <w:pPr>
              <w:rPr>
                <w:sz w:val="24"/>
              </w:rPr>
            </w:pPr>
            <w:r>
              <w:rPr>
                <w:sz w:val="24"/>
              </w:rPr>
              <w:t>Graphics/ Visuals</w:t>
            </w:r>
          </w:p>
        </w:tc>
        <w:tc>
          <w:tcPr>
            <w:tcW w:w="2435" w:type="dxa"/>
            <w:vAlign w:val="center"/>
          </w:tcPr>
          <w:p w:rsidR="008022B4" w:rsidRDefault="008022B4" w:rsidP="00DA40C6">
            <w:pPr>
              <w:jc w:val="center"/>
            </w:pPr>
            <w:r>
              <w:t>OK</w:t>
            </w:r>
          </w:p>
          <w:p w:rsidR="004F4441" w:rsidRPr="001B2582" w:rsidRDefault="00DA40C6" w:rsidP="00DA40C6">
            <w:pPr>
              <w:jc w:val="center"/>
            </w:pPr>
            <w:r>
              <w:t>R</w:t>
            </w:r>
            <w:r w:rsidR="004F4441">
              <w:t>udimentary</w:t>
            </w:r>
            <w:r>
              <w:t>, but functional</w:t>
            </w:r>
            <w:r w:rsidR="008022B4">
              <w:t>; least impressive compared to other options</w:t>
            </w:r>
          </w:p>
        </w:tc>
        <w:tc>
          <w:tcPr>
            <w:tcW w:w="2970" w:type="dxa"/>
            <w:vAlign w:val="center"/>
          </w:tcPr>
          <w:p w:rsidR="004F4441" w:rsidRDefault="00D32A40" w:rsidP="008022B4">
            <w:pPr>
              <w:jc w:val="center"/>
            </w:pPr>
            <w:r>
              <w:t>Good</w:t>
            </w:r>
          </w:p>
          <w:p w:rsidR="00C435F2" w:rsidRPr="001B2582" w:rsidRDefault="00C435F2" w:rsidP="008022B4">
            <w:pPr>
              <w:jc w:val="center"/>
            </w:pPr>
            <w:r>
              <w:t>Able to link notes to data points in interactive graphics</w:t>
            </w:r>
          </w:p>
        </w:tc>
        <w:tc>
          <w:tcPr>
            <w:tcW w:w="2970" w:type="dxa"/>
            <w:vAlign w:val="center"/>
          </w:tcPr>
          <w:p w:rsidR="004F4441" w:rsidRDefault="002A0E4F" w:rsidP="008022B4">
            <w:pPr>
              <w:jc w:val="center"/>
            </w:pPr>
            <w:r>
              <w:t>Excellent</w:t>
            </w:r>
          </w:p>
          <w:p w:rsidR="006B0B3F" w:rsidRPr="001B2582" w:rsidRDefault="006B0B3F" w:rsidP="008022B4">
            <w:pPr>
              <w:jc w:val="center"/>
            </w:pPr>
            <w:r>
              <w:t>Best graphics of all options</w:t>
            </w:r>
          </w:p>
        </w:tc>
        <w:tc>
          <w:tcPr>
            <w:tcW w:w="2880" w:type="dxa"/>
            <w:vAlign w:val="center"/>
          </w:tcPr>
          <w:p w:rsidR="004F4441" w:rsidRDefault="00D32A40" w:rsidP="008022B4">
            <w:pPr>
              <w:jc w:val="center"/>
            </w:pPr>
            <w:r>
              <w:t>Good</w:t>
            </w:r>
          </w:p>
          <w:p w:rsidR="00D32A40" w:rsidRPr="001B2582" w:rsidRDefault="00D32A40" w:rsidP="008022B4">
            <w:pPr>
              <w:jc w:val="center"/>
            </w:pPr>
            <w:r>
              <w:t xml:space="preserve">Able to attach context notes to interactive graphics – can note reasons for sudden decreases in performance, </w:t>
            </w:r>
            <w:proofErr w:type="spellStart"/>
            <w:r>
              <w:t>etc</w:t>
            </w:r>
            <w:proofErr w:type="spellEnd"/>
          </w:p>
        </w:tc>
      </w:tr>
      <w:tr w:rsidR="004F4441" w:rsidTr="00C435F2">
        <w:tc>
          <w:tcPr>
            <w:tcW w:w="1520" w:type="dxa"/>
            <w:shd w:val="clear" w:color="auto" w:fill="E7E6E6" w:themeFill="background2"/>
          </w:tcPr>
          <w:p w:rsidR="004F4441" w:rsidRPr="001B2582" w:rsidRDefault="004F4441" w:rsidP="001B2582">
            <w:pPr>
              <w:rPr>
                <w:sz w:val="24"/>
              </w:rPr>
            </w:pPr>
            <w:r>
              <w:rPr>
                <w:sz w:val="24"/>
              </w:rPr>
              <w:t>Ease of Use</w:t>
            </w:r>
          </w:p>
        </w:tc>
        <w:tc>
          <w:tcPr>
            <w:tcW w:w="2435" w:type="dxa"/>
            <w:vAlign w:val="center"/>
          </w:tcPr>
          <w:p w:rsidR="003F2AF2" w:rsidRDefault="003F2AF2" w:rsidP="005A5FF5">
            <w:pPr>
              <w:jc w:val="center"/>
            </w:pPr>
          </w:p>
          <w:p w:rsidR="004F4441" w:rsidRDefault="004F4441" w:rsidP="005A5FF5">
            <w:pPr>
              <w:jc w:val="center"/>
            </w:pPr>
            <w:r>
              <w:t>Relatively easy</w:t>
            </w:r>
            <w:r w:rsidR="00D32A40">
              <w:t xml:space="preserve"> per references</w:t>
            </w:r>
          </w:p>
          <w:p w:rsidR="003F2AF2" w:rsidRDefault="003F2AF2" w:rsidP="005A5FF5">
            <w:pPr>
              <w:jc w:val="center"/>
            </w:pPr>
          </w:p>
          <w:p w:rsidR="003F2AF2" w:rsidRPr="001B2582" w:rsidRDefault="003F2AF2" w:rsidP="005A5FF5">
            <w:pPr>
              <w:jc w:val="center"/>
            </w:pPr>
          </w:p>
        </w:tc>
        <w:tc>
          <w:tcPr>
            <w:tcW w:w="2970" w:type="dxa"/>
            <w:vAlign w:val="center"/>
          </w:tcPr>
          <w:p w:rsidR="004F4441" w:rsidRPr="001B2582" w:rsidRDefault="00C435F2" w:rsidP="008022B4">
            <w:pPr>
              <w:jc w:val="center"/>
            </w:pPr>
            <w:r>
              <w:t>?</w:t>
            </w:r>
          </w:p>
        </w:tc>
        <w:tc>
          <w:tcPr>
            <w:tcW w:w="2970" w:type="dxa"/>
            <w:vAlign w:val="center"/>
          </w:tcPr>
          <w:p w:rsidR="004F4441" w:rsidRPr="001B2582" w:rsidRDefault="002A0E4F" w:rsidP="008022B4">
            <w:pPr>
              <w:jc w:val="center"/>
            </w:pPr>
            <w:r>
              <w:t>Appears very user-friendly</w:t>
            </w:r>
          </w:p>
        </w:tc>
        <w:tc>
          <w:tcPr>
            <w:tcW w:w="2880" w:type="dxa"/>
            <w:vAlign w:val="center"/>
          </w:tcPr>
          <w:p w:rsidR="004F4441" w:rsidRDefault="00C435F2" w:rsidP="008022B4">
            <w:pPr>
              <w:jc w:val="center"/>
            </w:pPr>
            <w:r>
              <w:t>?</w:t>
            </w:r>
          </w:p>
          <w:p w:rsidR="00C435F2" w:rsidRPr="001B2582" w:rsidRDefault="00C435F2" w:rsidP="008022B4">
            <w:pPr>
              <w:jc w:val="center"/>
            </w:pPr>
            <w:r>
              <w:t>Able to restrict what different users have access to in order to reduce confusion</w:t>
            </w:r>
          </w:p>
        </w:tc>
      </w:tr>
      <w:tr w:rsidR="003F2AF2" w:rsidTr="003F2AF2">
        <w:tc>
          <w:tcPr>
            <w:tcW w:w="1520" w:type="dxa"/>
            <w:shd w:val="clear" w:color="auto" w:fill="auto"/>
          </w:tcPr>
          <w:p w:rsidR="003F2AF2" w:rsidRDefault="003F2AF2" w:rsidP="003F2AF2">
            <w:pPr>
              <w:rPr>
                <w:sz w:val="24"/>
              </w:rPr>
            </w:pPr>
          </w:p>
        </w:tc>
        <w:tc>
          <w:tcPr>
            <w:tcW w:w="2435" w:type="dxa"/>
            <w:shd w:val="clear" w:color="auto" w:fill="E7E6E6" w:themeFill="background2"/>
          </w:tcPr>
          <w:p w:rsidR="003F2AF2" w:rsidRDefault="003F2AF2" w:rsidP="003F2A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VMSG</w:t>
            </w:r>
          </w:p>
        </w:tc>
        <w:tc>
          <w:tcPr>
            <w:tcW w:w="2970" w:type="dxa"/>
            <w:shd w:val="clear" w:color="auto" w:fill="E7E6E6" w:themeFill="background2"/>
          </w:tcPr>
          <w:p w:rsidR="003F2AF2" w:rsidRDefault="003F2AF2" w:rsidP="003F2AF2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InsightVision</w:t>
            </w:r>
            <w:proofErr w:type="spellEnd"/>
          </w:p>
        </w:tc>
        <w:tc>
          <w:tcPr>
            <w:tcW w:w="2970" w:type="dxa"/>
            <w:shd w:val="clear" w:color="auto" w:fill="E7E6E6" w:themeFill="background2"/>
          </w:tcPr>
          <w:p w:rsidR="003F2AF2" w:rsidRDefault="003F2AF2" w:rsidP="003F2A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Achieve It</w:t>
            </w:r>
          </w:p>
        </w:tc>
        <w:tc>
          <w:tcPr>
            <w:tcW w:w="2880" w:type="dxa"/>
            <w:shd w:val="clear" w:color="auto" w:fill="E7E6E6" w:themeFill="background2"/>
          </w:tcPr>
          <w:p w:rsidR="003F2AF2" w:rsidRDefault="003F2AF2" w:rsidP="003F2A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Clear Impact Scorecard</w:t>
            </w:r>
          </w:p>
        </w:tc>
      </w:tr>
      <w:tr w:rsidR="003F2AF2" w:rsidTr="00C435F2">
        <w:tc>
          <w:tcPr>
            <w:tcW w:w="1520" w:type="dxa"/>
            <w:shd w:val="clear" w:color="auto" w:fill="E7E6E6" w:themeFill="background2"/>
          </w:tcPr>
          <w:p w:rsidR="003F2AF2" w:rsidRDefault="003F2AF2" w:rsidP="003F2AF2">
            <w:pPr>
              <w:rPr>
                <w:sz w:val="24"/>
              </w:rPr>
            </w:pPr>
            <w:r>
              <w:rPr>
                <w:sz w:val="24"/>
              </w:rPr>
              <w:t>Technical support</w:t>
            </w:r>
          </w:p>
        </w:tc>
        <w:tc>
          <w:tcPr>
            <w:tcW w:w="2435" w:type="dxa"/>
            <w:vAlign w:val="center"/>
          </w:tcPr>
          <w:p w:rsidR="003F2AF2" w:rsidRDefault="003F2AF2" w:rsidP="003F2AF2">
            <w:pPr>
              <w:jc w:val="center"/>
            </w:pPr>
            <w:r>
              <w:t>Excellent per references</w:t>
            </w:r>
          </w:p>
          <w:p w:rsidR="003F2AF2" w:rsidRDefault="003F2AF2" w:rsidP="003F2AF2">
            <w:pPr>
              <w:jc w:val="center"/>
            </w:pPr>
          </w:p>
          <w:p w:rsidR="003F2AF2" w:rsidRDefault="003F2AF2" w:rsidP="003F2AF2">
            <w:pPr>
              <w:jc w:val="center"/>
            </w:pPr>
            <w:r>
              <w:t>Unlimited video and/or webinar-based user training</w:t>
            </w:r>
          </w:p>
          <w:p w:rsidR="003F2AF2" w:rsidRPr="001B2582" w:rsidRDefault="003F2AF2" w:rsidP="003F2AF2">
            <w:pPr>
              <w:jc w:val="center"/>
            </w:pPr>
            <w:r>
              <w:t>Operational plan development assistance included</w:t>
            </w:r>
          </w:p>
        </w:tc>
        <w:tc>
          <w:tcPr>
            <w:tcW w:w="2970" w:type="dxa"/>
            <w:vAlign w:val="center"/>
          </w:tcPr>
          <w:p w:rsidR="003F2AF2" w:rsidRDefault="003F2AF2" w:rsidP="003F2AF2">
            <w:pPr>
              <w:jc w:val="center"/>
            </w:pPr>
            <w:r>
              <w:t>?</w:t>
            </w:r>
          </w:p>
          <w:p w:rsidR="0055185F" w:rsidRDefault="0055185F" w:rsidP="003F2AF2">
            <w:pPr>
              <w:jc w:val="center"/>
            </w:pPr>
          </w:p>
          <w:p w:rsidR="0055185F" w:rsidRPr="001B2582" w:rsidRDefault="0055185F" w:rsidP="003F2AF2">
            <w:pPr>
              <w:jc w:val="center"/>
            </w:pPr>
            <w:r>
              <w:t>Technical assistance for designing scorecards and entering plans at an extra cost, only option presented is a large start-up package</w:t>
            </w:r>
          </w:p>
        </w:tc>
        <w:tc>
          <w:tcPr>
            <w:tcW w:w="2970" w:type="dxa"/>
            <w:vAlign w:val="center"/>
          </w:tcPr>
          <w:p w:rsidR="003F2AF2" w:rsidRPr="001B2582" w:rsidRDefault="003F2AF2" w:rsidP="003F2AF2">
            <w:pPr>
              <w:jc w:val="center"/>
            </w:pPr>
            <w:r>
              <w:t>Very strong support; training provided for all new users; Achieve IT staff will build plans into the system (ex. give them the Strategic Action Plan and they will get it up and running in the platform) – included in the cost</w:t>
            </w:r>
          </w:p>
        </w:tc>
        <w:tc>
          <w:tcPr>
            <w:tcW w:w="2880" w:type="dxa"/>
            <w:vAlign w:val="center"/>
          </w:tcPr>
          <w:p w:rsidR="003F2AF2" w:rsidRDefault="003F2AF2" w:rsidP="003F2AF2">
            <w:pPr>
              <w:jc w:val="center"/>
            </w:pPr>
            <w:r>
              <w:t>Large number of training videos available (no additional cost)</w:t>
            </w:r>
          </w:p>
          <w:p w:rsidR="003F2AF2" w:rsidRPr="001B2582" w:rsidRDefault="003F2AF2" w:rsidP="003F2AF2">
            <w:pPr>
              <w:jc w:val="center"/>
            </w:pPr>
            <w:r>
              <w:t xml:space="preserve">Technical assistance for designing scorecards, entering historical data, </w:t>
            </w:r>
            <w:proofErr w:type="spellStart"/>
            <w:r>
              <w:t>etc</w:t>
            </w:r>
            <w:proofErr w:type="spellEnd"/>
            <w:r>
              <w:t xml:space="preserve"> available at an hourly rate </w:t>
            </w:r>
          </w:p>
        </w:tc>
      </w:tr>
      <w:tr w:rsidR="003F2AF2" w:rsidTr="00C435F2">
        <w:tc>
          <w:tcPr>
            <w:tcW w:w="1520" w:type="dxa"/>
            <w:shd w:val="clear" w:color="auto" w:fill="E7E6E6" w:themeFill="background2"/>
          </w:tcPr>
          <w:p w:rsidR="003F2AF2" w:rsidRPr="001B2582" w:rsidRDefault="003F2AF2" w:rsidP="003F2AF2">
            <w:pPr>
              <w:rPr>
                <w:sz w:val="24"/>
              </w:rPr>
            </w:pPr>
            <w:r>
              <w:rPr>
                <w:sz w:val="24"/>
              </w:rPr>
              <w:t>Capability for external users (CHIP)</w:t>
            </w:r>
          </w:p>
        </w:tc>
        <w:tc>
          <w:tcPr>
            <w:tcW w:w="2435" w:type="dxa"/>
            <w:vAlign w:val="center"/>
          </w:tcPr>
          <w:p w:rsidR="003F2AF2" w:rsidRPr="001B2582" w:rsidRDefault="003F2AF2" w:rsidP="003F2AF2">
            <w:pPr>
              <w:jc w:val="center"/>
            </w:pPr>
            <w:r>
              <w:t>yes</w:t>
            </w:r>
          </w:p>
        </w:tc>
        <w:tc>
          <w:tcPr>
            <w:tcW w:w="2970" w:type="dxa"/>
            <w:vAlign w:val="center"/>
          </w:tcPr>
          <w:p w:rsidR="003F2AF2" w:rsidRPr="001B2582" w:rsidRDefault="003F2AF2" w:rsidP="003F2AF2">
            <w:pPr>
              <w:jc w:val="center"/>
            </w:pPr>
            <w:r>
              <w:t>yes</w:t>
            </w:r>
          </w:p>
        </w:tc>
        <w:tc>
          <w:tcPr>
            <w:tcW w:w="2970" w:type="dxa"/>
            <w:vAlign w:val="center"/>
          </w:tcPr>
          <w:p w:rsidR="003F2AF2" w:rsidRPr="001B2582" w:rsidRDefault="003F2AF2" w:rsidP="003F2AF2">
            <w:pPr>
              <w:jc w:val="center"/>
            </w:pPr>
            <w:r>
              <w:t>?</w:t>
            </w:r>
          </w:p>
        </w:tc>
        <w:tc>
          <w:tcPr>
            <w:tcW w:w="2880" w:type="dxa"/>
            <w:vAlign w:val="center"/>
          </w:tcPr>
          <w:p w:rsidR="003F2AF2" w:rsidRPr="001B2582" w:rsidRDefault="003F2AF2" w:rsidP="003F2AF2">
            <w:pPr>
              <w:jc w:val="center"/>
            </w:pPr>
            <w:r>
              <w:t>yes</w:t>
            </w:r>
          </w:p>
        </w:tc>
      </w:tr>
      <w:tr w:rsidR="003F2AF2" w:rsidTr="00C435F2">
        <w:tc>
          <w:tcPr>
            <w:tcW w:w="1520" w:type="dxa"/>
            <w:shd w:val="clear" w:color="auto" w:fill="E7E6E6" w:themeFill="background2"/>
          </w:tcPr>
          <w:p w:rsidR="003F2AF2" w:rsidRPr="001B2582" w:rsidRDefault="003F2AF2" w:rsidP="003F2AF2">
            <w:pPr>
              <w:rPr>
                <w:sz w:val="24"/>
              </w:rPr>
            </w:pPr>
            <w:r>
              <w:rPr>
                <w:sz w:val="24"/>
              </w:rPr>
              <w:t>Capability for public dashboard</w:t>
            </w:r>
          </w:p>
        </w:tc>
        <w:tc>
          <w:tcPr>
            <w:tcW w:w="2435" w:type="dxa"/>
            <w:vAlign w:val="center"/>
          </w:tcPr>
          <w:p w:rsidR="003F2AF2" w:rsidRPr="001B2582" w:rsidRDefault="003F2AF2" w:rsidP="003F2AF2">
            <w:pPr>
              <w:jc w:val="center"/>
            </w:pPr>
            <w:r>
              <w:t>no</w:t>
            </w:r>
          </w:p>
        </w:tc>
        <w:tc>
          <w:tcPr>
            <w:tcW w:w="2970" w:type="dxa"/>
            <w:vAlign w:val="center"/>
          </w:tcPr>
          <w:p w:rsidR="003F2AF2" w:rsidRDefault="003F2AF2" w:rsidP="003F2AF2">
            <w:pPr>
              <w:jc w:val="center"/>
            </w:pPr>
            <w:r>
              <w:t>yes</w:t>
            </w:r>
          </w:p>
          <w:p w:rsidR="003F2AF2" w:rsidRPr="001B2582" w:rsidRDefault="003F2AF2" w:rsidP="003F2AF2">
            <w:pPr>
              <w:jc w:val="center"/>
            </w:pPr>
            <w:r>
              <w:t>associated with a fairly high additional cost</w:t>
            </w:r>
          </w:p>
        </w:tc>
        <w:tc>
          <w:tcPr>
            <w:tcW w:w="2970" w:type="dxa"/>
            <w:vAlign w:val="center"/>
          </w:tcPr>
          <w:p w:rsidR="003F2AF2" w:rsidRPr="001B2582" w:rsidRDefault="003F2AF2" w:rsidP="003F2AF2">
            <w:pPr>
              <w:jc w:val="center"/>
            </w:pPr>
            <w:r>
              <w:t>?</w:t>
            </w:r>
          </w:p>
        </w:tc>
        <w:tc>
          <w:tcPr>
            <w:tcW w:w="2880" w:type="dxa"/>
            <w:vAlign w:val="center"/>
          </w:tcPr>
          <w:p w:rsidR="003F2AF2" w:rsidRPr="001B2582" w:rsidRDefault="003F2AF2" w:rsidP="003F2AF2">
            <w:pPr>
              <w:jc w:val="center"/>
            </w:pPr>
            <w:r>
              <w:t>Can either embed code into our own website or have a link to a website hosted by Clear Impact</w:t>
            </w:r>
          </w:p>
        </w:tc>
      </w:tr>
      <w:tr w:rsidR="003F2AF2" w:rsidTr="00C435F2">
        <w:tc>
          <w:tcPr>
            <w:tcW w:w="1520" w:type="dxa"/>
            <w:shd w:val="clear" w:color="auto" w:fill="E7E6E6" w:themeFill="background2"/>
          </w:tcPr>
          <w:p w:rsidR="003F2AF2" w:rsidRPr="001B2582" w:rsidRDefault="003F2AF2" w:rsidP="003F2AF2">
            <w:pPr>
              <w:rPr>
                <w:sz w:val="24"/>
              </w:rPr>
            </w:pPr>
            <w:r>
              <w:rPr>
                <w:sz w:val="24"/>
              </w:rPr>
              <w:t>Other</w:t>
            </w:r>
          </w:p>
        </w:tc>
        <w:tc>
          <w:tcPr>
            <w:tcW w:w="2435" w:type="dxa"/>
          </w:tcPr>
          <w:p w:rsidR="003F2AF2" w:rsidRDefault="003F2AF2" w:rsidP="003F2AF2">
            <w:pPr>
              <w:pStyle w:val="ListParagraph"/>
              <w:numPr>
                <w:ilvl w:val="0"/>
                <w:numId w:val="2"/>
              </w:numPr>
            </w:pPr>
            <w:r>
              <w:t>Built-in system for tracking Accreditation documentation</w:t>
            </w:r>
          </w:p>
          <w:p w:rsidR="003F2AF2" w:rsidRDefault="003F2AF2" w:rsidP="003F2AF2">
            <w:pPr>
              <w:pStyle w:val="ListParagraph"/>
              <w:numPr>
                <w:ilvl w:val="0"/>
                <w:numId w:val="2"/>
              </w:numPr>
            </w:pPr>
            <w:r>
              <w:t>Only work with public health departments; system designed specifically with health departments in mind</w:t>
            </w:r>
          </w:p>
          <w:p w:rsidR="003F2AF2" w:rsidRPr="001B2582" w:rsidRDefault="003F2AF2" w:rsidP="003F2AF2">
            <w:pPr>
              <w:pStyle w:val="ListParagraph"/>
              <w:numPr>
                <w:ilvl w:val="0"/>
                <w:numId w:val="2"/>
              </w:numPr>
            </w:pPr>
            <w:r>
              <w:t>Provided a reference list; references had very positive things to say</w:t>
            </w:r>
          </w:p>
        </w:tc>
        <w:tc>
          <w:tcPr>
            <w:tcW w:w="2970" w:type="dxa"/>
          </w:tcPr>
          <w:p w:rsidR="003F2AF2" w:rsidRDefault="003F2AF2" w:rsidP="003F2AF2">
            <w:pPr>
              <w:pStyle w:val="ListParagraph"/>
              <w:numPr>
                <w:ilvl w:val="0"/>
                <w:numId w:val="2"/>
              </w:numPr>
            </w:pPr>
            <w:r>
              <w:t>Grounded in the balanced scorecard performance management approach</w:t>
            </w:r>
          </w:p>
          <w:p w:rsidR="003F2AF2" w:rsidRDefault="003F2AF2" w:rsidP="003F2AF2">
            <w:pPr>
              <w:pStyle w:val="ListParagraph"/>
              <w:numPr>
                <w:ilvl w:val="0"/>
                <w:numId w:val="2"/>
              </w:numPr>
            </w:pPr>
            <w:r>
              <w:t>Reaccreditation module available at an additional cost; can have an unlimited number of people contribute – not limited to licensed users</w:t>
            </w:r>
          </w:p>
          <w:p w:rsidR="003F2AF2" w:rsidRDefault="003F2AF2" w:rsidP="003F2AF2">
            <w:pPr>
              <w:pStyle w:val="ListParagraph"/>
              <w:numPr>
                <w:ilvl w:val="0"/>
                <w:numId w:val="2"/>
              </w:numPr>
            </w:pPr>
            <w:r>
              <w:t>Many templates, tools, and white papers available</w:t>
            </w:r>
          </w:p>
          <w:p w:rsidR="0055185F" w:rsidRDefault="003F2AF2" w:rsidP="0055185F">
            <w:pPr>
              <w:pStyle w:val="ListParagraph"/>
              <w:numPr>
                <w:ilvl w:val="0"/>
                <w:numId w:val="2"/>
              </w:numPr>
            </w:pPr>
            <w:r>
              <w:t>Software also supports the creation of strategy maps and links the strategies to performance scorecards</w:t>
            </w:r>
          </w:p>
          <w:p w:rsidR="003F2AF2" w:rsidRDefault="003F2AF2" w:rsidP="003F2AF2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Majority of clients are now public health departments</w:t>
            </w:r>
          </w:p>
          <w:p w:rsidR="003F2AF2" w:rsidRPr="001B2582" w:rsidRDefault="003F2AF2" w:rsidP="003F2AF2">
            <w:pPr>
              <w:pStyle w:val="ListParagraph"/>
              <w:numPr>
                <w:ilvl w:val="0"/>
                <w:numId w:val="2"/>
              </w:numPr>
            </w:pPr>
            <w:r>
              <w:t xml:space="preserve">Clients include Weld County, CO; </w:t>
            </w:r>
            <w:proofErr w:type="spellStart"/>
            <w:r>
              <w:t>Humbolt</w:t>
            </w:r>
            <w:proofErr w:type="spellEnd"/>
            <w:r>
              <w:t xml:space="preserve"> County, CA; Cobb &amp; Douglas County, GA</w:t>
            </w:r>
          </w:p>
        </w:tc>
        <w:tc>
          <w:tcPr>
            <w:tcW w:w="2970" w:type="dxa"/>
          </w:tcPr>
          <w:p w:rsidR="003F2AF2" w:rsidRDefault="003F2AF2" w:rsidP="003F2AF2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 xml:space="preserve">Used by Deschutes County Public Health – highly recommend; Marion County health department in Indiana also uses (Indianapolis area) </w:t>
            </w:r>
          </w:p>
          <w:p w:rsidR="003F2AF2" w:rsidRDefault="003F2AF2" w:rsidP="003F2AF2">
            <w:pPr>
              <w:pStyle w:val="ListParagraph"/>
              <w:numPr>
                <w:ilvl w:val="0"/>
                <w:numId w:val="2"/>
              </w:numPr>
            </w:pPr>
            <w:r>
              <w:t>Have a mobile app in addition to computer access</w:t>
            </w:r>
          </w:p>
          <w:p w:rsidR="003F2AF2" w:rsidRPr="001B2582" w:rsidRDefault="003F2AF2" w:rsidP="003F2AF2">
            <w:pPr>
              <w:pStyle w:val="ListParagraph"/>
              <w:numPr>
                <w:ilvl w:val="0"/>
                <w:numId w:val="2"/>
              </w:numPr>
            </w:pPr>
            <w:r>
              <w:t>Over 50% of clients in healthcare, but don’t seem to have the volume of health department clients as other platforms</w:t>
            </w:r>
          </w:p>
        </w:tc>
        <w:tc>
          <w:tcPr>
            <w:tcW w:w="2880" w:type="dxa"/>
          </w:tcPr>
          <w:p w:rsidR="003F2AF2" w:rsidRDefault="003F2AF2" w:rsidP="003F2AF2">
            <w:pPr>
              <w:pStyle w:val="ListParagraph"/>
              <w:numPr>
                <w:ilvl w:val="0"/>
                <w:numId w:val="2"/>
              </w:numPr>
            </w:pPr>
            <w:r>
              <w:t>Grounded in Results Based Accountability framework</w:t>
            </w:r>
          </w:p>
          <w:p w:rsidR="0055185F" w:rsidRDefault="0055185F" w:rsidP="003F2AF2">
            <w:pPr>
              <w:pStyle w:val="ListParagraph"/>
              <w:numPr>
                <w:ilvl w:val="0"/>
                <w:numId w:val="2"/>
              </w:numPr>
            </w:pPr>
            <w:r>
              <w:t>Can export data into Excel, pdf, or Word if desired</w:t>
            </w:r>
          </w:p>
          <w:p w:rsidR="0055185F" w:rsidRDefault="00C73E71" w:rsidP="003F2AF2">
            <w:pPr>
              <w:pStyle w:val="ListParagraph"/>
              <w:numPr>
                <w:ilvl w:val="0"/>
                <w:numId w:val="2"/>
              </w:numPr>
            </w:pPr>
            <w:r>
              <w:t>Software also supports creation of strategy maps and Gantt charts</w:t>
            </w:r>
          </w:p>
          <w:p w:rsidR="008642FA" w:rsidRDefault="008642FA" w:rsidP="003F2AF2">
            <w:pPr>
              <w:pStyle w:val="ListParagraph"/>
              <w:numPr>
                <w:ilvl w:val="0"/>
                <w:numId w:val="2"/>
              </w:numPr>
            </w:pPr>
            <w:r>
              <w:t>Can custom-tailor language within the platform</w:t>
            </w:r>
          </w:p>
          <w:p w:rsidR="00C73E71" w:rsidRPr="001B2582" w:rsidRDefault="00C73E71" w:rsidP="003F2AF2">
            <w:pPr>
              <w:pStyle w:val="ListParagraph"/>
              <w:numPr>
                <w:ilvl w:val="0"/>
                <w:numId w:val="2"/>
              </w:numPr>
            </w:pPr>
            <w:r>
              <w:t xml:space="preserve">Public health department clients include Vermont, Connecticut, San Francisco, New Mexico, Alameda County, Macomb County </w:t>
            </w:r>
          </w:p>
        </w:tc>
      </w:tr>
    </w:tbl>
    <w:p w:rsidR="001B2582" w:rsidRDefault="001B2582" w:rsidP="001B2582">
      <w:pPr>
        <w:spacing w:after="0"/>
        <w:rPr>
          <w:b/>
          <w:sz w:val="24"/>
        </w:rPr>
      </w:pPr>
    </w:p>
    <w:p w:rsidR="004F4441" w:rsidRDefault="004F4441" w:rsidP="001B2582">
      <w:pPr>
        <w:spacing w:after="0"/>
        <w:rPr>
          <w:b/>
          <w:sz w:val="24"/>
        </w:rPr>
      </w:pPr>
      <w:r>
        <w:rPr>
          <w:b/>
          <w:sz w:val="24"/>
        </w:rPr>
        <w:t>Notes:</w:t>
      </w:r>
    </w:p>
    <w:p w:rsidR="004F4441" w:rsidRPr="004F4441" w:rsidRDefault="004F4441" w:rsidP="004F4441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Removed Tableau and </w:t>
      </w:r>
      <w:proofErr w:type="spellStart"/>
      <w:r>
        <w:rPr>
          <w:sz w:val="24"/>
        </w:rPr>
        <w:t>Klipfolio</w:t>
      </w:r>
      <w:proofErr w:type="spellEnd"/>
      <w:r>
        <w:rPr>
          <w:sz w:val="24"/>
        </w:rPr>
        <w:t xml:space="preserve"> from consideration as they are primarily data visualization software, not comprehensive performance management software. May consider in the future when ready for public dashboards, </w:t>
      </w:r>
      <w:proofErr w:type="spellStart"/>
      <w:r>
        <w:rPr>
          <w:sz w:val="24"/>
        </w:rPr>
        <w:t>etc</w:t>
      </w:r>
      <w:proofErr w:type="spellEnd"/>
      <w:r w:rsidR="0055185F">
        <w:rPr>
          <w:sz w:val="24"/>
        </w:rPr>
        <w:t xml:space="preserve"> depending on which option we go with</w:t>
      </w:r>
      <w:r>
        <w:rPr>
          <w:sz w:val="24"/>
        </w:rPr>
        <w:t xml:space="preserve">. </w:t>
      </w:r>
    </w:p>
    <w:sectPr w:rsidR="004F4441" w:rsidRPr="004F4441" w:rsidSect="001B25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C098C"/>
    <w:multiLevelType w:val="hybridMultilevel"/>
    <w:tmpl w:val="88909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305F1C"/>
    <w:multiLevelType w:val="hybridMultilevel"/>
    <w:tmpl w:val="F84E5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82"/>
    <w:rsid w:val="000128FE"/>
    <w:rsid w:val="000311B3"/>
    <w:rsid w:val="00031DAD"/>
    <w:rsid w:val="000560A5"/>
    <w:rsid w:val="000641F8"/>
    <w:rsid w:val="00067049"/>
    <w:rsid w:val="00071F76"/>
    <w:rsid w:val="00077A25"/>
    <w:rsid w:val="00095771"/>
    <w:rsid w:val="000C2870"/>
    <w:rsid w:val="000D69C5"/>
    <w:rsid w:val="000E0BAA"/>
    <w:rsid w:val="000E0FEB"/>
    <w:rsid w:val="000E1A1C"/>
    <w:rsid w:val="000E4108"/>
    <w:rsid w:val="000E4317"/>
    <w:rsid w:val="000F437D"/>
    <w:rsid w:val="000F77EF"/>
    <w:rsid w:val="00104279"/>
    <w:rsid w:val="00111EB4"/>
    <w:rsid w:val="00140A90"/>
    <w:rsid w:val="0015257A"/>
    <w:rsid w:val="00161A78"/>
    <w:rsid w:val="00175054"/>
    <w:rsid w:val="001813C1"/>
    <w:rsid w:val="00192CDC"/>
    <w:rsid w:val="0019392C"/>
    <w:rsid w:val="001A4AC0"/>
    <w:rsid w:val="001A5B07"/>
    <w:rsid w:val="001B1CC4"/>
    <w:rsid w:val="001B2582"/>
    <w:rsid w:val="001B38D5"/>
    <w:rsid w:val="001B6383"/>
    <w:rsid w:val="001C2B1A"/>
    <w:rsid w:val="001C2EB8"/>
    <w:rsid w:val="001C57F2"/>
    <w:rsid w:val="001D0CE3"/>
    <w:rsid w:val="001D75EF"/>
    <w:rsid w:val="001E3985"/>
    <w:rsid w:val="001F503A"/>
    <w:rsid w:val="00207FEB"/>
    <w:rsid w:val="002115A9"/>
    <w:rsid w:val="00213555"/>
    <w:rsid w:val="00215F48"/>
    <w:rsid w:val="00224E28"/>
    <w:rsid w:val="002258B8"/>
    <w:rsid w:val="00231F80"/>
    <w:rsid w:val="002344D6"/>
    <w:rsid w:val="0023678A"/>
    <w:rsid w:val="00246F3D"/>
    <w:rsid w:val="002476AC"/>
    <w:rsid w:val="00253BD1"/>
    <w:rsid w:val="00264D92"/>
    <w:rsid w:val="002709D0"/>
    <w:rsid w:val="002832E1"/>
    <w:rsid w:val="00291EFC"/>
    <w:rsid w:val="002A0E4F"/>
    <w:rsid w:val="002A253F"/>
    <w:rsid w:val="002A6C35"/>
    <w:rsid w:val="002B01C1"/>
    <w:rsid w:val="002B032D"/>
    <w:rsid w:val="002B44BD"/>
    <w:rsid w:val="002B5798"/>
    <w:rsid w:val="002B7CAA"/>
    <w:rsid w:val="002D2723"/>
    <w:rsid w:val="002D582D"/>
    <w:rsid w:val="002E20C5"/>
    <w:rsid w:val="002F4C27"/>
    <w:rsid w:val="00310206"/>
    <w:rsid w:val="003121E0"/>
    <w:rsid w:val="0031411C"/>
    <w:rsid w:val="003166BE"/>
    <w:rsid w:val="0032032A"/>
    <w:rsid w:val="00330962"/>
    <w:rsid w:val="0033424D"/>
    <w:rsid w:val="0034006C"/>
    <w:rsid w:val="00340602"/>
    <w:rsid w:val="00340F3C"/>
    <w:rsid w:val="00376ADE"/>
    <w:rsid w:val="00380FFE"/>
    <w:rsid w:val="003901B2"/>
    <w:rsid w:val="003D5E36"/>
    <w:rsid w:val="003E5233"/>
    <w:rsid w:val="003F2AF2"/>
    <w:rsid w:val="0041363E"/>
    <w:rsid w:val="00417B0B"/>
    <w:rsid w:val="004202DB"/>
    <w:rsid w:val="0042471E"/>
    <w:rsid w:val="004261BA"/>
    <w:rsid w:val="00430483"/>
    <w:rsid w:val="00450550"/>
    <w:rsid w:val="00461890"/>
    <w:rsid w:val="0046367D"/>
    <w:rsid w:val="004759C9"/>
    <w:rsid w:val="00481F6A"/>
    <w:rsid w:val="00487CF8"/>
    <w:rsid w:val="00496E07"/>
    <w:rsid w:val="004B0277"/>
    <w:rsid w:val="004C3A9C"/>
    <w:rsid w:val="004C5F24"/>
    <w:rsid w:val="004D027C"/>
    <w:rsid w:val="004E091A"/>
    <w:rsid w:val="004F0192"/>
    <w:rsid w:val="004F4441"/>
    <w:rsid w:val="004F7A09"/>
    <w:rsid w:val="0050330C"/>
    <w:rsid w:val="00514A12"/>
    <w:rsid w:val="005241BA"/>
    <w:rsid w:val="00525DD8"/>
    <w:rsid w:val="0053230D"/>
    <w:rsid w:val="00533C46"/>
    <w:rsid w:val="00537D04"/>
    <w:rsid w:val="00543E36"/>
    <w:rsid w:val="0055185F"/>
    <w:rsid w:val="00551BB7"/>
    <w:rsid w:val="00565FD2"/>
    <w:rsid w:val="00572309"/>
    <w:rsid w:val="00582F76"/>
    <w:rsid w:val="005A5FF5"/>
    <w:rsid w:val="005A63EE"/>
    <w:rsid w:val="005B0EEA"/>
    <w:rsid w:val="005B384C"/>
    <w:rsid w:val="005D04E2"/>
    <w:rsid w:val="005D159E"/>
    <w:rsid w:val="00622894"/>
    <w:rsid w:val="00625921"/>
    <w:rsid w:val="00630482"/>
    <w:rsid w:val="00630657"/>
    <w:rsid w:val="0063375F"/>
    <w:rsid w:val="00641C95"/>
    <w:rsid w:val="00642156"/>
    <w:rsid w:val="00647F10"/>
    <w:rsid w:val="00652E7F"/>
    <w:rsid w:val="00663ED6"/>
    <w:rsid w:val="00670F38"/>
    <w:rsid w:val="0067538B"/>
    <w:rsid w:val="0068032D"/>
    <w:rsid w:val="006835B6"/>
    <w:rsid w:val="006942C4"/>
    <w:rsid w:val="006A36A9"/>
    <w:rsid w:val="006B064F"/>
    <w:rsid w:val="006B0B3F"/>
    <w:rsid w:val="006B7D3D"/>
    <w:rsid w:val="006C2F0B"/>
    <w:rsid w:val="00701191"/>
    <w:rsid w:val="00701AD6"/>
    <w:rsid w:val="00701B2E"/>
    <w:rsid w:val="00707F4D"/>
    <w:rsid w:val="00711C6A"/>
    <w:rsid w:val="00714302"/>
    <w:rsid w:val="007172E2"/>
    <w:rsid w:val="00724568"/>
    <w:rsid w:val="0073434C"/>
    <w:rsid w:val="007416C3"/>
    <w:rsid w:val="00741C05"/>
    <w:rsid w:val="007518B6"/>
    <w:rsid w:val="00760BF5"/>
    <w:rsid w:val="00761A25"/>
    <w:rsid w:val="00772BDF"/>
    <w:rsid w:val="007777F8"/>
    <w:rsid w:val="00780267"/>
    <w:rsid w:val="00787553"/>
    <w:rsid w:val="007A1EF5"/>
    <w:rsid w:val="007A5F17"/>
    <w:rsid w:val="007B3B5F"/>
    <w:rsid w:val="007C483F"/>
    <w:rsid w:val="007D7A94"/>
    <w:rsid w:val="007E18A3"/>
    <w:rsid w:val="008022B4"/>
    <w:rsid w:val="0084101F"/>
    <w:rsid w:val="00861D3B"/>
    <w:rsid w:val="008642FA"/>
    <w:rsid w:val="008663D7"/>
    <w:rsid w:val="00866450"/>
    <w:rsid w:val="0086680A"/>
    <w:rsid w:val="00882C47"/>
    <w:rsid w:val="0088518B"/>
    <w:rsid w:val="00892A2A"/>
    <w:rsid w:val="008A33B5"/>
    <w:rsid w:val="008A7E54"/>
    <w:rsid w:val="008B4F7D"/>
    <w:rsid w:val="008B7800"/>
    <w:rsid w:val="008C0336"/>
    <w:rsid w:val="008C677C"/>
    <w:rsid w:val="008E545B"/>
    <w:rsid w:val="008E5896"/>
    <w:rsid w:val="008E6D18"/>
    <w:rsid w:val="008E7E1F"/>
    <w:rsid w:val="008F002D"/>
    <w:rsid w:val="008F2ED3"/>
    <w:rsid w:val="008F598D"/>
    <w:rsid w:val="008F7919"/>
    <w:rsid w:val="00900A5A"/>
    <w:rsid w:val="00900DA1"/>
    <w:rsid w:val="009070F8"/>
    <w:rsid w:val="009074A4"/>
    <w:rsid w:val="009113AE"/>
    <w:rsid w:val="00920DD1"/>
    <w:rsid w:val="00922D7F"/>
    <w:rsid w:val="00924CFA"/>
    <w:rsid w:val="00925EBD"/>
    <w:rsid w:val="00934CD0"/>
    <w:rsid w:val="0094249E"/>
    <w:rsid w:val="009433DA"/>
    <w:rsid w:val="00950F59"/>
    <w:rsid w:val="00987A8B"/>
    <w:rsid w:val="009B7AC5"/>
    <w:rsid w:val="009C5D3B"/>
    <w:rsid w:val="009C6451"/>
    <w:rsid w:val="009D4BA9"/>
    <w:rsid w:val="009D6479"/>
    <w:rsid w:val="009E2E56"/>
    <w:rsid w:val="009F38D2"/>
    <w:rsid w:val="009F7331"/>
    <w:rsid w:val="00A13B56"/>
    <w:rsid w:val="00A32156"/>
    <w:rsid w:val="00A35371"/>
    <w:rsid w:val="00A405D8"/>
    <w:rsid w:val="00A4195F"/>
    <w:rsid w:val="00A459DA"/>
    <w:rsid w:val="00A55C84"/>
    <w:rsid w:val="00A64C76"/>
    <w:rsid w:val="00A701DD"/>
    <w:rsid w:val="00A72E97"/>
    <w:rsid w:val="00A835E0"/>
    <w:rsid w:val="00A85ADA"/>
    <w:rsid w:val="00A90E74"/>
    <w:rsid w:val="00AB10E4"/>
    <w:rsid w:val="00AB3ED6"/>
    <w:rsid w:val="00AD5138"/>
    <w:rsid w:val="00AF3FEE"/>
    <w:rsid w:val="00AF4D60"/>
    <w:rsid w:val="00B142B3"/>
    <w:rsid w:val="00B15550"/>
    <w:rsid w:val="00B21B49"/>
    <w:rsid w:val="00B26100"/>
    <w:rsid w:val="00B2614F"/>
    <w:rsid w:val="00B34D9B"/>
    <w:rsid w:val="00B66115"/>
    <w:rsid w:val="00B738D6"/>
    <w:rsid w:val="00B81505"/>
    <w:rsid w:val="00B861BB"/>
    <w:rsid w:val="00B8762D"/>
    <w:rsid w:val="00B90F18"/>
    <w:rsid w:val="00B93378"/>
    <w:rsid w:val="00BA1047"/>
    <w:rsid w:val="00BA55E4"/>
    <w:rsid w:val="00BC35AB"/>
    <w:rsid w:val="00BC6900"/>
    <w:rsid w:val="00BF2276"/>
    <w:rsid w:val="00C05E3B"/>
    <w:rsid w:val="00C0695A"/>
    <w:rsid w:val="00C156CB"/>
    <w:rsid w:val="00C20B95"/>
    <w:rsid w:val="00C22EBE"/>
    <w:rsid w:val="00C23600"/>
    <w:rsid w:val="00C435F2"/>
    <w:rsid w:val="00C4501A"/>
    <w:rsid w:val="00C52975"/>
    <w:rsid w:val="00C550EC"/>
    <w:rsid w:val="00C71012"/>
    <w:rsid w:val="00C71BB0"/>
    <w:rsid w:val="00C73E71"/>
    <w:rsid w:val="00C852F1"/>
    <w:rsid w:val="00C9173D"/>
    <w:rsid w:val="00C94A31"/>
    <w:rsid w:val="00CC09B4"/>
    <w:rsid w:val="00CD1057"/>
    <w:rsid w:val="00CE52C4"/>
    <w:rsid w:val="00D06461"/>
    <w:rsid w:val="00D31394"/>
    <w:rsid w:val="00D32A40"/>
    <w:rsid w:val="00D338AA"/>
    <w:rsid w:val="00D548A3"/>
    <w:rsid w:val="00D725CA"/>
    <w:rsid w:val="00D81AC5"/>
    <w:rsid w:val="00D82230"/>
    <w:rsid w:val="00D83681"/>
    <w:rsid w:val="00D85244"/>
    <w:rsid w:val="00D974D2"/>
    <w:rsid w:val="00DA1FDD"/>
    <w:rsid w:val="00DA3ECD"/>
    <w:rsid w:val="00DA40C6"/>
    <w:rsid w:val="00DA5FFC"/>
    <w:rsid w:val="00DB271C"/>
    <w:rsid w:val="00DB5EB2"/>
    <w:rsid w:val="00DC0B75"/>
    <w:rsid w:val="00DC7046"/>
    <w:rsid w:val="00DD32DC"/>
    <w:rsid w:val="00DD6ACF"/>
    <w:rsid w:val="00DE5D27"/>
    <w:rsid w:val="00DF39C5"/>
    <w:rsid w:val="00DF5204"/>
    <w:rsid w:val="00E02DD9"/>
    <w:rsid w:val="00E35AFA"/>
    <w:rsid w:val="00E5243C"/>
    <w:rsid w:val="00E557AA"/>
    <w:rsid w:val="00E67FA8"/>
    <w:rsid w:val="00E8304D"/>
    <w:rsid w:val="00E84D68"/>
    <w:rsid w:val="00E85776"/>
    <w:rsid w:val="00E96DF3"/>
    <w:rsid w:val="00E97032"/>
    <w:rsid w:val="00E9797B"/>
    <w:rsid w:val="00EA018D"/>
    <w:rsid w:val="00EA0A99"/>
    <w:rsid w:val="00EA61F3"/>
    <w:rsid w:val="00EB2979"/>
    <w:rsid w:val="00EB5547"/>
    <w:rsid w:val="00EC2918"/>
    <w:rsid w:val="00ED7B8C"/>
    <w:rsid w:val="00EF76DE"/>
    <w:rsid w:val="00EF7D88"/>
    <w:rsid w:val="00F02742"/>
    <w:rsid w:val="00F1529A"/>
    <w:rsid w:val="00F25CE1"/>
    <w:rsid w:val="00F2610B"/>
    <w:rsid w:val="00F46B74"/>
    <w:rsid w:val="00F60EFE"/>
    <w:rsid w:val="00F6125B"/>
    <w:rsid w:val="00F61953"/>
    <w:rsid w:val="00F62884"/>
    <w:rsid w:val="00F71589"/>
    <w:rsid w:val="00F7506F"/>
    <w:rsid w:val="00F774F5"/>
    <w:rsid w:val="00F916EE"/>
    <w:rsid w:val="00FB64A5"/>
    <w:rsid w:val="00FC0382"/>
    <w:rsid w:val="00FC07DC"/>
    <w:rsid w:val="00FC2F3C"/>
    <w:rsid w:val="00FD2A58"/>
    <w:rsid w:val="00FD4DDD"/>
    <w:rsid w:val="00FE142C"/>
    <w:rsid w:val="00FF0696"/>
    <w:rsid w:val="00FF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6B89E-1B5F-4D4C-AAFE-3B489182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2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4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1D1329C5</Template>
  <TotalTime>215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County</Company>
  <LinksUpToDate>false</LinksUpToDate>
  <CharactersWithSpaces>4090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Krause</dc:creator>
  <cp:keywords/>
  <dc:description/>
  <cp:lastModifiedBy>Andrea Krause</cp:lastModifiedBy>
  <cp:revision>9</cp:revision>
  <dcterms:created xsi:type="dcterms:W3CDTF">2018-06-08T23:06:00Z</dcterms:created>
  <dcterms:modified xsi:type="dcterms:W3CDTF">2018-09-12T16:34:00Z</dcterms:modified>
</cp:coreProperties>
</file>