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entury Gothic" w:hAnsi="Century Gothic"/>
        </w:rPr>
      </w:pPr>
    </w:p>
    <w:p>
      <w:pPr>
        <w:pStyle w:val="Body"/>
        <w:rPr>
          <w:rFonts w:ascii="Century Gothic" w:cs="Century Gothic" w:hAnsi="Century Gothic" w:eastAsia="Century Gothic"/>
        </w:rPr>
      </w:pPr>
      <w:r>
        <w:rPr>
          <w:rFonts w:ascii="Century Gothic" w:hAnsi="Century Gothic"/>
          <w:rtl w:val="0"/>
        </w:rPr>
        <w:t xml:space="preserve">                           SB 639 and HB 2233 Bill Review</w:t>
      </w:r>
    </w:p>
    <w:p>
      <w:pPr>
        <w:pStyle w:val="Body"/>
        <w:jc w:val="center"/>
        <w:rPr>
          <w:rFonts w:ascii="Century Gothic" w:cs="Century Gothic" w:hAnsi="Century Gothic" w:eastAsia="Century Gothic"/>
        </w:rPr>
      </w:pPr>
      <w:r>
        <w:rPr>
          <w:rFonts w:ascii="Century Gothic" w:hAnsi="Century Gothic"/>
          <w:rtl w:val="0"/>
          <w:lang w:val="en-US"/>
        </w:rPr>
        <w:t>February 13, 2019</w:t>
      </w:r>
    </w:p>
    <w:p>
      <w:pPr>
        <w:pStyle w:val="Body"/>
        <w:rPr>
          <w:rFonts w:ascii="Century Gothic" w:cs="Century Gothic" w:hAnsi="Century Gothic" w:eastAsia="Century Gothic"/>
        </w:rPr>
      </w:pPr>
    </w:p>
    <w:p>
      <w:pPr>
        <w:pStyle w:val="Body"/>
        <w:rPr>
          <w:rFonts w:ascii="Century Gothic" w:cs="Century Gothic" w:hAnsi="Century Gothic" w:eastAsia="Century Gothic"/>
        </w:rPr>
      </w:pPr>
      <w:r>
        <w:rPr>
          <w:rFonts w:ascii="Century Gothic" w:hAnsi="Century Gothic"/>
          <w:rtl w:val="0"/>
          <w:lang w:val="en-US"/>
        </w:rPr>
        <w:t>Reviewers: Tanya Phillips (Jackson County), Gwyn Ashcom (Washington County), and Caitlin Hill (Coalition of Local Health Officials)</w:t>
      </w:r>
    </w:p>
    <w:p>
      <w:pPr>
        <w:pStyle w:val="Body"/>
        <w:rPr>
          <w:rFonts w:ascii="Century Gothic" w:cs="Century Gothic" w:hAnsi="Century Gothic" w:eastAsia="Century Gothic"/>
        </w:rPr>
      </w:pPr>
    </w:p>
    <w:p>
      <w:pPr>
        <w:pStyle w:val="Body"/>
        <w:rPr>
          <w:rFonts w:ascii="Century Gothic" w:cs="Century Gothic" w:hAnsi="Century Gothic" w:eastAsia="Century Gothic"/>
        </w:rPr>
      </w:pPr>
      <w:r>
        <w:rPr>
          <w:rFonts w:ascii="Century Gothic" w:hAnsi="Century Gothic"/>
          <w:rtl w:val="0"/>
          <w:lang w:val="en-US"/>
        </w:rPr>
        <w:t>Summary:</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 xml:space="preserve">HB 2233 and SB 639 both allow for temporary events with marijuana sale and consumption and allow for cannabis lounges.  </w:t>
      </w:r>
    </w:p>
    <w:p>
      <w:pPr>
        <w:pStyle w:val="List Paragraph"/>
        <w:numPr>
          <w:ilvl w:val="0"/>
          <w:numId w:val="2"/>
        </w:numPr>
        <w:bidi w:val="0"/>
        <w:ind w:right="0"/>
        <w:jc w:val="left"/>
        <w:rPr>
          <w:rFonts w:ascii="Century Gothic" w:hAnsi="Century Gothic"/>
          <w:rtl w:val="0"/>
          <w:lang w:val="en-US"/>
        </w:rPr>
      </w:pPr>
      <w:r>
        <w:rPr>
          <w:rFonts w:ascii="Century Gothic" w:hAnsi="Century Gothic"/>
          <w:rtl w:val="0"/>
          <w:lang w:val="en-US"/>
        </w:rPr>
        <w:t>SB 639 also allows for delivery of marijuana to consumers at permanent and temporary residences and allows tours of marijuana processing and producing sites.</w:t>
      </w:r>
    </w:p>
    <w:p>
      <w:pPr>
        <w:pStyle w:val="Body"/>
        <w:rPr>
          <w:rFonts w:ascii="Century Gothic" w:cs="Century Gothic" w:hAnsi="Century Gothic" w:eastAsia="Century Gothic"/>
        </w:rPr>
      </w:pPr>
    </w:p>
    <w:p>
      <w:pPr>
        <w:pStyle w:val="Body"/>
        <w:rPr>
          <w:rFonts w:ascii="Century Gothic" w:cs="Century Gothic" w:hAnsi="Century Gothic" w:eastAsia="Century Gothic"/>
        </w:rPr>
      </w:pPr>
      <w:r>
        <w:rPr>
          <w:rFonts w:ascii="Century Gothic" w:hAnsi="Century Gothic"/>
          <w:rtl w:val="0"/>
          <w:lang w:val="en-US"/>
        </w:rPr>
        <w:t>SB 639/HB 2233 bill local public health impacts:</w:t>
      </w: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There are no regulations for marijuana servers at temporary events and cannabis lounges. Whereas servers of alcohol have mandatory training and server</w:t>
      </w:r>
      <w:r>
        <w:rPr>
          <w:rFonts w:ascii="Century Gothic" w:hAnsi="Century Gothic" w:hint="default"/>
          <w:rtl w:val="0"/>
          <w:lang w:val="en-US"/>
        </w:rPr>
        <w:t>’</w:t>
      </w:r>
      <w:r>
        <w:rPr>
          <w:rFonts w:ascii="Century Gothic" w:hAnsi="Century Gothic"/>
          <w:rtl w:val="0"/>
          <w:lang w:val="en-US"/>
        </w:rPr>
        <w:t>s permits, the marijuana servers would not have any guidelines for determining if a consumer was too impaired to continue to serve them.</w:t>
      </w: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 xml:space="preserve">The Indoor Clean Air Act is compromised by the bills since cannabis lounges would be indoors and temporary events are allowed at indoor places. </w:t>
      </w: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Delivery to temporary residences could compromise work on Indoor Clean Air Act to continue to limit smoke exposure in places like hotels.</w:t>
      </w: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Both bills state that a local ordinance must be adopted in order for a temporary event or cannabis lounge to be established. However, the HB says no fees or taxes may be associated with the temporary event or cannabis lounges and the SB caps the fees at $500 and $1000, respectively.</w:t>
      </w:r>
    </w:p>
    <w:p>
      <w:pPr>
        <w:pStyle w:val="List Paragraph"/>
        <w:numPr>
          <w:ilvl w:val="0"/>
          <w:numId w:val="4"/>
        </w:numPr>
        <w:bidi w:val="0"/>
        <w:ind w:right="0"/>
        <w:jc w:val="left"/>
        <w:rPr>
          <w:rFonts w:ascii="Century Gothic" w:hAnsi="Century Gothic"/>
          <w:rtl w:val="0"/>
          <w:lang w:val="en-US"/>
        </w:rPr>
      </w:pPr>
      <w:r>
        <w:rPr>
          <w:rFonts w:ascii="Century Gothic" w:hAnsi="Century Gothic"/>
          <w:rtl w:val="0"/>
          <w:lang w:val="en-US"/>
        </w:rPr>
        <w:t>There are no guidelines around how many temporary event licenses or cannabis lounge licenses can be issued in an area which could impact certain communities with higher concentrations of the events and lounges.</w:t>
      </w:r>
    </w:p>
    <w:p>
      <w:pPr>
        <w:pStyle w:val="List Paragraph"/>
        <w:numPr>
          <w:ilvl w:val="0"/>
          <w:numId w:val="6"/>
        </w:numPr>
        <w:bidi w:val="0"/>
        <w:ind w:right="0"/>
        <w:jc w:val="left"/>
        <w:rPr>
          <w:rFonts w:ascii="Century Gothic" w:hAnsi="Century Gothic"/>
          <w:rtl w:val="0"/>
          <w:lang w:val="en-US"/>
        </w:rPr>
      </w:pPr>
      <w:r>
        <w:rPr>
          <w:rFonts w:ascii="Century Gothic" w:hAnsi="Century Gothic"/>
          <w:rtl w:val="0"/>
          <w:lang w:val="en-US"/>
        </w:rPr>
        <w:t>In SB 639 the delivery laws don</w:t>
      </w:r>
      <w:r>
        <w:rPr>
          <w:rFonts w:ascii="Century Gothic" w:hAnsi="Century Gothic" w:hint="default"/>
          <w:rtl w:val="0"/>
          <w:lang w:val="en-US"/>
        </w:rPr>
        <w:t>’</w:t>
      </w:r>
      <w:r>
        <w:rPr>
          <w:rFonts w:ascii="Century Gothic" w:hAnsi="Century Gothic"/>
          <w:rtl w:val="0"/>
          <w:lang w:val="en-US"/>
        </w:rPr>
        <w:t>t have guidelines around safe containers, age of delivery driver, nor assurance that the recipient is over 21.</w:t>
      </w:r>
    </w:p>
    <w:p>
      <w:pPr>
        <w:pStyle w:val="List Paragraph"/>
        <w:numPr>
          <w:ilvl w:val="0"/>
          <w:numId w:val="6"/>
        </w:numPr>
        <w:bidi w:val="0"/>
        <w:ind w:right="0"/>
        <w:jc w:val="left"/>
        <w:rPr>
          <w:rFonts w:ascii="Century Gothic" w:hAnsi="Century Gothic"/>
          <w:rtl w:val="0"/>
          <w:lang w:val="en-US"/>
        </w:rPr>
      </w:pPr>
      <w:r>
        <w:rPr>
          <w:rFonts w:ascii="Century Gothic" w:hAnsi="Century Gothic"/>
          <w:rtl w:val="0"/>
          <w:lang w:val="en-US"/>
        </w:rPr>
        <w:t>SB 639 allows for sale of marijuana products on the tours. Counties that grow marijuana, like Josephine and Jackson, would be disproportionately impacted by the tours since it would increase access and consumption. Jackson and Josephine already have the highest percentage (52%) of 11</w:t>
      </w:r>
      <w:r>
        <w:rPr>
          <w:rFonts w:ascii="Century Gothic" w:hAnsi="Century Gothic"/>
          <w:vertAlign w:val="superscript"/>
          <w:rtl w:val="0"/>
          <w:lang w:val="en-US"/>
        </w:rPr>
        <w:t>th</w:t>
      </w:r>
      <w:r>
        <w:rPr>
          <w:rFonts w:ascii="Century Gothic" w:hAnsi="Century Gothic"/>
          <w:rtl w:val="0"/>
          <w:lang w:val="en-US"/>
        </w:rPr>
        <w:t xml:space="preserve"> graders that have tried marijuana. </w:t>
      </w:r>
    </w:p>
    <w:p>
      <w:pPr>
        <w:pStyle w:val="List Paragraph"/>
        <w:numPr>
          <w:ilvl w:val="0"/>
          <w:numId w:val="6"/>
        </w:numPr>
        <w:bidi w:val="0"/>
        <w:ind w:right="0"/>
        <w:jc w:val="left"/>
        <w:rPr>
          <w:rFonts w:ascii="Century Gothic" w:hAnsi="Century Gothic"/>
          <w:rtl w:val="0"/>
          <w:lang w:val="en-US"/>
        </w:rPr>
      </w:pPr>
      <w:r>
        <w:rPr>
          <w:rFonts w:ascii="Century Gothic" w:hAnsi="Century Gothic"/>
          <w:rtl w:val="0"/>
          <w:lang w:val="en-US"/>
        </w:rPr>
        <w:t>SB 639 has language that the OLCC may not adopt rules that impose public health or safety standards on temporary events if those standards serve no purpose other than deterring the consumption of marijuana at a temporary event/cannabis lounge.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342900</wp:posOffset>
          </wp:positionH>
          <wp:positionV relativeFrom="page">
            <wp:posOffset>114300</wp:posOffset>
          </wp:positionV>
          <wp:extent cx="1143000" cy="114300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1143000" cy="114300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