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15A5A" w14:textId="680B6DAF" w:rsidR="00C851A2" w:rsidRPr="00C851A2" w:rsidRDefault="00DC137A" w:rsidP="00C851A2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January 21</w:t>
      </w:r>
      <w:bookmarkStart w:id="0" w:name="_GoBack"/>
      <w:bookmarkEnd w:id="0"/>
      <w:r w:rsidR="00C851A2" w:rsidRPr="00C851A2">
        <w:rPr>
          <w:rFonts w:ascii="Century Gothic" w:hAnsi="Century Gothic"/>
          <w:sz w:val="22"/>
          <w:szCs w:val="22"/>
        </w:rPr>
        <w:t>, 2020</w:t>
      </w:r>
    </w:p>
    <w:p w14:paraId="43F4368A" w14:textId="77777777" w:rsidR="00712799" w:rsidRPr="00C851A2" w:rsidRDefault="00712799" w:rsidP="00C851A2">
      <w:pPr>
        <w:jc w:val="center"/>
        <w:rPr>
          <w:rFonts w:ascii="Century Gothic" w:hAnsi="Century Gothic"/>
          <w:sz w:val="28"/>
          <w:szCs w:val="28"/>
        </w:rPr>
      </w:pPr>
      <w:r w:rsidRPr="00C851A2">
        <w:rPr>
          <w:rFonts w:ascii="Century Gothic" w:hAnsi="Century Gothic"/>
          <w:sz w:val="28"/>
          <w:szCs w:val="28"/>
        </w:rPr>
        <w:t>Accreditation Work Group 2020 Planning</w:t>
      </w:r>
    </w:p>
    <w:p w14:paraId="0ADD321D" w14:textId="77777777" w:rsidR="00712799" w:rsidRPr="00C851A2" w:rsidRDefault="00712799" w:rsidP="00C851A2">
      <w:pPr>
        <w:jc w:val="center"/>
        <w:rPr>
          <w:rFonts w:ascii="Century Gothic" w:hAnsi="Century Gothic"/>
          <w:sz w:val="28"/>
          <w:szCs w:val="28"/>
        </w:rPr>
      </w:pPr>
      <w:r w:rsidRPr="00C851A2">
        <w:rPr>
          <w:rFonts w:ascii="Century Gothic" w:hAnsi="Century Gothic"/>
          <w:sz w:val="28"/>
          <w:szCs w:val="28"/>
        </w:rPr>
        <w:t>Survey Results</w:t>
      </w:r>
    </w:p>
    <w:p w14:paraId="62D83E2D" w14:textId="77777777" w:rsidR="00C356EE" w:rsidRPr="00C851A2" w:rsidRDefault="00C356EE">
      <w:pPr>
        <w:rPr>
          <w:rFonts w:ascii="Century Gothic" w:hAnsi="Century Gothic"/>
          <w:sz w:val="22"/>
          <w:szCs w:val="22"/>
        </w:rPr>
      </w:pPr>
    </w:p>
    <w:p w14:paraId="1CD634AB" w14:textId="77777777" w:rsidR="00C356EE" w:rsidRDefault="00C9264E">
      <w:pPr>
        <w:rPr>
          <w:rFonts w:ascii="Century Gothic" w:hAnsi="Century Gothic"/>
          <w:b/>
          <w:sz w:val="22"/>
          <w:szCs w:val="22"/>
        </w:rPr>
      </w:pPr>
      <w:r w:rsidRPr="00C851A2">
        <w:rPr>
          <w:rFonts w:ascii="Century Gothic" w:hAnsi="Century Gothic"/>
          <w:b/>
          <w:sz w:val="22"/>
          <w:szCs w:val="22"/>
        </w:rPr>
        <w:t>Key Takeaways</w:t>
      </w:r>
    </w:p>
    <w:p w14:paraId="60AF424F" w14:textId="77777777" w:rsidR="00C851A2" w:rsidRPr="00C851A2" w:rsidRDefault="00C851A2">
      <w:pPr>
        <w:rPr>
          <w:rFonts w:ascii="Century Gothic" w:hAnsi="Century Gothic"/>
          <w:b/>
          <w:sz w:val="22"/>
          <w:szCs w:val="22"/>
        </w:rPr>
      </w:pPr>
    </w:p>
    <w:p w14:paraId="3E8FC7C3" w14:textId="77777777" w:rsidR="00C356EE" w:rsidRPr="00C851A2" w:rsidRDefault="00C356EE" w:rsidP="00C356EE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12 respondents included Accreditation Coordinators and Public Health Administrators</w:t>
      </w:r>
    </w:p>
    <w:p w14:paraId="2CEF4F5E" w14:textId="77777777" w:rsidR="00C356EE" w:rsidRPr="00C851A2" w:rsidRDefault="00C9264E" w:rsidP="00C356EE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Needs for participants have shifted since a larger number of health departments have been accredited, however there were some common themes for what people hope to learn about or share in the Accreditation Work Group.</w:t>
      </w:r>
    </w:p>
    <w:p w14:paraId="73C4A695" w14:textId="77777777" w:rsidR="00C9264E" w:rsidRPr="00C851A2" w:rsidRDefault="00C9264E" w:rsidP="00C9264E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Performance Management and Quality Improvement continue to be common requests, but there was a suggestion that some Accreditation Coordinators may need a more advanced level </w:t>
      </w:r>
      <w:proofErr w:type="gramStart"/>
      <w:r w:rsidRPr="00C851A2">
        <w:rPr>
          <w:rFonts w:ascii="Century Gothic" w:hAnsi="Century Gothic"/>
          <w:sz w:val="22"/>
          <w:szCs w:val="22"/>
        </w:rPr>
        <w:t>learning</w:t>
      </w:r>
      <w:proofErr w:type="gramEnd"/>
      <w:r w:rsidRPr="00C851A2">
        <w:rPr>
          <w:rFonts w:ascii="Century Gothic" w:hAnsi="Century Gothic"/>
          <w:sz w:val="22"/>
          <w:szCs w:val="22"/>
        </w:rPr>
        <w:t xml:space="preserve"> community to progress.</w:t>
      </w:r>
    </w:p>
    <w:p w14:paraId="5A378F60" w14:textId="77777777" w:rsidR="00C851A2" w:rsidRPr="00C851A2" w:rsidRDefault="00C851A2" w:rsidP="00C9264E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Other themes included: strategic planning, workplace culture, initial accreditation and reaccreditation challenges and lessons learned.</w:t>
      </w:r>
    </w:p>
    <w:p w14:paraId="2084296C" w14:textId="77777777" w:rsidR="00C9264E" w:rsidRPr="00C851A2" w:rsidRDefault="00C9264E" w:rsidP="00C9264E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There was mixed feedback whether Accreditation Coordinators would be able to attend an in-person meeting, however some supported connecting a meeting or workshop with OPHA.</w:t>
      </w:r>
    </w:p>
    <w:p w14:paraId="0935DC05" w14:textId="77777777" w:rsidR="00C9264E" w:rsidRPr="00C851A2" w:rsidRDefault="00C9264E" w:rsidP="00C9264E">
      <w:pPr>
        <w:rPr>
          <w:rFonts w:ascii="Century Gothic" w:hAnsi="Century Gothic"/>
          <w:sz w:val="22"/>
          <w:szCs w:val="22"/>
        </w:rPr>
      </w:pPr>
    </w:p>
    <w:p w14:paraId="72465FBD" w14:textId="77777777" w:rsidR="00C9264E" w:rsidRPr="00C851A2" w:rsidRDefault="00C9264E" w:rsidP="00C9264E">
      <w:pPr>
        <w:rPr>
          <w:rFonts w:ascii="Century Gothic" w:hAnsi="Century Gothic"/>
          <w:b/>
          <w:sz w:val="22"/>
          <w:szCs w:val="22"/>
        </w:rPr>
      </w:pPr>
      <w:r w:rsidRPr="00C851A2">
        <w:rPr>
          <w:rFonts w:ascii="Century Gothic" w:hAnsi="Century Gothic"/>
          <w:b/>
          <w:sz w:val="22"/>
          <w:szCs w:val="22"/>
        </w:rPr>
        <w:t>Detailed Results</w:t>
      </w:r>
    </w:p>
    <w:p w14:paraId="10D3D125" w14:textId="77777777" w:rsidR="00712799" w:rsidRPr="00C851A2" w:rsidRDefault="00712799">
      <w:pPr>
        <w:rPr>
          <w:rFonts w:ascii="Century Gothic" w:hAnsi="Century Gothic"/>
          <w:sz w:val="22"/>
          <w:szCs w:val="22"/>
        </w:rPr>
      </w:pPr>
    </w:p>
    <w:p w14:paraId="290B391B" w14:textId="77777777" w:rsidR="00712799" w:rsidRPr="00C851A2" w:rsidRDefault="00712799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12 Respondents:</w:t>
      </w:r>
    </w:p>
    <w:p w14:paraId="2E9A9148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1 Accredited</w:t>
      </w:r>
    </w:p>
    <w:p w14:paraId="7AC45424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1 Completed prerequisites and pursuing accreditation</w:t>
      </w:r>
    </w:p>
    <w:p w14:paraId="58DCD2E0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8 Pursuing reaccreditation</w:t>
      </w:r>
    </w:p>
    <w:p w14:paraId="2A92C780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2 Still working on CHA/CHIP and Strategic Plan</w:t>
      </w:r>
    </w:p>
    <w:p w14:paraId="5BFC3118" w14:textId="77777777" w:rsidR="00712799" w:rsidRPr="00C851A2" w:rsidRDefault="00712799" w:rsidP="00712799">
      <w:pPr>
        <w:rPr>
          <w:rFonts w:ascii="Century Gothic" w:hAnsi="Century Gothic"/>
          <w:sz w:val="22"/>
          <w:szCs w:val="22"/>
        </w:rPr>
      </w:pPr>
    </w:p>
    <w:p w14:paraId="74F45D60" w14:textId="77777777" w:rsidR="00712799" w:rsidRPr="00C851A2" w:rsidRDefault="00712799" w:rsidP="00712799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Meeting time:</w:t>
      </w:r>
    </w:p>
    <w:p w14:paraId="5DAF2F26" w14:textId="77777777" w:rsidR="00712799" w:rsidRPr="00C851A2" w:rsidRDefault="00712799" w:rsidP="00712799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- 11 respondents said they are able to attend the 3rd Tuesday of each month at 2:30pm</w:t>
      </w:r>
    </w:p>
    <w:p w14:paraId="24B0A7A3" w14:textId="77777777" w:rsidR="00712799" w:rsidRPr="00C851A2" w:rsidRDefault="00712799" w:rsidP="00712799">
      <w:pPr>
        <w:rPr>
          <w:rFonts w:ascii="Century Gothic" w:hAnsi="Century Gothic"/>
          <w:sz w:val="22"/>
          <w:szCs w:val="22"/>
        </w:rPr>
      </w:pPr>
    </w:p>
    <w:p w14:paraId="281BE219" w14:textId="77777777" w:rsidR="00712799" w:rsidRPr="00C851A2" w:rsidRDefault="00712799" w:rsidP="00712799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What are you hoping to gain from participating in the Accreditation Work Group? How can this group support your accreditation work?</w:t>
      </w:r>
    </w:p>
    <w:p w14:paraId="50BD904E" w14:textId="77777777" w:rsidR="00712799" w:rsidRPr="00C851A2" w:rsidRDefault="00C9264E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Operationalize</w:t>
      </w:r>
      <w:r w:rsidR="00712799" w:rsidRPr="00C851A2">
        <w:rPr>
          <w:rFonts w:ascii="Century Gothic" w:hAnsi="Century Gothic"/>
          <w:sz w:val="22"/>
          <w:szCs w:val="22"/>
        </w:rPr>
        <w:t xml:space="preserve"> equity work</w:t>
      </w:r>
    </w:p>
    <w:p w14:paraId="1355D528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Networking with other Accreditation Coordinators and see others examples</w:t>
      </w:r>
    </w:p>
    <w:p w14:paraId="5EDF2AAF" w14:textId="77777777" w:rsidR="00712799" w:rsidRPr="00C851A2" w:rsidRDefault="00C9264E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New</w:t>
      </w:r>
      <w:r w:rsidR="00712799" w:rsidRPr="00C851A2">
        <w:rPr>
          <w:rFonts w:ascii="Century Gothic" w:hAnsi="Century Gothic"/>
          <w:sz w:val="22"/>
          <w:szCs w:val="22"/>
        </w:rPr>
        <w:t xml:space="preserve"> Accreditation Coordinators looking for support and knowledge</w:t>
      </w:r>
    </w:p>
    <w:p w14:paraId="32755C88" w14:textId="77777777" w:rsidR="00712799" w:rsidRPr="00C851A2" w:rsidRDefault="00C9264E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Discuss</w:t>
      </w:r>
      <w:r w:rsidR="00712799" w:rsidRPr="00C851A2">
        <w:rPr>
          <w:rFonts w:ascii="Century Gothic" w:hAnsi="Century Gothic"/>
          <w:sz w:val="22"/>
          <w:szCs w:val="22"/>
        </w:rPr>
        <w:t xml:space="preserve"> VMSG as a performance management system</w:t>
      </w:r>
    </w:p>
    <w:p w14:paraId="5B6BA8E4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Insight and assistance into the reaccreditation process, writing narratives, annual reviews, and population health outcomes reporting, as well as discussing challenges, barriers, lessons learned, successes</w:t>
      </w:r>
    </w:p>
    <w:p w14:paraId="4C3B2AB7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Sustainability in accreditation work and how to engage staff in creating a supportive workplace culture</w:t>
      </w:r>
    </w:p>
    <w:p w14:paraId="14E279F0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Learn about approaches, best practices, examples of applied reaccreditation requirements</w:t>
      </w:r>
    </w:p>
    <w:p w14:paraId="4F6C9C4A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Sharing tools, templates, process examples</w:t>
      </w:r>
    </w:p>
    <w:p w14:paraId="14B4B441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Strategies for Performance Management and Quality Improvement</w:t>
      </w:r>
    </w:p>
    <w:p w14:paraId="7373CE45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Pursuing and maintain accreditation as a low resource public health department</w:t>
      </w:r>
    </w:p>
    <w:p w14:paraId="3CBD10CC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Learning about hiring AmeriCorps Vistas to help with accreditation</w:t>
      </w:r>
    </w:p>
    <w:p w14:paraId="3C3A32F5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lastRenderedPageBreak/>
        <w:t>Aligning strategic planning with accreditation</w:t>
      </w:r>
    </w:p>
    <w:p w14:paraId="1FC1BA78" w14:textId="77777777" w:rsidR="00712799" w:rsidRPr="00C851A2" w:rsidRDefault="00712799" w:rsidP="00712799">
      <w:pPr>
        <w:rPr>
          <w:rFonts w:ascii="Century Gothic" w:hAnsi="Century Gothic"/>
          <w:sz w:val="22"/>
          <w:szCs w:val="22"/>
        </w:rPr>
      </w:pPr>
    </w:p>
    <w:p w14:paraId="661B62C9" w14:textId="77777777" w:rsidR="00712799" w:rsidRPr="00C851A2" w:rsidRDefault="00712799" w:rsidP="00712799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Topics of interest for 2020</w:t>
      </w:r>
      <w:r w:rsidR="00C356EE" w:rsidRPr="00C851A2">
        <w:rPr>
          <w:rFonts w:ascii="Century Gothic" w:hAnsi="Century Gothic"/>
          <w:sz w:val="22"/>
          <w:szCs w:val="22"/>
        </w:rPr>
        <w:t xml:space="preserve"> (all topics should be kept within the lens of accreditation)</w:t>
      </w:r>
    </w:p>
    <w:p w14:paraId="43A9A704" w14:textId="77777777" w:rsidR="00712799" w:rsidRPr="00C851A2" w:rsidRDefault="00C9264E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Ethics</w:t>
      </w:r>
      <w:r w:rsidR="00712799" w:rsidRPr="00C851A2">
        <w:rPr>
          <w:rFonts w:ascii="Century Gothic" w:hAnsi="Century Gothic"/>
          <w:sz w:val="22"/>
          <w:szCs w:val="22"/>
        </w:rPr>
        <w:t xml:space="preserve"> review processes</w:t>
      </w:r>
    </w:p>
    <w:p w14:paraId="5E7910CE" w14:textId="77777777" w:rsidR="00712799" w:rsidRPr="00C851A2" w:rsidRDefault="00C9264E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Examples</w:t>
      </w:r>
      <w:r w:rsidR="00712799" w:rsidRPr="00C851A2">
        <w:rPr>
          <w:rFonts w:ascii="Century Gothic" w:hAnsi="Century Gothic"/>
          <w:sz w:val="22"/>
          <w:szCs w:val="22"/>
        </w:rPr>
        <w:t xml:space="preserve"> of successful CHIP partnerships, implementation, and tracking outcomes</w:t>
      </w:r>
    </w:p>
    <w:p w14:paraId="65868C32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Engaging staff in Performance Management and identification of meaningful metrics, and maintaining a QI culture when faced with staff burnout</w:t>
      </w:r>
    </w:p>
    <w:p w14:paraId="75BD4070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Identifying population health objectives and data sources</w:t>
      </w:r>
    </w:p>
    <w:p w14:paraId="785E0690" w14:textId="77777777" w:rsidR="00712799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Demonstrating tangible benefits of accreditation for clients and staff </w:t>
      </w:r>
    </w:p>
    <w:p w14:paraId="4A2EC882" w14:textId="77777777" w:rsidR="00FA60DB" w:rsidRPr="00C851A2" w:rsidRDefault="00712799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Standardizing approaches for developing and implementing health promotion program activities including a policy and procedure and examples of how this is applied and practiced.  Include how ethics, equity, data use, etc. are incorporated</w:t>
      </w:r>
      <w:r w:rsidR="00FA60DB" w:rsidRPr="00C851A2">
        <w:rPr>
          <w:rFonts w:ascii="Century Gothic" w:hAnsi="Century Gothic"/>
          <w:sz w:val="22"/>
          <w:szCs w:val="22"/>
        </w:rPr>
        <w:t xml:space="preserve">, as well as staff training. </w:t>
      </w:r>
      <w:r w:rsidRPr="00C851A2">
        <w:rPr>
          <w:rFonts w:ascii="Century Gothic" w:hAnsi="Century Gothic"/>
          <w:sz w:val="22"/>
          <w:szCs w:val="22"/>
        </w:rPr>
        <w:t>Include how this is different but related to program evaluation.</w:t>
      </w:r>
      <w:r w:rsidR="00FA60DB" w:rsidRPr="00C851A2">
        <w:rPr>
          <w:rFonts w:ascii="Century Gothic" w:hAnsi="Century Gothic"/>
          <w:sz w:val="22"/>
          <w:szCs w:val="22"/>
        </w:rPr>
        <w:t xml:space="preserve"> </w:t>
      </w:r>
    </w:p>
    <w:p w14:paraId="7FCF095A" w14:textId="77777777" w:rsidR="00FA60DB" w:rsidRPr="00C851A2" w:rsidRDefault="00712799" w:rsidP="00FA60D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Workforce development practices including application of core competencies</w:t>
      </w:r>
      <w:r w:rsidR="00FA60DB" w:rsidRPr="00C851A2">
        <w:rPr>
          <w:rFonts w:ascii="Century Gothic" w:hAnsi="Century Gothic"/>
          <w:sz w:val="22"/>
          <w:szCs w:val="22"/>
        </w:rPr>
        <w:t xml:space="preserve"> and management skills.</w:t>
      </w:r>
      <w:r w:rsidRPr="00C851A2">
        <w:rPr>
          <w:rFonts w:ascii="Century Gothic" w:hAnsi="Century Gothic"/>
          <w:sz w:val="22"/>
          <w:szCs w:val="22"/>
        </w:rPr>
        <w:t xml:space="preserve"> </w:t>
      </w:r>
    </w:p>
    <w:p w14:paraId="44A6B1A3" w14:textId="77777777" w:rsidR="00FA60DB" w:rsidRPr="00C851A2" w:rsidRDefault="00712799" w:rsidP="00FA60D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Models for weaving the essential public health services/PHAB measures into daily work/maintaining engaged reac</w:t>
      </w:r>
      <w:r w:rsidR="00FA60DB" w:rsidRPr="00C851A2">
        <w:rPr>
          <w:rFonts w:ascii="Century Gothic" w:hAnsi="Century Gothic"/>
          <w:sz w:val="22"/>
          <w:szCs w:val="22"/>
        </w:rPr>
        <w:t>creditation experts throughout a</w:t>
      </w:r>
      <w:r w:rsidRPr="00C851A2">
        <w:rPr>
          <w:rFonts w:ascii="Century Gothic" w:hAnsi="Century Gothic"/>
          <w:sz w:val="22"/>
          <w:szCs w:val="22"/>
        </w:rPr>
        <w:t xml:space="preserve"> health department.  </w:t>
      </w:r>
    </w:p>
    <w:p w14:paraId="49F9A271" w14:textId="77777777" w:rsidR="00FA60DB" w:rsidRPr="00C851A2" w:rsidRDefault="00FA60DB" w:rsidP="0071279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Building a</w:t>
      </w:r>
      <w:r w:rsidR="00712799" w:rsidRPr="00C851A2">
        <w:rPr>
          <w:rFonts w:ascii="Century Gothic" w:hAnsi="Century Gothic"/>
          <w:sz w:val="22"/>
          <w:szCs w:val="22"/>
        </w:rPr>
        <w:t xml:space="preserve"> performance management foundation including tracking compliance/contractual requirements and then also prioritized performance measures separate </w:t>
      </w:r>
      <w:r w:rsidR="002628D8">
        <w:rPr>
          <w:rFonts w:ascii="Century Gothic" w:hAnsi="Century Gothic"/>
          <w:sz w:val="22"/>
          <w:szCs w:val="22"/>
        </w:rPr>
        <w:t>from compliance requirements.</w:t>
      </w:r>
      <w:r w:rsidRPr="00C851A2">
        <w:rPr>
          <w:rFonts w:ascii="Century Gothic" w:hAnsi="Century Gothic"/>
          <w:sz w:val="22"/>
          <w:szCs w:val="22"/>
        </w:rPr>
        <w:t xml:space="preserve"> A</w:t>
      </w:r>
      <w:r w:rsidR="00712799" w:rsidRPr="00C851A2">
        <w:rPr>
          <w:rFonts w:ascii="Century Gothic" w:hAnsi="Century Gothic"/>
          <w:sz w:val="22"/>
          <w:szCs w:val="22"/>
        </w:rPr>
        <w:t xml:space="preserve">pplication of performance measure informed QI projects especially at the population based health promotion </w:t>
      </w:r>
      <w:r w:rsidRPr="00C851A2">
        <w:rPr>
          <w:rFonts w:ascii="Century Gothic" w:hAnsi="Century Gothic"/>
          <w:sz w:val="22"/>
          <w:szCs w:val="22"/>
        </w:rPr>
        <w:t>and</w:t>
      </w:r>
      <w:r w:rsidR="00712799" w:rsidRPr="00C851A2">
        <w:rPr>
          <w:rFonts w:ascii="Century Gothic" w:hAnsi="Century Gothic"/>
          <w:sz w:val="22"/>
          <w:szCs w:val="22"/>
        </w:rPr>
        <w:t xml:space="preserve"> protection/community health issues level, and CHIP implementation </w:t>
      </w:r>
      <w:r w:rsidRPr="00C851A2">
        <w:rPr>
          <w:rFonts w:ascii="Century Gothic" w:hAnsi="Century Gothic"/>
          <w:sz w:val="22"/>
          <w:szCs w:val="22"/>
        </w:rPr>
        <w:t>and</w:t>
      </w:r>
      <w:r w:rsidR="00712799" w:rsidRPr="00C851A2">
        <w:rPr>
          <w:rFonts w:ascii="Century Gothic" w:hAnsi="Century Gothic"/>
          <w:sz w:val="22"/>
          <w:szCs w:val="22"/>
        </w:rPr>
        <w:t xml:space="preserve"> maintenance.</w:t>
      </w:r>
    </w:p>
    <w:p w14:paraId="08D995EE" w14:textId="77777777" w:rsidR="00FA60DB" w:rsidRPr="00C851A2" w:rsidRDefault="00FA60DB" w:rsidP="00FA60D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E</w:t>
      </w:r>
      <w:r w:rsidR="00712799" w:rsidRPr="00C851A2">
        <w:rPr>
          <w:rFonts w:ascii="Century Gothic" w:hAnsi="Century Gothic"/>
          <w:sz w:val="22"/>
          <w:szCs w:val="22"/>
        </w:rPr>
        <w:t>xamples of how to align division strategic plan priorities with department level strategic priorities an</w:t>
      </w:r>
      <w:r w:rsidRPr="00C851A2">
        <w:rPr>
          <w:rFonts w:ascii="Century Gothic" w:hAnsi="Century Gothic"/>
          <w:sz w:val="22"/>
          <w:szCs w:val="22"/>
        </w:rPr>
        <w:t>d how to maintain and update a</w:t>
      </w:r>
      <w:r w:rsidR="00712799" w:rsidRPr="00C851A2">
        <w:rPr>
          <w:rFonts w:ascii="Century Gothic" w:hAnsi="Century Gothic"/>
          <w:sz w:val="22"/>
          <w:szCs w:val="22"/>
        </w:rPr>
        <w:t xml:space="preserve"> strategic action plan informed </w:t>
      </w:r>
      <w:r w:rsidRPr="00C851A2">
        <w:rPr>
          <w:rFonts w:ascii="Century Gothic" w:hAnsi="Century Gothic"/>
          <w:sz w:val="22"/>
          <w:szCs w:val="22"/>
        </w:rPr>
        <w:t xml:space="preserve">by </w:t>
      </w:r>
      <w:r w:rsidR="00712799" w:rsidRPr="00C851A2">
        <w:rPr>
          <w:rFonts w:ascii="Century Gothic" w:hAnsi="Century Gothic"/>
          <w:sz w:val="22"/>
          <w:szCs w:val="22"/>
        </w:rPr>
        <w:t>employee</w:t>
      </w:r>
      <w:r w:rsidRPr="00C851A2">
        <w:rPr>
          <w:rFonts w:ascii="Century Gothic" w:hAnsi="Century Gothic"/>
          <w:sz w:val="22"/>
          <w:szCs w:val="22"/>
        </w:rPr>
        <w:t xml:space="preserve">s. </w:t>
      </w:r>
    </w:p>
    <w:p w14:paraId="1E598CE0" w14:textId="77777777" w:rsidR="00FA60DB" w:rsidRPr="00C851A2" w:rsidRDefault="00FA60DB" w:rsidP="00FA60D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Examples of strategies that have worked in rural, low-resource areas to build community capacity and engage communities. </w:t>
      </w:r>
    </w:p>
    <w:p w14:paraId="6C7E36CD" w14:textId="77777777" w:rsidR="00FA60DB" w:rsidRPr="00C851A2" w:rsidRDefault="00FA60DB" w:rsidP="00FA60D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Resources to improve workforce development and retention.</w:t>
      </w:r>
    </w:p>
    <w:p w14:paraId="410956FA" w14:textId="77777777" w:rsidR="00FA60DB" w:rsidRPr="00C851A2" w:rsidRDefault="00FA60DB" w:rsidP="00FA60DB">
      <w:pPr>
        <w:rPr>
          <w:rFonts w:ascii="Century Gothic" w:hAnsi="Century Gothic"/>
          <w:sz w:val="22"/>
          <w:szCs w:val="22"/>
        </w:rPr>
      </w:pPr>
    </w:p>
    <w:p w14:paraId="1E5A7C14" w14:textId="77777777" w:rsidR="00FA60DB" w:rsidRPr="00C851A2" w:rsidRDefault="00FA60DB" w:rsidP="00FA60DB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Number of times each Domain was checked for additional assistance or documentation:</w:t>
      </w:r>
      <w:r w:rsidR="00C9264E" w:rsidRPr="00C851A2">
        <w:rPr>
          <w:rFonts w:ascii="Century Gothic" w:hAnsi="Century Gothic"/>
          <w:sz w:val="22"/>
          <w:szCs w:val="22"/>
        </w:rPr>
        <w:t xml:space="preserve"> (Note: Results adjusted to remove two respondents that checked all Domains.)</w:t>
      </w:r>
    </w:p>
    <w:p w14:paraId="1056DB24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Domain1 - </w:t>
      </w:r>
      <w:r w:rsidR="00C9264E" w:rsidRPr="00C851A2">
        <w:rPr>
          <w:rFonts w:ascii="Century Gothic" w:hAnsi="Century Gothic"/>
          <w:sz w:val="22"/>
          <w:szCs w:val="22"/>
        </w:rPr>
        <w:t>1</w:t>
      </w:r>
    </w:p>
    <w:p w14:paraId="6F21BFAE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2 - </w:t>
      </w:r>
      <w:r w:rsidR="00C9264E" w:rsidRPr="00C851A2">
        <w:rPr>
          <w:rFonts w:ascii="Century Gothic" w:hAnsi="Century Gothic"/>
          <w:sz w:val="22"/>
          <w:szCs w:val="22"/>
        </w:rPr>
        <w:t>1</w:t>
      </w:r>
    </w:p>
    <w:p w14:paraId="7CC35A9D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3 - </w:t>
      </w:r>
      <w:r w:rsidR="00C9264E" w:rsidRPr="00C851A2">
        <w:rPr>
          <w:rFonts w:ascii="Century Gothic" w:hAnsi="Century Gothic"/>
          <w:sz w:val="22"/>
          <w:szCs w:val="22"/>
        </w:rPr>
        <w:t>2</w:t>
      </w:r>
    </w:p>
    <w:p w14:paraId="6D782228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4 - </w:t>
      </w:r>
      <w:r w:rsidR="00C9264E" w:rsidRPr="00C851A2">
        <w:rPr>
          <w:rFonts w:ascii="Century Gothic" w:hAnsi="Century Gothic"/>
          <w:sz w:val="22"/>
          <w:szCs w:val="22"/>
        </w:rPr>
        <w:t>1</w:t>
      </w:r>
    </w:p>
    <w:p w14:paraId="34C352BE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5 - </w:t>
      </w:r>
      <w:r w:rsidR="00C9264E" w:rsidRPr="00C851A2">
        <w:rPr>
          <w:rFonts w:ascii="Century Gothic" w:hAnsi="Century Gothic"/>
          <w:sz w:val="22"/>
          <w:szCs w:val="22"/>
        </w:rPr>
        <w:t>2</w:t>
      </w:r>
    </w:p>
    <w:p w14:paraId="444A0064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6 - </w:t>
      </w:r>
      <w:r w:rsidR="00C9264E" w:rsidRPr="00C851A2">
        <w:rPr>
          <w:rFonts w:ascii="Century Gothic" w:hAnsi="Century Gothic"/>
          <w:sz w:val="22"/>
          <w:szCs w:val="22"/>
        </w:rPr>
        <w:t>0</w:t>
      </w:r>
    </w:p>
    <w:p w14:paraId="65FDCD19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7 - </w:t>
      </w:r>
      <w:r w:rsidR="00C9264E" w:rsidRPr="00C851A2">
        <w:rPr>
          <w:rFonts w:ascii="Century Gothic" w:hAnsi="Century Gothic"/>
          <w:sz w:val="22"/>
          <w:szCs w:val="22"/>
        </w:rPr>
        <w:t>1</w:t>
      </w:r>
    </w:p>
    <w:p w14:paraId="54B230F1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8 - </w:t>
      </w:r>
      <w:r w:rsidR="00C9264E" w:rsidRPr="00C851A2">
        <w:rPr>
          <w:rFonts w:ascii="Century Gothic" w:hAnsi="Century Gothic"/>
          <w:sz w:val="22"/>
          <w:szCs w:val="22"/>
        </w:rPr>
        <w:t>3</w:t>
      </w:r>
    </w:p>
    <w:p w14:paraId="530C66DD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9 - </w:t>
      </w:r>
      <w:r w:rsidR="00C9264E" w:rsidRPr="00C851A2">
        <w:rPr>
          <w:rFonts w:ascii="Century Gothic" w:hAnsi="Century Gothic"/>
          <w:sz w:val="22"/>
          <w:szCs w:val="22"/>
        </w:rPr>
        <w:t>4</w:t>
      </w:r>
    </w:p>
    <w:p w14:paraId="1DD319E8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10 – </w:t>
      </w:r>
      <w:r w:rsidR="00C9264E" w:rsidRPr="00C851A2">
        <w:rPr>
          <w:rFonts w:ascii="Century Gothic" w:hAnsi="Century Gothic"/>
          <w:sz w:val="22"/>
          <w:szCs w:val="22"/>
        </w:rPr>
        <w:t>1</w:t>
      </w:r>
    </w:p>
    <w:p w14:paraId="4695A928" w14:textId="77777777" w:rsidR="00FA60DB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11 – </w:t>
      </w:r>
      <w:r w:rsidR="00C9264E" w:rsidRPr="00C851A2">
        <w:rPr>
          <w:rFonts w:ascii="Century Gothic" w:hAnsi="Century Gothic"/>
          <w:sz w:val="22"/>
          <w:szCs w:val="22"/>
        </w:rPr>
        <w:t>2</w:t>
      </w:r>
    </w:p>
    <w:p w14:paraId="76872F22" w14:textId="77777777" w:rsidR="00C9264E" w:rsidRPr="00C851A2" w:rsidRDefault="00FA60DB" w:rsidP="00C9264E">
      <w:pPr>
        <w:ind w:left="720"/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Domain 12 </w:t>
      </w:r>
      <w:r w:rsidR="00C356EE" w:rsidRPr="00C851A2">
        <w:rPr>
          <w:rFonts w:ascii="Century Gothic" w:hAnsi="Century Gothic"/>
          <w:sz w:val="22"/>
          <w:szCs w:val="22"/>
        </w:rPr>
        <w:t>–</w:t>
      </w:r>
      <w:r w:rsidRPr="00C851A2">
        <w:rPr>
          <w:rFonts w:ascii="Century Gothic" w:hAnsi="Century Gothic"/>
          <w:sz w:val="22"/>
          <w:szCs w:val="22"/>
        </w:rPr>
        <w:t xml:space="preserve"> </w:t>
      </w:r>
      <w:r w:rsidR="00C9264E" w:rsidRPr="00C851A2">
        <w:rPr>
          <w:rFonts w:ascii="Century Gothic" w:hAnsi="Century Gothic"/>
          <w:sz w:val="22"/>
          <w:szCs w:val="22"/>
        </w:rPr>
        <w:t>0</w:t>
      </w:r>
    </w:p>
    <w:p w14:paraId="3B280FC2" w14:textId="77777777" w:rsidR="00C356EE" w:rsidRPr="00C851A2" w:rsidRDefault="00C356EE" w:rsidP="00FA60DB">
      <w:pPr>
        <w:rPr>
          <w:rFonts w:ascii="Century Gothic" w:hAnsi="Century Gothic"/>
          <w:sz w:val="22"/>
          <w:szCs w:val="22"/>
        </w:rPr>
      </w:pPr>
    </w:p>
    <w:p w14:paraId="0AF1483E" w14:textId="77777777" w:rsidR="00C356EE" w:rsidRPr="00C851A2" w:rsidRDefault="00C356EE" w:rsidP="00C356EE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>There were no recommendations for outside resources and/or speakers that have expertise in public health accreditation.</w:t>
      </w:r>
    </w:p>
    <w:p w14:paraId="656D1FEE" w14:textId="77777777" w:rsidR="00C356EE" w:rsidRPr="00C851A2" w:rsidRDefault="00C9264E" w:rsidP="00FA60DB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- </w:t>
      </w:r>
      <w:r w:rsidR="00C356EE" w:rsidRPr="00C851A2">
        <w:rPr>
          <w:rFonts w:ascii="Century Gothic" w:hAnsi="Century Gothic"/>
          <w:sz w:val="22"/>
          <w:szCs w:val="22"/>
        </w:rPr>
        <w:t xml:space="preserve">Counties interested in sharing their work in a presentation: Marion, Jackson, </w:t>
      </w:r>
      <w:proofErr w:type="gramStart"/>
      <w:r w:rsidR="00C356EE" w:rsidRPr="00C851A2">
        <w:rPr>
          <w:rFonts w:ascii="Century Gothic" w:hAnsi="Century Gothic"/>
          <w:sz w:val="22"/>
          <w:szCs w:val="22"/>
        </w:rPr>
        <w:t>Benton</w:t>
      </w:r>
      <w:proofErr w:type="gramEnd"/>
    </w:p>
    <w:p w14:paraId="266ECA26" w14:textId="77777777" w:rsidR="00C356EE" w:rsidRPr="00C851A2" w:rsidRDefault="00C356EE" w:rsidP="00FA60DB">
      <w:pPr>
        <w:rPr>
          <w:rFonts w:ascii="Century Gothic" w:hAnsi="Century Gothic"/>
          <w:sz w:val="22"/>
          <w:szCs w:val="22"/>
        </w:rPr>
      </w:pPr>
    </w:p>
    <w:p w14:paraId="034DE1BC" w14:textId="77777777" w:rsidR="00C356EE" w:rsidRPr="00C851A2" w:rsidRDefault="00C356EE" w:rsidP="00FA60DB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Most respondents either never use </w:t>
      </w:r>
      <w:proofErr w:type="spellStart"/>
      <w:r w:rsidRPr="00C851A2">
        <w:rPr>
          <w:rFonts w:ascii="Century Gothic" w:hAnsi="Century Gothic"/>
          <w:sz w:val="22"/>
          <w:szCs w:val="22"/>
        </w:rPr>
        <w:t>GovSpace</w:t>
      </w:r>
      <w:proofErr w:type="spellEnd"/>
      <w:r w:rsidRPr="00C851A2">
        <w:rPr>
          <w:rFonts w:ascii="Century Gothic" w:hAnsi="Century Gothic"/>
          <w:sz w:val="22"/>
          <w:szCs w:val="22"/>
        </w:rPr>
        <w:t xml:space="preserve"> or only use it infrequently to look for a specific resource. Most respondents do not know how to find the YouTube links of AWG recordings.</w:t>
      </w:r>
    </w:p>
    <w:p w14:paraId="5DD9992D" w14:textId="77777777" w:rsidR="00C356EE" w:rsidRPr="00C851A2" w:rsidRDefault="00C356EE" w:rsidP="00FA60DB">
      <w:pPr>
        <w:rPr>
          <w:rFonts w:ascii="Century Gothic" w:hAnsi="Century Gothic"/>
          <w:sz w:val="22"/>
          <w:szCs w:val="22"/>
        </w:rPr>
      </w:pPr>
    </w:p>
    <w:p w14:paraId="7FD62FCF" w14:textId="77777777" w:rsidR="00C356EE" w:rsidRPr="00C851A2" w:rsidRDefault="00C9264E" w:rsidP="00C9264E">
      <w:pPr>
        <w:rPr>
          <w:rFonts w:ascii="Century Gothic" w:hAnsi="Century Gothic"/>
          <w:sz w:val="22"/>
          <w:szCs w:val="22"/>
        </w:rPr>
      </w:pPr>
      <w:r w:rsidRPr="00C851A2">
        <w:rPr>
          <w:rFonts w:ascii="Century Gothic" w:hAnsi="Century Gothic"/>
          <w:sz w:val="22"/>
          <w:szCs w:val="22"/>
        </w:rPr>
        <w:t xml:space="preserve">Specific resource request: </w:t>
      </w:r>
      <w:r w:rsidR="00C356EE" w:rsidRPr="00C851A2">
        <w:rPr>
          <w:rFonts w:ascii="Century Gothic" w:hAnsi="Century Gothic"/>
          <w:sz w:val="22"/>
          <w:szCs w:val="22"/>
        </w:rPr>
        <w:t>Potential guidelines/timetables useful in the process of accreditation.</w:t>
      </w:r>
    </w:p>
    <w:p w14:paraId="56F50E96" w14:textId="77777777" w:rsidR="00C356EE" w:rsidRPr="00C851A2" w:rsidRDefault="00C356EE" w:rsidP="00FA60DB">
      <w:pPr>
        <w:rPr>
          <w:rFonts w:ascii="Century Gothic" w:hAnsi="Century Gothic"/>
          <w:color w:val="000000"/>
          <w:sz w:val="22"/>
          <w:szCs w:val="22"/>
        </w:rPr>
      </w:pPr>
    </w:p>
    <w:sectPr w:rsidR="00C356EE" w:rsidRPr="00C851A2" w:rsidSect="00C851A2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101C5"/>
    <w:multiLevelType w:val="hybridMultilevel"/>
    <w:tmpl w:val="5A5AACFA"/>
    <w:lvl w:ilvl="0" w:tplc="05EA2C64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D468A"/>
    <w:multiLevelType w:val="hybridMultilevel"/>
    <w:tmpl w:val="0A223AD8"/>
    <w:lvl w:ilvl="0" w:tplc="18CA5AA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99"/>
    <w:rsid w:val="002628D8"/>
    <w:rsid w:val="00323012"/>
    <w:rsid w:val="00712799"/>
    <w:rsid w:val="008E0CA2"/>
    <w:rsid w:val="00C356EE"/>
    <w:rsid w:val="00C851A2"/>
    <w:rsid w:val="00C9264E"/>
    <w:rsid w:val="00D21C96"/>
    <w:rsid w:val="00DC137A"/>
    <w:rsid w:val="00F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199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722</Words>
  <Characters>4117</Characters>
  <Application>Microsoft Macintosh Word</Application>
  <DocSecurity>0</DocSecurity>
  <Lines>34</Lines>
  <Paragraphs>9</Paragraphs>
  <ScaleCrop>false</ScaleCrop>
  <Company>CLHO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Hill</dc:creator>
  <cp:keywords/>
  <dc:description/>
  <cp:lastModifiedBy>Caitlin Hill</cp:lastModifiedBy>
  <cp:revision>3</cp:revision>
  <dcterms:created xsi:type="dcterms:W3CDTF">2020-01-14T21:21:00Z</dcterms:created>
  <dcterms:modified xsi:type="dcterms:W3CDTF">2020-01-21T21:12:00Z</dcterms:modified>
</cp:coreProperties>
</file>