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02E" w:rsidRDefault="0022302E">
      <w:pPr>
        <w:rPr>
          <w:noProof/>
        </w:rPr>
      </w:pPr>
    </w:p>
    <w:p w:rsidR="00D520CC" w:rsidRDefault="00D520CC">
      <w:r>
        <w:rPr>
          <w:noProof/>
          <w:color w:val="1F497D"/>
        </w:rPr>
        <w:drawing>
          <wp:inline distT="0" distB="0" distL="0" distR="0">
            <wp:extent cx="6400800" cy="1097072"/>
            <wp:effectExtent l="0" t="0" r="0" b="8255"/>
            <wp:docPr id="2" name="Picture 2" descr="cid:image007.jpg@01D3E872.61C25D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D3E872.61C25D8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400800" cy="1097072"/>
                    </a:xfrm>
                    <a:prstGeom prst="rect">
                      <a:avLst/>
                    </a:prstGeom>
                    <a:noFill/>
                    <a:ln>
                      <a:noFill/>
                    </a:ln>
                  </pic:spPr>
                </pic:pic>
              </a:graphicData>
            </a:graphic>
          </wp:inline>
        </w:drawing>
      </w:r>
    </w:p>
    <w:p w:rsidR="00E43F4A" w:rsidRPr="00541E88" w:rsidRDefault="00E43F4A" w:rsidP="00E43F4A">
      <w:pPr>
        <w:spacing w:after="0" w:line="240" w:lineRule="auto"/>
        <w:jc w:val="center"/>
        <w:rPr>
          <w:rFonts w:ascii="Calibri" w:eastAsia="Calibri" w:hAnsi="Calibri" w:cs="Calibri"/>
          <w:b/>
          <w:bCs/>
          <w:sz w:val="32"/>
          <w:szCs w:val="32"/>
          <w:lang w:eastAsia="ja-JP"/>
        </w:rPr>
      </w:pPr>
      <w:r w:rsidRPr="00541E88">
        <w:rPr>
          <w:rFonts w:ascii="Calibri" w:eastAsia="Calibri" w:hAnsi="Calibri" w:cs="Calibri"/>
          <w:b/>
          <w:bCs/>
          <w:sz w:val="32"/>
          <w:szCs w:val="32"/>
          <w:lang w:eastAsia="ja-JP"/>
        </w:rPr>
        <w:t xml:space="preserve">Crime Victims’ Compensation (CVCP) </w:t>
      </w:r>
    </w:p>
    <w:p w:rsidR="00E43F4A" w:rsidRPr="00541E88" w:rsidRDefault="00E43F4A" w:rsidP="00E43F4A">
      <w:pPr>
        <w:spacing w:after="0" w:line="240" w:lineRule="auto"/>
        <w:jc w:val="center"/>
        <w:rPr>
          <w:rFonts w:ascii="Calibri" w:eastAsia="Calibri" w:hAnsi="Calibri" w:cs="Calibri"/>
          <w:b/>
          <w:bCs/>
          <w:sz w:val="32"/>
          <w:szCs w:val="32"/>
          <w:lang w:eastAsia="ja-JP"/>
        </w:rPr>
      </w:pPr>
      <w:r w:rsidRPr="00541E88">
        <w:rPr>
          <w:rFonts w:ascii="Calibri" w:eastAsia="Calibri" w:hAnsi="Calibri" w:cs="Calibri"/>
          <w:b/>
          <w:bCs/>
          <w:sz w:val="32"/>
          <w:szCs w:val="32"/>
          <w:lang w:eastAsia="ja-JP"/>
        </w:rPr>
        <w:t>&amp;</w:t>
      </w:r>
    </w:p>
    <w:p w:rsidR="00E43F4A" w:rsidRPr="00541E88" w:rsidRDefault="00E43F4A" w:rsidP="00E43F4A">
      <w:pPr>
        <w:spacing w:after="0" w:line="240" w:lineRule="auto"/>
        <w:jc w:val="center"/>
        <w:rPr>
          <w:rFonts w:ascii="Calibri" w:eastAsia="Calibri" w:hAnsi="Calibri" w:cs="Calibri"/>
          <w:b/>
          <w:bCs/>
          <w:sz w:val="32"/>
          <w:szCs w:val="32"/>
          <w:lang w:eastAsia="ja-JP"/>
        </w:rPr>
      </w:pPr>
      <w:r w:rsidRPr="00541E88">
        <w:rPr>
          <w:rFonts w:ascii="Calibri" w:eastAsia="Calibri" w:hAnsi="Calibri" w:cs="Calibri"/>
          <w:b/>
          <w:bCs/>
          <w:sz w:val="32"/>
          <w:szCs w:val="32"/>
          <w:lang w:eastAsia="ja-JP"/>
        </w:rPr>
        <w:t xml:space="preserve">Address Confidentiality (ACP) </w:t>
      </w:r>
    </w:p>
    <w:p w:rsidR="00E43F4A" w:rsidRDefault="00E43F4A" w:rsidP="00E43F4A">
      <w:pPr>
        <w:spacing w:after="0" w:line="240" w:lineRule="auto"/>
        <w:jc w:val="center"/>
        <w:rPr>
          <w:rFonts w:ascii="Calibri" w:eastAsia="Calibri" w:hAnsi="Calibri" w:cs="Calibri"/>
          <w:b/>
          <w:bCs/>
          <w:sz w:val="32"/>
          <w:szCs w:val="32"/>
          <w:lang w:eastAsia="ja-JP"/>
        </w:rPr>
      </w:pPr>
      <w:r w:rsidRPr="00541E88">
        <w:rPr>
          <w:rFonts w:ascii="Calibri" w:eastAsia="Calibri" w:hAnsi="Calibri" w:cs="Calibri"/>
          <w:b/>
          <w:bCs/>
          <w:sz w:val="32"/>
          <w:szCs w:val="32"/>
          <w:lang w:eastAsia="ja-JP"/>
        </w:rPr>
        <w:t>Training</w:t>
      </w:r>
    </w:p>
    <w:p w:rsidR="00693538" w:rsidRPr="00541E88" w:rsidRDefault="00693538" w:rsidP="00E43F4A">
      <w:pPr>
        <w:spacing w:after="0" w:line="240" w:lineRule="auto"/>
        <w:jc w:val="center"/>
        <w:rPr>
          <w:rFonts w:ascii="Calibri" w:eastAsia="Calibri" w:hAnsi="Calibri" w:cs="Calibri"/>
          <w:b/>
          <w:bCs/>
          <w:color w:val="1F497D"/>
          <w:sz w:val="32"/>
          <w:szCs w:val="32"/>
          <w:u w:val="single"/>
          <w:lang w:eastAsia="ja-JP"/>
        </w:rPr>
      </w:pPr>
    </w:p>
    <w:p w:rsidR="00E43F4A" w:rsidRPr="00541E88" w:rsidRDefault="00E43F4A" w:rsidP="00E43F4A">
      <w:pPr>
        <w:spacing w:after="0" w:line="240" w:lineRule="auto"/>
        <w:rPr>
          <w:rFonts w:ascii="Calibri" w:eastAsia="Calibri" w:hAnsi="Calibri" w:cs="Calibri"/>
          <w:sz w:val="24"/>
          <w:szCs w:val="24"/>
          <w:lang w:eastAsia="ja-JP"/>
        </w:rPr>
      </w:pPr>
      <w:r w:rsidRPr="00693538">
        <w:rPr>
          <w:rFonts w:ascii="Calibri" w:eastAsia="Calibri" w:hAnsi="Calibri" w:cs="Calibri"/>
          <w:i/>
          <w:sz w:val="24"/>
          <w:szCs w:val="24"/>
          <w:lang w:eastAsia="ja-JP"/>
        </w:rPr>
        <w:t>Intended participants:</w:t>
      </w:r>
      <w:r w:rsidRPr="00541E88">
        <w:rPr>
          <w:rFonts w:ascii="Calibri" w:eastAsia="Calibri" w:hAnsi="Calibri" w:cs="Calibri"/>
          <w:sz w:val="24"/>
          <w:szCs w:val="24"/>
          <w:lang w:eastAsia="ja-JP"/>
        </w:rPr>
        <w:t>  Victim advocates working in system- and community-based agencies, including child abuse assessment centers, as well as allied professionals working with crime victims.</w:t>
      </w:r>
    </w:p>
    <w:p w:rsidR="00E43F4A" w:rsidRPr="003A0D1F" w:rsidRDefault="00E43F4A" w:rsidP="00E43F4A">
      <w:pPr>
        <w:spacing w:after="0" w:line="240" w:lineRule="auto"/>
        <w:rPr>
          <w:rFonts w:ascii="Calibri" w:eastAsia="Calibri" w:hAnsi="Calibri" w:cs="Calibri"/>
          <w:sz w:val="20"/>
          <w:szCs w:val="20"/>
          <w:lang w:eastAsia="ja-JP"/>
        </w:rPr>
      </w:pPr>
    </w:p>
    <w:p w:rsidR="00693538" w:rsidRPr="00693538" w:rsidRDefault="00693538" w:rsidP="00693538">
      <w:pPr>
        <w:spacing w:after="0" w:line="240" w:lineRule="auto"/>
        <w:rPr>
          <w:rFonts w:ascii="Calibri" w:eastAsia="Calibri" w:hAnsi="Calibri" w:cs="Calibri"/>
          <w:sz w:val="24"/>
          <w:szCs w:val="24"/>
          <w:lang w:eastAsia="ja-JP"/>
        </w:rPr>
      </w:pPr>
      <w:r w:rsidRPr="00693538">
        <w:rPr>
          <w:rFonts w:ascii="Calibri" w:eastAsia="Calibri" w:hAnsi="Calibri" w:cs="Calibri"/>
          <w:b/>
          <w:sz w:val="24"/>
          <w:szCs w:val="24"/>
          <w:lang w:eastAsia="ja-JP"/>
        </w:rPr>
        <w:t>Crime Victims' Compensation Program Training:</w:t>
      </w:r>
      <w:r w:rsidRPr="00693538">
        <w:rPr>
          <w:rFonts w:ascii="Calibri" w:eastAsia="Calibri" w:hAnsi="Calibri" w:cs="Calibri"/>
          <w:sz w:val="24"/>
          <w:szCs w:val="24"/>
          <w:lang w:eastAsia="ja-JP"/>
        </w:rPr>
        <w:t xml:space="preserve"> Learn more about Oregon’s Crime Victims’ Compensation Program (CVCP). The CVCP works to ease financial burden suffered by hundreds of Oregonians each year. This training includes information about program eligibility and benefits, the application process and how payments are handled. This training also includes an overview of other sections included in the CVCP (Revenue, Victim Rights, SAVE Fund, and Human Trafficking Intervention</w:t>
      </w:r>
      <w:r w:rsidR="002107E3">
        <w:rPr>
          <w:rFonts w:ascii="Calibri" w:eastAsia="Calibri" w:hAnsi="Calibri" w:cs="Calibri"/>
          <w:sz w:val="24"/>
          <w:szCs w:val="24"/>
          <w:lang w:eastAsia="ja-JP"/>
        </w:rPr>
        <w:t xml:space="preserve"> and Post-Conviction</w:t>
      </w:r>
      <w:r w:rsidRPr="00693538">
        <w:rPr>
          <w:rFonts w:ascii="Calibri" w:eastAsia="Calibri" w:hAnsi="Calibri" w:cs="Calibri"/>
          <w:sz w:val="24"/>
          <w:szCs w:val="24"/>
          <w:lang w:eastAsia="ja-JP"/>
        </w:rPr>
        <w:t>).</w:t>
      </w:r>
    </w:p>
    <w:p w:rsidR="00693538" w:rsidRPr="00693538" w:rsidRDefault="00693538" w:rsidP="00693538">
      <w:pPr>
        <w:spacing w:after="0" w:line="240" w:lineRule="auto"/>
        <w:rPr>
          <w:rFonts w:ascii="Calibri" w:eastAsia="Calibri" w:hAnsi="Calibri" w:cs="Calibri"/>
          <w:sz w:val="24"/>
          <w:szCs w:val="24"/>
          <w:lang w:eastAsia="ja-JP"/>
        </w:rPr>
      </w:pPr>
    </w:p>
    <w:p w:rsidR="00693538" w:rsidRPr="00693538" w:rsidRDefault="00693538" w:rsidP="00693538">
      <w:pPr>
        <w:spacing w:after="0" w:line="240" w:lineRule="auto"/>
        <w:rPr>
          <w:rFonts w:ascii="Calibri" w:eastAsia="Calibri" w:hAnsi="Calibri" w:cs="Calibri"/>
          <w:sz w:val="24"/>
          <w:szCs w:val="24"/>
          <w:lang w:eastAsia="ja-JP"/>
        </w:rPr>
      </w:pPr>
      <w:r w:rsidRPr="00693538">
        <w:rPr>
          <w:rFonts w:ascii="Calibri" w:eastAsia="Calibri" w:hAnsi="Calibri" w:cs="Calibri"/>
          <w:b/>
          <w:sz w:val="24"/>
          <w:szCs w:val="24"/>
          <w:lang w:eastAsia="ja-JP"/>
        </w:rPr>
        <w:t>Victims' Rights Overview:</w:t>
      </w:r>
      <w:r w:rsidRPr="00693538">
        <w:rPr>
          <w:rFonts w:ascii="Calibri" w:eastAsia="Calibri" w:hAnsi="Calibri" w:cs="Calibri"/>
          <w:sz w:val="24"/>
          <w:szCs w:val="24"/>
          <w:lang w:eastAsia="ja-JP"/>
        </w:rPr>
        <w:t xml:space="preserve"> The Crime Victims’ Rights mission is to ensure crime victims’ constitutional and statutory rights are understood, honored and enforced at every point of contact within the criminal justice system. Every victim in Oregon has legal </w:t>
      </w:r>
      <w:proofErr w:type="gramStart"/>
      <w:r w:rsidRPr="00693538">
        <w:rPr>
          <w:rFonts w:ascii="Calibri" w:eastAsia="Calibri" w:hAnsi="Calibri" w:cs="Calibri"/>
          <w:sz w:val="24"/>
          <w:szCs w:val="24"/>
          <w:lang w:eastAsia="ja-JP"/>
        </w:rPr>
        <w:t>rights,</w:t>
      </w:r>
      <w:proofErr w:type="gramEnd"/>
      <w:r w:rsidRPr="00693538">
        <w:rPr>
          <w:rFonts w:ascii="Calibri" w:eastAsia="Calibri" w:hAnsi="Calibri" w:cs="Calibri"/>
          <w:sz w:val="24"/>
          <w:szCs w:val="24"/>
          <w:lang w:eastAsia="ja-JP"/>
        </w:rPr>
        <w:t xml:space="preserve"> many of these rights go into effect automatically, while others must be requested. A crime victim, their attorney or the District Attorney may assert and enforce these rights on their behalf.</w:t>
      </w:r>
    </w:p>
    <w:p w:rsidR="00693538" w:rsidRPr="00693538" w:rsidRDefault="00693538" w:rsidP="00693538">
      <w:pPr>
        <w:spacing w:after="0" w:line="240" w:lineRule="auto"/>
        <w:rPr>
          <w:rFonts w:ascii="Calibri" w:eastAsia="Calibri" w:hAnsi="Calibri" w:cs="Calibri"/>
          <w:sz w:val="24"/>
          <w:szCs w:val="24"/>
          <w:lang w:eastAsia="ja-JP"/>
        </w:rPr>
      </w:pPr>
    </w:p>
    <w:p w:rsidR="00693538" w:rsidRPr="00693538" w:rsidRDefault="00693538" w:rsidP="00693538">
      <w:pPr>
        <w:spacing w:after="0" w:line="240" w:lineRule="auto"/>
        <w:rPr>
          <w:rFonts w:ascii="Calibri" w:eastAsia="Calibri" w:hAnsi="Calibri" w:cs="Calibri"/>
          <w:sz w:val="24"/>
          <w:szCs w:val="24"/>
          <w:lang w:eastAsia="ja-JP"/>
        </w:rPr>
      </w:pPr>
      <w:r w:rsidRPr="00693538">
        <w:rPr>
          <w:rFonts w:ascii="Calibri" w:eastAsia="Calibri" w:hAnsi="Calibri" w:cs="Calibri"/>
          <w:b/>
          <w:sz w:val="24"/>
          <w:szCs w:val="24"/>
          <w:lang w:eastAsia="ja-JP"/>
        </w:rPr>
        <w:t>Sexual Assault Victims' Emergency Medical Response (SAVE) Fund</w:t>
      </w:r>
      <w:r w:rsidRPr="00693538">
        <w:rPr>
          <w:rFonts w:ascii="Calibri" w:eastAsia="Calibri" w:hAnsi="Calibri" w:cs="Calibri"/>
          <w:sz w:val="24"/>
          <w:szCs w:val="24"/>
          <w:lang w:eastAsia="ja-JP"/>
        </w:rPr>
        <w:t>: The SAVE Fund makes medical exams available to every victim of sexual assault in Oregon – regardless of the ability to pay. The SAVE fund will pay for the cost of a sexual assault medical exam that include the physician charges, medications to prevent sexually transmitted diseases, emergency contraception, pregnancy test up to 7 days after the assault, and up to 5 counseling sessions.</w:t>
      </w:r>
    </w:p>
    <w:p w:rsidR="00693538" w:rsidRPr="00693538" w:rsidRDefault="00693538" w:rsidP="00693538">
      <w:pPr>
        <w:spacing w:after="0" w:line="240" w:lineRule="auto"/>
        <w:rPr>
          <w:rFonts w:ascii="Calibri" w:eastAsia="Calibri" w:hAnsi="Calibri" w:cs="Calibri"/>
          <w:sz w:val="24"/>
          <w:szCs w:val="24"/>
          <w:lang w:eastAsia="ja-JP"/>
        </w:rPr>
      </w:pPr>
    </w:p>
    <w:p w:rsidR="00693538" w:rsidRPr="00693538" w:rsidRDefault="00693538" w:rsidP="00693538">
      <w:pPr>
        <w:spacing w:after="0" w:line="240" w:lineRule="auto"/>
        <w:rPr>
          <w:rFonts w:ascii="Calibri" w:eastAsia="Calibri" w:hAnsi="Calibri" w:cs="Calibri"/>
          <w:sz w:val="24"/>
          <w:szCs w:val="24"/>
          <w:lang w:eastAsia="ja-JP"/>
        </w:rPr>
      </w:pPr>
      <w:r w:rsidRPr="00693538">
        <w:rPr>
          <w:rFonts w:ascii="Calibri" w:eastAsia="Calibri" w:hAnsi="Calibri" w:cs="Calibri"/>
          <w:b/>
          <w:sz w:val="24"/>
          <w:szCs w:val="24"/>
          <w:lang w:eastAsia="ja-JP"/>
        </w:rPr>
        <w:t>Trafficking Intervention:</w:t>
      </w:r>
      <w:r w:rsidRPr="00693538">
        <w:rPr>
          <w:rFonts w:ascii="Calibri" w:eastAsia="Calibri" w:hAnsi="Calibri" w:cs="Calibri"/>
          <w:sz w:val="24"/>
          <w:szCs w:val="24"/>
          <w:lang w:eastAsia="ja-JP"/>
        </w:rPr>
        <w:t xml:space="preserve"> The Trafficking Intervention Program focuses on building a sustainable statewide response to human trafficking, both sex and labor. The program provides guidance, support and resources to communities and is working to achieve meaningful access to services for all survivors of trafficking in Oregon. The program offers funding, training, technical assistance, resources, case consult and support for all efforts combatting human trafficking in Oregon.</w:t>
      </w:r>
    </w:p>
    <w:p w:rsidR="00693538" w:rsidRPr="00693538" w:rsidRDefault="00693538" w:rsidP="00693538">
      <w:pPr>
        <w:spacing w:after="0" w:line="240" w:lineRule="auto"/>
        <w:rPr>
          <w:rFonts w:ascii="Calibri" w:eastAsia="Calibri" w:hAnsi="Calibri" w:cs="Calibri"/>
          <w:sz w:val="24"/>
          <w:szCs w:val="24"/>
          <w:lang w:eastAsia="ja-JP"/>
        </w:rPr>
      </w:pPr>
    </w:p>
    <w:p w:rsidR="00693538" w:rsidRPr="00693538" w:rsidRDefault="00693538" w:rsidP="00693538">
      <w:pPr>
        <w:spacing w:after="0" w:line="240" w:lineRule="auto"/>
        <w:rPr>
          <w:rFonts w:ascii="Calibri" w:eastAsia="Calibri" w:hAnsi="Calibri" w:cs="Calibri"/>
          <w:sz w:val="24"/>
          <w:szCs w:val="24"/>
          <w:lang w:eastAsia="ja-JP"/>
        </w:rPr>
      </w:pPr>
      <w:r w:rsidRPr="00693538">
        <w:rPr>
          <w:rFonts w:ascii="Calibri" w:eastAsia="Calibri" w:hAnsi="Calibri" w:cs="Calibri"/>
          <w:b/>
          <w:sz w:val="24"/>
          <w:szCs w:val="24"/>
          <w:lang w:eastAsia="ja-JP"/>
        </w:rPr>
        <w:t>Post-Conviction:</w:t>
      </w:r>
      <w:r w:rsidRPr="00693538">
        <w:rPr>
          <w:rFonts w:ascii="Calibri" w:eastAsia="Calibri" w:hAnsi="Calibri" w:cs="Calibri"/>
          <w:sz w:val="24"/>
          <w:szCs w:val="24"/>
          <w:lang w:eastAsia="ja-JP"/>
        </w:rPr>
        <w:t xml:space="preserve"> The criminal justice system does not come to a “stop” when a person is convicted. The offender can challenge the conviction or the sentence in what is known as the “Post-Conviction Process.” While the Department of Justice is responsible for working with victims in this stage of the proceedings, it is important that advocates are aware of what happens after the conviction so that they can prepare victims for the post-conviction process. This session will cover direct appeals, post-conviction claims and federal habeas corpus proceedings. We will discuss crime victims’ rights in the Post-Conviction Process, how victims can be involved and what resources are available from CVSSD.</w:t>
      </w:r>
    </w:p>
    <w:p w:rsidR="00693538" w:rsidRPr="00693538" w:rsidRDefault="00693538" w:rsidP="00693538">
      <w:pPr>
        <w:spacing w:after="0" w:line="240" w:lineRule="auto"/>
        <w:rPr>
          <w:rFonts w:ascii="Calibri" w:eastAsia="Calibri" w:hAnsi="Calibri" w:cs="Calibri"/>
          <w:sz w:val="24"/>
          <w:szCs w:val="24"/>
          <w:lang w:eastAsia="ja-JP"/>
        </w:rPr>
      </w:pPr>
    </w:p>
    <w:p w:rsidR="00693538" w:rsidRPr="00693538" w:rsidRDefault="00693538" w:rsidP="00693538">
      <w:pPr>
        <w:spacing w:after="0" w:line="240" w:lineRule="auto"/>
        <w:rPr>
          <w:rFonts w:ascii="Calibri" w:eastAsia="Calibri" w:hAnsi="Calibri" w:cs="Calibri"/>
          <w:sz w:val="24"/>
          <w:szCs w:val="24"/>
          <w:lang w:eastAsia="ja-JP"/>
        </w:rPr>
      </w:pPr>
      <w:r w:rsidRPr="00693538">
        <w:rPr>
          <w:rFonts w:ascii="Calibri" w:eastAsia="Calibri" w:hAnsi="Calibri" w:cs="Calibri"/>
          <w:b/>
          <w:sz w:val="24"/>
          <w:szCs w:val="24"/>
          <w:lang w:eastAsia="ja-JP"/>
        </w:rPr>
        <w:t>ACP Training:</w:t>
      </w:r>
      <w:r w:rsidRPr="00693538">
        <w:rPr>
          <w:rFonts w:ascii="Calibri" w:eastAsia="Calibri" w:hAnsi="Calibri" w:cs="Calibri"/>
          <w:sz w:val="24"/>
          <w:szCs w:val="24"/>
          <w:lang w:eastAsia="ja-JP"/>
        </w:rPr>
        <w:t xml:space="preserve"> Learn more about Oregon’s Address Confidentiality Program (ACP). The ACP is a free mail forwarding service that helps survivors of domestic violence, sexual assault, and stalking or human trafficking shield their physical address. This training includes an overview of the program including participant eligibility, program materials, and the role of Certified Application Assistants.</w:t>
      </w:r>
    </w:p>
    <w:p w:rsidR="00693538" w:rsidRPr="00693538" w:rsidRDefault="00693538" w:rsidP="00693538">
      <w:pPr>
        <w:spacing w:after="0" w:line="240" w:lineRule="auto"/>
        <w:rPr>
          <w:rFonts w:ascii="Calibri" w:eastAsia="Calibri" w:hAnsi="Calibri" w:cs="Calibri"/>
          <w:sz w:val="24"/>
          <w:szCs w:val="24"/>
          <w:lang w:eastAsia="ja-JP"/>
        </w:rPr>
      </w:pPr>
    </w:p>
    <w:p w:rsidR="00693538" w:rsidRPr="00693538" w:rsidRDefault="00693538" w:rsidP="00693538">
      <w:pPr>
        <w:spacing w:after="0" w:line="240" w:lineRule="auto"/>
        <w:rPr>
          <w:rFonts w:ascii="Calibri" w:eastAsia="Calibri" w:hAnsi="Calibri" w:cs="Calibri"/>
          <w:sz w:val="24"/>
          <w:szCs w:val="24"/>
          <w:lang w:eastAsia="ja-JP"/>
        </w:rPr>
      </w:pPr>
      <w:r w:rsidRPr="00693538">
        <w:rPr>
          <w:rFonts w:ascii="Calibri" w:eastAsia="Calibri" w:hAnsi="Calibri" w:cs="Calibri"/>
          <w:sz w:val="24"/>
          <w:szCs w:val="24"/>
          <w:lang w:eastAsia="ja-JP"/>
        </w:rPr>
        <w:t>Intended participants: Victim advocates working in system and community-based agencies, including child abuse assessment centers, as well as allied professionals working with crime victims.</w:t>
      </w:r>
    </w:p>
    <w:p w:rsidR="00693538" w:rsidRPr="00693538" w:rsidRDefault="00693538" w:rsidP="00693538">
      <w:pPr>
        <w:spacing w:after="0" w:line="240" w:lineRule="auto"/>
        <w:rPr>
          <w:rFonts w:ascii="Calibri" w:eastAsia="Calibri" w:hAnsi="Calibri" w:cs="Calibri"/>
          <w:sz w:val="24"/>
          <w:szCs w:val="24"/>
          <w:lang w:eastAsia="ja-JP"/>
        </w:rPr>
      </w:pPr>
    </w:p>
    <w:p w:rsidR="00E43F4A" w:rsidRDefault="00E43F4A" w:rsidP="00E43F4A">
      <w:pPr>
        <w:spacing w:after="0" w:line="240" w:lineRule="auto"/>
        <w:rPr>
          <w:rFonts w:ascii="Calibri" w:eastAsia="Calibri" w:hAnsi="Calibri" w:cs="Calibri"/>
          <w:sz w:val="24"/>
          <w:szCs w:val="24"/>
          <w:lang w:eastAsia="ja-JP"/>
        </w:rPr>
      </w:pPr>
      <w:r w:rsidRPr="00541E88">
        <w:rPr>
          <w:rFonts w:ascii="Calibri" w:eastAsia="Calibri" w:hAnsi="Calibri" w:cs="Calibri"/>
          <w:sz w:val="24"/>
          <w:szCs w:val="24"/>
          <w:lang w:eastAsia="ja-JP"/>
        </w:rPr>
        <w:t xml:space="preserve">You are welcome to attend </w:t>
      </w:r>
      <w:r w:rsidR="00693538">
        <w:rPr>
          <w:rFonts w:ascii="Calibri" w:eastAsia="Calibri" w:hAnsi="Calibri" w:cs="Calibri"/>
          <w:sz w:val="24"/>
          <w:szCs w:val="24"/>
          <w:lang w:eastAsia="ja-JP"/>
        </w:rPr>
        <w:t>the entire training or only the ACP portion</w:t>
      </w:r>
      <w:r w:rsidRPr="00541E88">
        <w:rPr>
          <w:rFonts w:ascii="Calibri" w:eastAsia="Calibri" w:hAnsi="Calibri" w:cs="Calibri"/>
          <w:sz w:val="24"/>
          <w:szCs w:val="24"/>
          <w:lang w:eastAsia="ja-JP"/>
        </w:rPr>
        <w:t>.</w:t>
      </w:r>
    </w:p>
    <w:p w:rsidR="00693538" w:rsidRPr="00541E88" w:rsidRDefault="00693538" w:rsidP="00E43F4A">
      <w:pPr>
        <w:spacing w:after="0" w:line="240" w:lineRule="auto"/>
        <w:rPr>
          <w:rFonts w:ascii="Calibri" w:eastAsia="Calibri" w:hAnsi="Calibri" w:cs="Calibri"/>
          <w:sz w:val="28"/>
          <w:szCs w:val="28"/>
          <w:lang w:eastAsia="ja-JP"/>
        </w:rPr>
      </w:pPr>
    </w:p>
    <w:p w:rsidR="00E43F4A" w:rsidRPr="00541E88" w:rsidRDefault="00E43F4A" w:rsidP="00E43F4A">
      <w:pPr>
        <w:spacing w:after="0" w:line="240" w:lineRule="auto"/>
        <w:jc w:val="center"/>
        <w:rPr>
          <w:rFonts w:ascii="Calibri" w:eastAsia="Calibri" w:hAnsi="Calibri" w:cs="Calibri"/>
          <w:b/>
          <w:bCs/>
          <w:sz w:val="24"/>
          <w:szCs w:val="24"/>
          <w:lang w:eastAsia="ja-JP"/>
        </w:rPr>
      </w:pPr>
      <w:r w:rsidRPr="00541E88">
        <w:rPr>
          <w:rFonts w:ascii="Calibri" w:eastAsia="Calibri" w:hAnsi="Calibri" w:cs="Calibri"/>
          <w:b/>
          <w:bCs/>
          <w:sz w:val="24"/>
          <w:szCs w:val="24"/>
          <w:lang w:eastAsia="ja-JP"/>
        </w:rPr>
        <w:t>Date:</w:t>
      </w:r>
    </w:p>
    <w:p w:rsidR="00E43F4A" w:rsidRPr="00541E88" w:rsidRDefault="00693538" w:rsidP="00E43F4A">
      <w:pPr>
        <w:spacing w:after="0" w:line="240" w:lineRule="auto"/>
        <w:jc w:val="center"/>
        <w:rPr>
          <w:rFonts w:ascii="Calibri" w:eastAsia="Calibri" w:hAnsi="Calibri" w:cs="Calibri"/>
          <w:b/>
          <w:bCs/>
          <w:sz w:val="24"/>
          <w:szCs w:val="24"/>
          <w:lang w:eastAsia="ja-JP"/>
        </w:rPr>
      </w:pPr>
      <w:r>
        <w:rPr>
          <w:rFonts w:ascii="Calibri" w:eastAsia="Calibri" w:hAnsi="Calibri" w:cs="Calibri"/>
          <w:b/>
          <w:bCs/>
          <w:sz w:val="24"/>
          <w:szCs w:val="24"/>
          <w:lang w:eastAsia="ja-JP"/>
        </w:rPr>
        <w:t>Monday, February 25, 2019</w:t>
      </w:r>
    </w:p>
    <w:p w:rsidR="00E43F4A" w:rsidRPr="003A0D1F" w:rsidRDefault="00E43F4A" w:rsidP="00E43F4A">
      <w:pPr>
        <w:spacing w:after="0" w:line="240" w:lineRule="auto"/>
        <w:jc w:val="center"/>
        <w:rPr>
          <w:rFonts w:ascii="Calibri" w:eastAsia="Calibri" w:hAnsi="Calibri" w:cs="Calibri"/>
          <w:sz w:val="20"/>
          <w:szCs w:val="20"/>
          <w:lang w:eastAsia="ja-JP"/>
        </w:rPr>
      </w:pPr>
    </w:p>
    <w:p w:rsidR="00E43F4A" w:rsidRPr="00541E88" w:rsidRDefault="00E43F4A" w:rsidP="00693538">
      <w:pPr>
        <w:spacing w:after="0" w:line="240" w:lineRule="auto"/>
        <w:jc w:val="center"/>
        <w:rPr>
          <w:rFonts w:ascii="Calibri" w:eastAsia="Calibri" w:hAnsi="Calibri" w:cs="Calibri"/>
          <w:b/>
          <w:bCs/>
          <w:sz w:val="24"/>
          <w:szCs w:val="24"/>
          <w:lang w:eastAsia="ja-JP"/>
        </w:rPr>
      </w:pPr>
      <w:r w:rsidRPr="00541E88">
        <w:rPr>
          <w:rFonts w:ascii="Calibri" w:eastAsia="Calibri" w:hAnsi="Calibri" w:cs="Calibri"/>
          <w:b/>
          <w:bCs/>
          <w:sz w:val="24"/>
          <w:szCs w:val="24"/>
          <w:lang w:eastAsia="ja-JP"/>
        </w:rPr>
        <w:t>Time:</w:t>
      </w:r>
      <w:r w:rsidR="00693538">
        <w:rPr>
          <w:rFonts w:ascii="Calibri" w:eastAsia="Calibri" w:hAnsi="Calibri" w:cs="Calibri"/>
          <w:b/>
          <w:bCs/>
          <w:sz w:val="24"/>
          <w:szCs w:val="24"/>
          <w:lang w:eastAsia="ja-JP"/>
        </w:rPr>
        <w:t xml:space="preserve"> 8:30 am to 4:00 pm</w:t>
      </w:r>
    </w:p>
    <w:p w:rsidR="00E43F4A" w:rsidRPr="003A0D1F" w:rsidRDefault="00E43F4A" w:rsidP="00E43F4A">
      <w:pPr>
        <w:spacing w:after="0" w:line="240" w:lineRule="auto"/>
        <w:jc w:val="center"/>
        <w:rPr>
          <w:rFonts w:ascii="Calibri" w:eastAsia="Calibri" w:hAnsi="Calibri" w:cs="Calibri"/>
          <w:b/>
          <w:bCs/>
          <w:sz w:val="20"/>
          <w:szCs w:val="20"/>
          <w:lang w:eastAsia="ja-JP"/>
        </w:rPr>
      </w:pPr>
    </w:p>
    <w:p w:rsidR="00E43F4A" w:rsidRPr="00541E88" w:rsidRDefault="00E43F4A" w:rsidP="00E43F4A">
      <w:pPr>
        <w:spacing w:after="0" w:line="240" w:lineRule="auto"/>
        <w:jc w:val="center"/>
        <w:rPr>
          <w:rFonts w:ascii="Calibri" w:eastAsia="Calibri" w:hAnsi="Calibri" w:cs="Calibri"/>
          <w:b/>
          <w:bCs/>
          <w:sz w:val="24"/>
          <w:szCs w:val="24"/>
          <w:lang w:eastAsia="ja-JP"/>
        </w:rPr>
      </w:pPr>
      <w:r w:rsidRPr="00541E88">
        <w:rPr>
          <w:rFonts w:ascii="Calibri" w:eastAsia="Calibri" w:hAnsi="Calibri" w:cs="Calibri"/>
          <w:b/>
          <w:bCs/>
          <w:sz w:val="24"/>
          <w:szCs w:val="24"/>
          <w:lang w:eastAsia="ja-JP"/>
        </w:rPr>
        <w:t>Location:</w:t>
      </w:r>
    </w:p>
    <w:p w:rsidR="00E43F4A" w:rsidRDefault="00E43F4A" w:rsidP="00E43F4A">
      <w:pPr>
        <w:spacing w:after="0" w:line="240" w:lineRule="auto"/>
        <w:jc w:val="center"/>
        <w:rPr>
          <w:rFonts w:ascii="Calibri" w:eastAsia="Calibri" w:hAnsi="Calibri" w:cs="Calibri"/>
          <w:b/>
          <w:bCs/>
          <w:sz w:val="24"/>
          <w:szCs w:val="24"/>
          <w:lang w:eastAsia="ja-JP"/>
        </w:rPr>
      </w:pPr>
      <w:r>
        <w:rPr>
          <w:rFonts w:ascii="Calibri" w:eastAsia="Calibri" w:hAnsi="Calibri" w:cs="Calibri"/>
          <w:b/>
          <w:bCs/>
          <w:sz w:val="24"/>
          <w:szCs w:val="24"/>
          <w:lang w:eastAsia="ja-JP"/>
        </w:rPr>
        <w:t xml:space="preserve">DHS Child Welfare Training </w:t>
      </w:r>
    </w:p>
    <w:p w:rsidR="00E43F4A" w:rsidRPr="00541E88" w:rsidRDefault="00E43F4A" w:rsidP="00E43F4A">
      <w:pPr>
        <w:spacing w:after="0" w:line="240" w:lineRule="auto"/>
        <w:jc w:val="center"/>
        <w:rPr>
          <w:rFonts w:ascii="Calibri" w:eastAsia="Calibri" w:hAnsi="Calibri" w:cs="Calibri"/>
          <w:b/>
          <w:bCs/>
          <w:sz w:val="24"/>
          <w:szCs w:val="24"/>
          <w:lang w:eastAsia="ja-JP"/>
        </w:rPr>
      </w:pPr>
      <w:r>
        <w:rPr>
          <w:rFonts w:ascii="Calibri" w:eastAsia="Calibri" w:hAnsi="Calibri" w:cs="Calibri"/>
          <w:b/>
          <w:bCs/>
          <w:sz w:val="24"/>
          <w:szCs w:val="24"/>
          <w:lang w:eastAsia="ja-JP"/>
        </w:rPr>
        <w:t>Services Unit</w:t>
      </w:r>
    </w:p>
    <w:p w:rsidR="00E43F4A" w:rsidRPr="00541E88" w:rsidRDefault="00E43F4A" w:rsidP="00E43F4A">
      <w:pPr>
        <w:spacing w:after="0" w:line="240" w:lineRule="auto"/>
        <w:jc w:val="center"/>
        <w:rPr>
          <w:rFonts w:ascii="Calibri" w:eastAsia="Calibri" w:hAnsi="Calibri" w:cs="Calibri"/>
          <w:b/>
          <w:bCs/>
          <w:sz w:val="24"/>
          <w:szCs w:val="24"/>
          <w:lang w:eastAsia="ja-JP"/>
        </w:rPr>
      </w:pPr>
      <w:r>
        <w:rPr>
          <w:rFonts w:ascii="Calibri" w:eastAsia="Calibri" w:hAnsi="Calibri" w:cs="Calibri"/>
          <w:b/>
          <w:bCs/>
          <w:sz w:val="24"/>
          <w:szCs w:val="24"/>
          <w:lang w:eastAsia="ja-JP"/>
        </w:rPr>
        <w:t>3414 Cherry Ave, Suite 150</w:t>
      </w:r>
    </w:p>
    <w:p w:rsidR="00E43F4A" w:rsidRPr="00541E88" w:rsidRDefault="003A0D1F" w:rsidP="00E43F4A">
      <w:pPr>
        <w:spacing w:after="0" w:line="240" w:lineRule="auto"/>
        <w:jc w:val="center"/>
        <w:rPr>
          <w:rFonts w:ascii="Calibri" w:eastAsia="Calibri" w:hAnsi="Calibri" w:cs="Calibri"/>
          <w:b/>
          <w:bCs/>
          <w:sz w:val="24"/>
          <w:szCs w:val="24"/>
          <w:lang w:eastAsia="ja-JP"/>
        </w:rPr>
      </w:pPr>
      <w:r>
        <w:rPr>
          <w:rFonts w:ascii="Calibri" w:eastAsia="Calibri" w:hAnsi="Calibri" w:cs="Calibri"/>
          <w:b/>
          <w:bCs/>
          <w:sz w:val="24"/>
          <w:szCs w:val="24"/>
          <w:lang w:eastAsia="ja-JP"/>
        </w:rPr>
        <w:t>Keizer</w:t>
      </w:r>
      <w:r w:rsidR="00E43F4A">
        <w:rPr>
          <w:rFonts w:ascii="Calibri" w:eastAsia="Calibri" w:hAnsi="Calibri" w:cs="Calibri"/>
          <w:b/>
          <w:bCs/>
          <w:sz w:val="24"/>
          <w:szCs w:val="24"/>
          <w:lang w:eastAsia="ja-JP"/>
        </w:rPr>
        <w:t>, OR 97303</w:t>
      </w:r>
    </w:p>
    <w:p w:rsidR="00E43F4A" w:rsidRPr="003A0D1F" w:rsidRDefault="00E43F4A" w:rsidP="00E43F4A">
      <w:pPr>
        <w:spacing w:after="0" w:line="240" w:lineRule="auto"/>
        <w:jc w:val="center"/>
        <w:rPr>
          <w:rFonts w:ascii="Calibri" w:eastAsia="Calibri" w:hAnsi="Calibri" w:cs="Calibri"/>
          <w:sz w:val="20"/>
          <w:szCs w:val="20"/>
          <w:lang w:eastAsia="ja-JP"/>
        </w:rPr>
      </w:pPr>
    </w:p>
    <w:p w:rsidR="00E43F4A" w:rsidRPr="00541E88" w:rsidRDefault="00E43F4A" w:rsidP="00E43F4A">
      <w:pPr>
        <w:spacing w:after="0" w:line="240" w:lineRule="auto"/>
        <w:jc w:val="center"/>
        <w:rPr>
          <w:rFonts w:ascii="Calibri" w:eastAsia="Calibri" w:hAnsi="Calibri" w:cs="Calibri"/>
          <w:sz w:val="24"/>
          <w:szCs w:val="24"/>
          <w:lang w:eastAsia="ja-JP"/>
        </w:rPr>
      </w:pPr>
      <w:r w:rsidRPr="00541E88">
        <w:rPr>
          <w:rFonts w:ascii="Calibri" w:eastAsia="Calibri" w:hAnsi="Calibri" w:cs="Calibri"/>
          <w:sz w:val="24"/>
          <w:szCs w:val="24"/>
          <w:lang w:eastAsia="ja-JP"/>
        </w:rPr>
        <w:t>How to register:</w:t>
      </w:r>
    </w:p>
    <w:p w:rsidR="00E43F4A" w:rsidRPr="00693538" w:rsidRDefault="00693538" w:rsidP="003A0D1F">
      <w:pPr>
        <w:jc w:val="center"/>
        <w:rPr>
          <w:rFonts w:cstheme="minorHAnsi"/>
        </w:rPr>
      </w:pPr>
      <w:r>
        <w:rPr>
          <w:rFonts w:eastAsia="Calibri" w:cstheme="minorHAnsi"/>
          <w:sz w:val="24"/>
          <w:szCs w:val="24"/>
          <w:lang w:eastAsia="ja-JP"/>
        </w:rPr>
        <w:t>Eventbrite at</w:t>
      </w:r>
      <w:r>
        <w:rPr>
          <w:rFonts w:ascii="Helvetica" w:eastAsia="Times New Roman" w:hAnsi="Helvetica"/>
          <w:color w:val="666666"/>
          <w:sz w:val="26"/>
          <w:szCs w:val="26"/>
        </w:rPr>
        <w:t xml:space="preserve"> </w:t>
      </w:r>
      <w:r>
        <w:rPr>
          <w:rFonts w:ascii="Helvetica" w:eastAsia="Times New Roman" w:hAnsi="Helvetica"/>
          <w:color w:val="666666"/>
          <w:sz w:val="26"/>
          <w:szCs w:val="26"/>
        </w:rPr>
        <w:br/>
      </w:r>
      <w:hyperlink r:id="rId9" w:history="1">
        <w:r w:rsidRPr="00693538">
          <w:rPr>
            <w:rStyle w:val="Hyperlink"/>
            <w:rFonts w:eastAsia="Times New Roman" w:cstheme="minorHAnsi"/>
            <w:color w:val="3D64FF"/>
          </w:rPr>
          <w:t>https://www.eventbrite.com/e/oregon-crime-victim-compensation-address-confidentiality-program-training-tickets-52122197897</w:t>
        </w:r>
      </w:hyperlink>
    </w:p>
    <w:p w:rsidR="00E43F4A" w:rsidRPr="003A0D1F" w:rsidRDefault="00E43F4A" w:rsidP="00E43F4A">
      <w:pPr>
        <w:spacing w:after="0" w:line="240" w:lineRule="auto"/>
        <w:jc w:val="center"/>
        <w:rPr>
          <w:rFonts w:cstheme="minorHAnsi"/>
          <w:sz w:val="24"/>
          <w:szCs w:val="24"/>
        </w:rPr>
      </w:pPr>
      <w:r w:rsidRPr="003A0D1F">
        <w:rPr>
          <w:rFonts w:eastAsia="Calibri" w:cstheme="minorHAnsi"/>
          <w:sz w:val="24"/>
          <w:szCs w:val="24"/>
          <w:lang w:eastAsia="ja-JP"/>
        </w:rPr>
        <w:t>**The training is free. No mileage or meal reimbursement can be provided.</w:t>
      </w:r>
    </w:p>
    <w:sectPr w:rsidR="00E43F4A" w:rsidRPr="003A0D1F" w:rsidSect="00E43F4A">
      <w:pgSz w:w="12240" w:h="15840"/>
      <w:pgMar w:top="360" w:right="1170" w:bottom="45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040E8"/>
    <w:multiLevelType w:val="hybridMultilevel"/>
    <w:tmpl w:val="806063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02E"/>
    <w:rsid w:val="000804ED"/>
    <w:rsid w:val="002107E3"/>
    <w:rsid w:val="00214C92"/>
    <w:rsid w:val="0022302E"/>
    <w:rsid w:val="003A0D1F"/>
    <w:rsid w:val="005A3A02"/>
    <w:rsid w:val="00693538"/>
    <w:rsid w:val="00804014"/>
    <w:rsid w:val="00884BB0"/>
    <w:rsid w:val="0099432F"/>
    <w:rsid w:val="00BC2341"/>
    <w:rsid w:val="00D479E9"/>
    <w:rsid w:val="00D520CC"/>
    <w:rsid w:val="00DD0750"/>
    <w:rsid w:val="00E276AC"/>
    <w:rsid w:val="00E43F4A"/>
    <w:rsid w:val="00E54F88"/>
    <w:rsid w:val="00EE5D76"/>
    <w:rsid w:val="00F74634"/>
    <w:rsid w:val="00F74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30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02E"/>
    <w:rPr>
      <w:rFonts w:ascii="Tahoma" w:hAnsi="Tahoma" w:cs="Tahoma"/>
      <w:sz w:val="16"/>
      <w:szCs w:val="16"/>
    </w:rPr>
  </w:style>
  <w:style w:type="character" w:styleId="Hyperlink">
    <w:name w:val="Hyperlink"/>
    <w:basedOn w:val="DefaultParagraphFont"/>
    <w:uiPriority w:val="99"/>
    <w:unhideWhenUsed/>
    <w:rsid w:val="0022302E"/>
    <w:rPr>
      <w:color w:val="FFDE66" w:themeColor="hyperlink"/>
      <w:u w:val="single"/>
    </w:rPr>
  </w:style>
  <w:style w:type="paragraph" w:styleId="Title">
    <w:name w:val="Title"/>
    <w:basedOn w:val="Normal"/>
    <w:next w:val="Normal"/>
    <w:link w:val="TitleChar"/>
    <w:uiPriority w:val="10"/>
    <w:qFormat/>
    <w:rsid w:val="00D479E9"/>
    <w:pPr>
      <w:pBdr>
        <w:bottom w:val="single" w:sz="8" w:space="4" w:color="B83D68" w:themeColor="accent1"/>
      </w:pBdr>
      <w:spacing w:after="300" w:line="240" w:lineRule="auto"/>
      <w:contextualSpacing/>
    </w:pPr>
    <w:rPr>
      <w:rFonts w:asciiTheme="majorHAnsi" w:eastAsiaTheme="majorEastAsia" w:hAnsiTheme="majorHAnsi" w:cstheme="majorBidi"/>
      <w:color w:val="A961B8" w:themeColor="text2" w:themeShade="BF"/>
      <w:spacing w:val="5"/>
      <w:kern w:val="28"/>
      <w:sz w:val="52"/>
      <w:szCs w:val="52"/>
    </w:rPr>
  </w:style>
  <w:style w:type="character" w:customStyle="1" w:styleId="TitleChar">
    <w:name w:val="Title Char"/>
    <w:basedOn w:val="DefaultParagraphFont"/>
    <w:link w:val="Title"/>
    <w:uiPriority w:val="10"/>
    <w:rsid w:val="00D479E9"/>
    <w:rPr>
      <w:rFonts w:asciiTheme="majorHAnsi" w:eastAsiaTheme="majorEastAsia" w:hAnsiTheme="majorHAnsi" w:cstheme="majorBidi"/>
      <w:color w:val="A961B8" w:themeColor="text2" w:themeShade="BF"/>
      <w:spacing w:val="5"/>
      <w:kern w:val="28"/>
      <w:sz w:val="52"/>
      <w:szCs w:val="52"/>
    </w:rPr>
  </w:style>
  <w:style w:type="paragraph" w:styleId="ListParagraph">
    <w:name w:val="List Paragraph"/>
    <w:basedOn w:val="Normal"/>
    <w:uiPriority w:val="34"/>
    <w:qFormat/>
    <w:rsid w:val="00804014"/>
    <w:pPr>
      <w:ind w:left="720"/>
      <w:contextualSpacing/>
    </w:pPr>
  </w:style>
  <w:style w:type="character" w:styleId="FollowedHyperlink">
    <w:name w:val="FollowedHyperlink"/>
    <w:basedOn w:val="DefaultParagraphFont"/>
    <w:uiPriority w:val="99"/>
    <w:semiHidden/>
    <w:unhideWhenUsed/>
    <w:rsid w:val="00F74740"/>
    <w:rPr>
      <w:color w:val="D490C5"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30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02E"/>
    <w:rPr>
      <w:rFonts w:ascii="Tahoma" w:hAnsi="Tahoma" w:cs="Tahoma"/>
      <w:sz w:val="16"/>
      <w:szCs w:val="16"/>
    </w:rPr>
  </w:style>
  <w:style w:type="character" w:styleId="Hyperlink">
    <w:name w:val="Hyperlink"/>
    <w:basedOn w:val="DefaultParagraphFont"/>
    <w:uiPriority w:val="99"/>
    <w:unhideWhenUsed/>
    <w:rsid w:val="0022302E"/>
    <w:rPr>
      <w:color w:val="FFDE66" w:themeColor="hyperlink"/>
      <w:u w:val="single"/>
    </w:rPr>
  </w:style>
  <w:style w:type="paragraph" w:styleId="Title">
    <w:name w:val="Title"/>
    <w:basedOn w:val="Normal"/>
    <w:next w:val="Normal"/>
    <w:link w:val="TitleChar"/>
    <w:uiPriority w:val="10"/>
    <w:qFormat/>
    <w:rsid w:val="00D479E9"/>
    <w:pPr>
      <w:pBdr>
        <w:bottom w:val="single" w:sz="8" w:space="4" w:color="B83D68" w:themeColor="accent1"/>
      </w:pBdr>
      <w:spacing w:after="300" w:line="240" w:lineRule="auto"/>
      <w:contextualSpacing/>
    </w:pPr>
    <w:rPr>
      <w:rFonts w:asciiTheme="majorHAnsi" w:eastAsiaTheme="majorEastAsia" w:hAnsiTheme="majorHAnsi" w:cstheme="majorBidi"/>
      <w:color w:val="A961B8" w:themeColor="text2" w:themeShade="BF"/>
      <w:spacing w:val="5"/>
      <w:kern w:val="28"/>
      <w:sz w:val="52"/>
      <w:szCs w:val="52"/>
    </w:rPr>
  </w:style>
  <w:style w:type="character" w:customStyle="1" w:styleId="TitleChar">
    <w:name w:val="Title Char"/>
    <w:basedOn w:val="DefaultParagraphFont"/>
    <w:link w:val="Title"/>
    <w:uiPriority w:val="10"/>
    <w:rsid w:val="00D479E9"/>
    <w:rPr>
      <w:rFonts w:asciiTheme="majorHAnsi" w:eastAsiaTheme="majorEastAsia" w:hAnsiTheme="majorHAnsi" w:cstheme="majorBidi"/>
      <w:color w:val="A961B8" w:themeColor="text2" w:themeShade="BF"/>
      <w:spacing w:val="5"/>
      <w:kern w:val="28"/>
      <w:sz w:val="52"/>
      <w:szCs w:val="52"/>
    </w:rPr>
  </w:style>
  <w:style w:type="paragraph" w:styleId="ListParagraph">
    <w:name w:val="List Paragraph"/>
    <w:basedOn w:val="Normal"/>
    <w:uiPriority w:val="34"/>
    <w:qFormat/>
    <w:rsid w:val="00804014"/>
    <w:pPr>
      <w:ind w:left="720"/>
      <w:contextualSpacing/>
    </w:pPr>
  </w:style>
  <w:style w:type="character" w:styleId="FollowedHyperlink">
    <w:name w:val="FollowedHyperlink"/>
    <w:basedOn w:val="DefaultParagraphFont"/>
    <w:uiPriority w:val="99"/>
    <w:semiHidden/>
    <w:unhideWhenUsed/>
    <w:rsid w:val="00F74740"/>
    <w:rPr>
      <w:color w:val="D490C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573826">
      <w:bodyDiv w:val="1"/>
      <w:marLeft w:val="0"/>
      <w:marRight w:val="0"/>
      <w:marTop w:val="0"/>
      <w:marBottom w:val="0"/>
      <w:divBdr>
        <w:top w:val="none" w:sz="0" w:space="0" w:color="auto"/>
        <w:left w:val="none" w:sz="0" w:space="0" w:color="auto"/>
        <w:bottom w:val="none" w:sz="0" w:space="0" w:color="auto"/>
        <w:right w:val="none" w:sz="0" w:space="0" w:color="auto"/>
      </w:divBdr>
    </w:div>
    <w:div w:id="192888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7.jpg@01D3E872.61C25D80"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eventbrite.com/e/oregon-crime-victim-compensation-address-confidentiality-program-training-tickets-52122197897?aff=utm_source%3Deb_email%26utm_medium%3Demail%26utm_campaign%3Dnew_event_email&amp;utm_term=eventurl_text"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CDA3D6"/>
      </a:dk2>
      <a:lt2>
        <a:srgbClr val="F4E7ED"/>
      </a:lt2>
      <a:accent1>
        <a:srgbClr val="B83D68"/>
      </a:accent1>
      <a:accent2>
        <a:srgbClr val="AC66BB"/>
      </a:accent2>
      <a:accent3>
        <a:srgbClr val="DE6C36"/>
      </a:accent3>
      <a:accent4>
        <a:srgbClr val="FFFFFF"/>
      </a:accent4>
      <a:accent5>
        <a:srgbClr val="CF6DA4"/>
      </a:accent5>
      <a:accent6>
        <a:srgbClr val="FA8D3D"/>
      </a:accent6>
      <a:hlink>
        <a:srgbClr val="FFDE66"/>
      </a:hlink>
      <a:folHlink>
        <a:srgbClr val="D490C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EA4DF-A597-43B3-9269-37865134E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Dept of Justice</Company>
  <LinksUpToDate>false</LinksUpToDate>
  <CharactersWithSpaces>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Lucero Cecilia V</dc:creator>
  <cp:keywords/>
  <dc:description/>
  <cp:lastModifiedBy>Rodriguez Sherree M</cp:lastModifiedBy>
  <cp:revision>3</cp:revision>
  <cp:lastPrinted>2017-11-30T18:12:00Z</cp:lastPrinted>
  <dcterms:created xsi:type="dcterms:W3CDTF">2018-11-09T00:54:00Z</dcterms:created>
  <dcterms:modified xsi:type="dcterms:W3CDTF">2018-11-09T18:00:00Z</dcterms:modified>
</cp:coreProperties>
</file>