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096" w:rsidRPr="00590096" w:rsidRDefault="00216DF3" w:rsidP="00574E6D">
      <w:pPr>
        <w:spacing w:after="0" w:line="240" w:lineRule="auto"/>
        <w:jc w:val="center"/>
        <w:rPr>
          <w:b/>
        </w:rPr>
      </w:pPr>
      <w:r>
        <w:rPr>
          <w:b/>
        </w:rPr>
        <w:t xml:space="preserve">OGIC </w:t>
      </w:r>
      <w:r w:rsidR="00D32DBE">
        <w:rPr>
          <w:b/>
        </w:rPr>
        <w:t>Report</w:t>
      </w:r>
      <w:r>
        <w:rPr>
          <w:b/>
        </w:rPr>
        <w:t xml:space="preserve"> to JLCIMT</w:t>
      </w:r>
    </w:p>
    <w:p w:rsidR="00590096" w:rsidRPr="00590096" w:rsidRDefault="00590096" w:rsidP="00492B4F">
      <w:pPr>
        <w:pStyle w:val="Heading1"/>
        <w:spacing w:before="80"/>
      </w:pPr>
      <w:r w:rsidRPr="00590096">
        <w:t>Purpose</w:t>
      </w:r>
    </w:p>
    <w:p w:rsidR="001F7E31" w:rsidRDefault="0019347A" w:rsidP="008937AE">
      <w:pPr>
        <w:spacing w:after="120"/>
      </w:pPr>
      <w:r>
        <w:t xml:space="preserve">This </w:t>
      </w:r>
      <w:r w:rsidR="00C3435A">
        <w:t xml:space="preserve">reports </w:t>
      </w:r>
      <w:r w:rsidR="006A2BD4">
        <w:t>respon</w:t>
      </w:r>
      <w:r w:rsidR="00C3435A">
        <w:t>ds</w:t>
      </w:r>
      <w:r w:rsidR="006A2BD4">
        <w:t xml:space="preserve"> to the Legislative direction in ORS 276A.500-515 that tasks the Oregon Geographic Information Council to </w:t>
      </w:r>
      <w:r w:rsidR="00B87C27">
        <w:t xml:space="preserve">report and </w:t>
      </w:r>
      <w:r w:rsidR="006A2BD4">
        <w:t xml:space="preserve">make recommendations </w:t>
      </w:r>
      <w:r w:rsidR="00B87C27">
        <w:t xml:space="preserve">regarding the geospatial needs of the state </w:t>
      </w:r>
      <w:r w:rsidR="006A2BD4">
        <w:t xml:space="preserve">to the </w:t>
      </w:r>
      <w:r w:rsidR="00057CB7">
        <w:t>Legislature</w:t>
      </w:r>
      <w:r w:rsidR="006A2BD4">
        <w:t xml:space="preserve"> by March 30 of every odd-numbered year.  Th</w:t>
      </w:r>
      <w:r w:rsidR="00B87C27">
        <w:t>is</w:t>
      </w:r>
      <w:r w:rsidR="006A2BD4">
        <w:t xml:space="preserve"> report</w:t>
      </w:r>
      <w:r w:rsidR="00C3435A">
        <w:t xml:space="preserve"> provides</w:t>
      </w:r>
      <w:r w:rsidR="001F7E31">
        <w:t>:</w:t>
      </w:r>
      <w:r>
        <w:t xml:space="preserve"> </w:t>
      </w:r>
    </w:p>
    <w:p w:rsidR="001F7E31" w:rsidRDefault="00C3435A" w:rsidP="001F7E31">
      <w:pPr>
        <w:pStyle w:val="ListParagraph"/>
        <w:numPr>
          <w:ilvl w:val="0"/>
          <w:numId w:val="27"/>
        </w:numPr>
      </w:pPr>
      <w:r>
        <w:t>preliminary recommendations to enhance geospatial Framework data management and sharing among public bodies;</w:t>
      </w:r>
    </w:p>
    <w:p w:rsidR="001F7E31" w:rsidRDefault="00C3435A" w:rsidP="001F7E31">
      <w:pPr>
        <w:pStyle w:val="ListParagraph"/>
        <w:numPr>
          <w:ilvl w:val="0"/>
          <w:numId w:val="27"/>
        </w:numPr>
      </w:pPr>
      <w:r>
        <w:t>preliminary recommendations for eliminating geospatial Framework data fees between public bodies</w:t>
      </w:r>
      <w:r w:rsidRPr="0018055D">
        <w:t xml:space="preserve"> </w:t>
      </w:r>
      <w:r>
        <w:t xml:space="preserve">by funding statewide Framework data; </w:t>
      </w:r>
      <w:r w:rsidR="001F7E31">
        <w:t>and,</w:t>
      </w:r>
    </w:p>
    <w:p w:rsidR="001F25AE" w:rsidRDefault="001F7E31" w:rsidP="00492B4F">
      <w:pPr>
        <w:pStyle w:val="ListParagraph"/>
        <w:numPr>
          <w:ilvl w:val="0"/>
          <w:numId w:val="27"/>
        </w:numPr>
        <w:spacing w:after="80"/>
      </w:pPr>
      <w:r>
        <w:t>summary information regarding the plan and budget for collecting, using, managing, sharing and maintaining geospatial Framework data and maintaining a geospatial data library within the office of the State Chief Information Office</w:t>
      </w:r>
      <w:r w:rsidR="00B87C27">
        <w:t>r</w:t>
      </w:r>
      <w:r w:rsidR="001D454F">
        <w:t xml:space="preserve"> for the benefit of all Oregonians</w:t>
      </w:r>
      <w:r>
        <w:t xml:space="preserve">. </w:t>
      </w:r>
    </w:p>
    <w:p w:rsidR="00B054B5" w:rsidRDefault="00B054B5" w:rsidP="00492B4F">
      <w:pPr>
        <w:pStyle w:val="Heading1"/>
        <w:spacing w:before="80"/>
      </w:pPr>
      <w:r>
        <w:t>Need for Action</w:t>
      </w:r>
    </w:p>
    <w:p w:rsidR="00A750F9" w:rsidRDefault="009A2E82" w:rsidP="008937AE">
      <w:pPr>
        <w:spacing w:after="120"/>
      </w:pPr>
      <w:r w:rsidRPr="009A2E82">
        <w:t xml:space="preserve">The development and maintenance of </w:t>
      </w:r>
      <w:r w:rsidR="001F7E31">
        <w:t xml:space="preserve">standardized </w:t>
      </w:r>
      <w:r w:rsidRPr="009A2E82">
        <w:t>geospatial Framework data statewide will enable the provision of consistent government services to all citizens</w:t>
      </w:r>
      <w:r w:rsidR="006C7B20">
        <w:t xml:space="preserve">. </w:t>
      </w:r>
      <w:r w:rsidR="00C3435A">
        <w:t xml:space="preserve">This will be accomplished by significantly improving the geospatial data and information available to agencies and decision makers for meeting citizen service needs. </w:t>
      </w:r>
      <w:r w:rsidR="006C7B20">
        <w:t>H</w:t>
      </w:r>
      <w:r>
        <w:t>owever, t</w:t>
      </w:r>
      <w:r w:rsidR="0019347A">
        <w:t xml:space="preserve">here is a </w:t>
      </w:r>
      <w:r w:rsidR="00303AAE">
        <w:t>significant shortfall</w:t>
      </w:r>
      <w:r w:rsidR="0019347A">
        <w:t xml:space="preserve"> between the funding that a comprehensive, statewide Framework data program </w:t>
      </w:r>
      <w:r w:rsidR="0019347A" w:rsidRPr="001E33C9">
        <w:t>needs</w:t>
      </w:r>
      <w:r w:rsidR="0019347A">
        <w:t xml:space="preserve"> </w:t>
      </w:r>
      <w:r w:rsidR="00E6215F">
        <w:t xml:space="preserve">for successful, effective operation </w:t>
      </w:r>
      <w:r w:rsidR="0019347A">
        <w:t xml:space="preserve">and what public bodies are </w:t>
      </w:r>
      <w:r w:rsidR="00E6215F">
        <w:t xml:space="preserve">collectively </w:t>
      </w:r>
      <w:r w:rsidR="0019347A">
        <w:t>able to provide</w:t>
      </w:r>
      <w:r w:rsidR="00E6215F">
        <w:t xml:space="preserve"> now</w:t>
      </w:r>
      <w:r w:rsidR="0019347A">
        <w:t xml:space="preserve">. </w:t>
      </w:r>
      <w:r w:rsidR="00C3435A">
        <w:t xml:space="preserve">Moreover, </w:t>
      </w:r>
      <w:r w:rsidR="001F7E31">
        <w:t>Council</w:t>
      </w:r>
      <w:r w:rsidR="00B054B5">
        <w:t xml:space="preserve"> research reveals obstacles in Oregon public bodies’ collective ability to create and maintain complete, statewide Framework data.  These obstacles take several forms:</w:t>
      </w:r>
    </w:p>
    <w:p w:rsidR="00A750F9" w:rsidRPr="004C143F" w:rsidRDefault="00B054B5" w:rsidP="004C143F">
      <w:pPr>
        <w:pStyle w:val="ListParagraph"/>
        <w:numPr>
          <w:ilvl w:val="0"/>
          <w:numId w:val="17"/>
        </w:numPr>
        <w:rPr>
          <w:strike/>
        </w:rPr>
      </w:pPr>
      <w:r>
        <w:t>missing data or “gaps”--</w:t>
      </w:r>
      <w:r w:rsidR="00303AAE" w:rsidRPr="00303AAE">
        <w:t xml:space="preserve"> </w:t>
      </w:r>
      <w:r w:rsidR="00303AAE">
        <w:t>Oregon lacks the comprehensive,</w:t>
      </w:r>
      <w:r w:rsidR="008937AE">
        <w:t xml:space="preserve"> complete</w:t>
      </w:r>
      <w:r w:rsidR="00303AAE">
        <w:t xml:space="preserve"> </w:t>
      </w:r>
      <w:r w:rsidR="001F7E31">
        <w:t xml:space="preserve">geospatial </w:t>
      </w:r>
      <w:r w:rsidR="00303AAE">
        <w:t>Framework required to meet the state’s obligations for services provisioning</w:t>
      </w:r>
      <w:r w:rsidR="00A750F9">
        <w:t>;</w:t>
      </w:r>
    </w:p>
    <w:p w:rsidR="00A750F9" w:rsidRPr="004C143F" w:rsidRDefault="00A750F9" w:rsidP="004C143F">
      <w:pPr>
        <w:pStyle w:val="ListParagraph"/>
        <w:numPr>
          <w:ilvl w:val="0"/>
          <w:numId w:val="17"/>
        </w:numPr>
        <w:rPr>
          <w:strike/>
        </w:rPr>
      </w:pPr>
      <w:r>
        <w:t>insufficient organizational capacity—</w:t>
      </w:r>
      <w:r w:rsidR="00711066">
        <w:t xml:space="preserve">many </w:t>
      </w:r>
      <w:r>
        <w:t>public bodies lack capacity (data infrastructure, staff, technology) to maintain and share Framework data;</w:t>
      </w:r>
    </w:p>
    <w:p w:rsidR="00B054B5" w:rsidRPr="004C143F" w:rsidRDefault="00C3435A" w:rsidP="00492B4F">
      <w:pPr>
        <w:pStyle w:val="ListParagraph"/>
        <w:numPr>
          <w:ilvl w:val="0"/>
          <w:numId w:val="17"/>
        </w:numPr>
        <w:spacing w:after="80"/>
        <w:rPr>
          <w:strike/>
        </w:rPr>
      </w:pPr>
      <w:r>
        <w:t>f</w:t>
      </w:r>
      <w:r w:rsidR="004C143F">
        <w:t xml:space="preserve">ees public bodies charge each other </w:t>
      </w:r>
      <w:r w:rsidR="00795137" w:rsidRPr="00A750F9">
        <w:t xml:space="preserve">-- </w:t>
      </w:r>
      <w:r w:rsidRPr="007E5D21">
        <w:t>data development, standardization, and efficient use</w:t>
      </w:r>
      <w:r w:rsidRPr="007E5D21" w:rsidDel="007E5D21">
        <w:t xml:space="preserve"> </w:t>
      </w:r>
      <w:r>
        <w:t>are hindered by overly complex data sharing practices</w:t>
      </w:r>
      <w:r w:rsidRPr="007E5D21">
        <w:t xml:space="preserve"> when </w:t>
      </w:r>
      <w:r w:rsidR="00B76D77">
        <w:t>public bo</w:t>
      </w:r>
      <w:r w:rsidR="008937AE">
        <w:t>dies charge each other</w:t>
      </w:r>
      <w:r w:rsidR="00B76D77">
        <w:t xml:space="preserve"> to sustain their data programs</w:t>
      </w:r>
      <w:r>
        <w:t>.</w:t>
      </w:r>
      <w:r w:rsidR="00B76D77">
        <w:t xml:space="preserve"> </w:t>
      </w:r>
    </w:p>
    <w:p w:rsidR="00F923F1" w:rsidRDefault="002F2AAB" w:rsidP="00492B4F">
      <w:pPr>
        <w:pStyle w:val="Heading1"/>
        <w:spacing w:before="80"/>
      </w:pPr>
      <w:r>
        <w:t xml:space="preserve">Overall </w:t>
      </w:r>
      <w:r w:rsidR="00D32DBE">
        <w:t>Preliminary Recommendations</w:t>
      </w:r>
      <w:r w:rsidR="00F923F1">
        <w:t xml:space="preserve"> Summary</w:t>
      </w:r>
    </w:p>
    <w:p w:rsidR="00EF1F55" w:rsidRDefault="00574E6D" w:rsidP="008937AE">
      <w:pPr>
        <w:spacing w:after="120"/>
      </w:pPr>
      <w:r>
        <w:t xml:space="preserve">The overall objective is to enable and fund coordinated programs across all public bodies that will develop and maintain comprehensive, standardized, statewide </w:t>
      </w:r>
      <w:r w:rsidR="00711066">
        <w:t>geo</w:t>
      </w:r>
      <w:r>
        <w:t xml:space="preserve">spatial Framework data. </w:t>
      </w:r>
      <w:r w:rsidR="00A406E5">
        <w:t xml:space="preserve">The Council estimates that approximately $250 million over a </w:t>
      </w:r>
      <w:r w:rsidR="00092504">
        <w:t>ten</w:t>
      </w:r>
      <w:r w:rsidR="00A406E5">
        <w:t xml:space="preserve">-year </w:t>
      </w:r>
      <w:r w:rsidR="005B1FD0">
        <w:t xml:space="preserve">startup </w:t>
      </w:r>
      <w:r w:rsidR="00A406E5">
        <w:t xml:space="preserve">period is necessary to cover Framework data program start-up costs.   Operating costs to maintain the data assets over time and provide continual management and access to the </w:t>
      </w:r>
      <w:r w:rsidR="00092504">
        <w:t>data would require about $13</w:t>
      </w:r>
      <w:r w:rsidR="00A406E5">
        <w:t xml:space="preserve"> million annually during the startup </w:t>
      </w:r>
      <w:r w:rsidR="00A406E5" w:rsidRPr="0007051B">
        <w:t>period</w:t>
      </w:r>
      <w:r w:rsidR="00A406E5">
        <w:t xml:space="preserve"> and beyond. </w:t>
      </w:r>
      <w:r>
        <w:t xml:space="preserve">Since there </w:t>
      </w:r>
      <w:r w:rsidR="00EF1F55">
        <w:t xml:space="preserve">is </w:t>
      </w:r>
      <w:r>
        <w:t xml:space="preserve">now </w:t>
      </w:r>
      <w:r w:rsidR="00EF1F55">
        <w:t>a</w:t>
      </w:r>
      <w:r w:rsidR="00C009DB">
        <w:t xml:space="preserve"> </w:t>
      </w:r>
      <w:r w:rsidR="00EF1F55">
        <w:t>shortfall between the funding that a comprehensive, statewide Framework data program needs and what public bodies collectively are now able to provide</w:t>
      </w:r>
      <w:r>
        <w:t xml:space="preserve">, additional funding </w:t>
      </w:r>
      <w:r w:rsidR="00711066">
        <w:t>is</w:t>
      </w:r>
      <w:r>
        <w:t xml:space="preserve"> required</w:t>
      </w:r>
      <w:r w:rsidR="00EF1F55">
        <w:t>.  The full</w:t>
      </w:r>
      <w:r w:rsidR="00D32DBE">
        <w:t xml:space="preserve"> preliminary</w:t>
      </w:r>
      <w:r w:rsidR="00EF1F55">
        <w:t xml:space="preserve"> r</w:t>
      </w:r>
      <w:r w:rsidR="008937AE">
        <w:t xml:space="preserve">ecommendation is described </w:t>
      </w:r>
      <w:r w:rsidR="002F2FC9">
        <w:t>herein</w:t>
      </w:r>
      <w:r w:rsidR="008937AE">
        <w:t xml:space="preserve"> and</w:t>
      </w:r>
      <w:r w:rsidR="00EF1F55">
        <w:t xml:space="preserve"> consists of the following components:</w:t>
      </w:r>
    </w:p>
    <w:p w:rsidR="00574E6D" w:rsidRDefault="006141C0" w:rsidP="00574E6D">
      <w:pPr>
        <w:pStyle w:val="ListParagraph"/>
        <w:numPr>
          <w:ilvl w:val="0"/>
          <w:numId w:val="25"/>
        </w:numPr>
      </w:pPr>
      <w:r>
        <w:t>Creating additional o</w:t>
      </w:r>
      <w:r w:rsidR="00574E6D">
        <w:t xml:space="preserve">rganizational </w:t>
      </w:r>
      <w:r>
        <w:t>capacity</w:t>
      </w:r>
      <w:r w:rsidR="00574E6D">
        <w:t xml:space="preserve"> for multi-jurisdiction</w:t>
      </w:r>
      <w:r w:rsidR="008937AE">
        <w:t xml:space="preserve">al </w:t>
      </w:r>
      <w:r w:rsidR="00574E6D">
        <w:t>Framework data programs</w:t>
      </w:r>
    </w:p>
    <w:p w:rsidR="00574E6D" w:rsidRDefault="00C97528" w:rsidP="00574E6D">
      <w:pPr>
        <w:pStyle w:val="ListParagraph"/>
        <w:numPr>
          <w:ilvl w:val="0"/>
          <w:numId w:val="25"/>
        </w:numPr>
      </w:pPr>
      <w:r>
        <w:t>Identifying possible f</w:t>
      </w:r>
      <w:r w:rsidR="00EF1F55">
        <w:t xml:space="preserve">unding </w:t>
      </w:r>
      <w:r>
        <w:t>m</w:t>
      </w:r>
      <w:r w:rsidR="00EF1F55">
        <w:t>echanisms</w:t>
      </w:r>
      <w:r w:rsidR="00705CAC">
        <w:t xml:space="preserve"> </w:t>
      </w:r>
      <w:r w:rsidR="00574E6D">
        <w:t>–</w:t>
      </w:r>
      <w:r w:rsidR="00EF1F55">
        <w:t xml:space="preserve"> </w:t>
      </w:r>
    </w:p>
    <w:p w:rsidR="00C009DB" w:rsidRDefault="00EF1F55">
      <w:pPr>
        <w:pStyle w:val="ListParagraph"/>
        <w:numPr>
          <w:ilvl w:val="1"/>
          <w:numId w:val="25"/>
        </w:numPr>
      </w:pPr>
      <w:r>
        <w:t xml:space="preserve">Existing </w:t>
      </w:r>
      <w:r w:rsidR="008937AE">
        <w:t xml:space="preserve">fees--OGIC recommends that the </w:t>
      </w:r>
      <w:r w:rsidR="00057CB7">
        <w:t>Legislature</w:t>
      </w:r>
      <w:r>
        <w:t xml:space="preserve"> re-allocate a</w:t>
      </w:r>
      <w:r w:rsidRPr="000A4F9E">
        <w:t xml:space="preserve"> portion of existing </w:t>
      </w:r>
      <w:r w:rsidR="00711066">
        <w:t xml:space="preserve">state agency-administered </w:t>
      </w:r>
      <w:r w:rsidRPr="000A4F9E">
        <w:t>fees</w:t>
      </w:r>
      <w:r>
        <w:t xml:space="preserve"> to Framework data purposes</w:t>
      </w:r>
      <w:r w:rsidR="002F2FC9">
        <w:t xml:space="preserve">; and </w:t>
      </w:r>
    </w:p>
    <w:p w:rsidR="00C009DB" w:rsidRDefault="002F2FC9" w:rsidP="00602A74">
      <w:pPr>
        <w:pStyle w:val="ListParagraph"/>
        <w:numPr>
          <w:ilvl w:val="1"/>
          <w:numId w:val="25"/>
        </w:numPr>
      </w:pPr>
      <w:r>
        <w:t xml:space="preserve"> </w:t>
      </w:r>
      <w:r w:rsidR="00705CAC">
        <w:t>Continue</w:t>
      </w:r>
      <w:r>
        <w:t xml:space="preserve"> </w:t>
      </w:r>
      <w:r w:rsidR="00602A74">
        <w:t xml:space="preserve">and expand </w:t>
      </w:r>
      <w:r w:rsidR="00EF1F55">
        <w:t>assessments on state agencies</w:t>
      </w:r>
      <w:r w:rsidR="00602A74">
        <w:t xml:space="preserve"> (Policy Option Package)</w:t>
      </w:r>
      <w:r w:rsidR="00705CAC">
        <w:t xml:space="preserve"> </w:t>
      </w:r>
      <w:r w:rsidR="002A57B5">
        <w:t>to fund the state Geo</w:t>
      </w:r>
      <w:r w:rsidR="002943A6">
        <w:t>spatial</w:t>
      </w:r>
      <w:r w:rsidR="002A57B5">
        <w:t xml:space="preserve"> Enterprise Office (GEO)</w:t>
      </w:r>
    </w:p>
    <w:p w:rsidR="00574E6D" w:rsidRDefault="00E021CE" w:rsidP="00492B4F">
      <w:pPr>
        <w:pStyle w:val="ListParagraph"/>
        <w:numPr>
          <w:ilvl w:val="0"/>
          <w:numId w:val="25"/>
        </w:numPr>
        <w:spacing w:after="80"/>
      </w:pPr>
      <w:r>
        <w:t xml:space="preserve">Solidifying </w:t>
      </w:r>
      <w:r w:rsidR="00602A74">
        <w:t>g</w:t>
      </w:r>
      <w:r w:rsidR="00574E6D">
        <w:t>overnance and accountability mechanisms</w:t>
      </w:r>
    </w:p>
    <w:p w:rsidR="00EF1F55" w:rsidRDefault="002F2AAB" w:rsidP="006F44C2">
      <w:pPr>
        <w:spacing w:after="120"/>
      </w:pPr>
      <w:r>
        <w:t xml:space="preserve">OGIC </w:t>
      </w:r>
      <w:r w:rsidR="00D32DBE">
        <w:t>will likely recommend</w:t>
      </w:r>
      <w:r>
        <w:t xml:space="preserve"> using debt financing to accelerate the </w:t>
      </w:r>
      <w:r w:rsidR="005B1FD0">
        <w:t>startup phase</w:t>
      </w:r>
      <w:r>
        <w:t xml:space="preserve"> of the Framework data</w:t>
      </w:r>
      <w:r w:rsidR="005B1FD0">
        <w:t xml:space="preserve"> program.  </w:t>
      </w:r>
      <w:r w:rsidR="00EF1F55">
        <w:t xml:space="preserve">In addition, </w:t>
      </w:r>
      <w:r w:rsidR="005B1FD0">
        <w:t xml:space="preserve">OGIC will continue to evaluate </w:t>
      </w:r>
      <w:r w:rsidR="00EF1F55">
        <w:t>public/private partnerships as a p</w:t>
      </w:r>
      <w:r w:rsidR="00711066">
        <w:t>art</w:t>
      </w:r>
      <w:r w:rsidR="00EF1F55">
        <w:t xml:space="preserve"> </w:t>
      </w:r>
      <w:r w:rsidR="00711066">
        <w:t>of</w:t>
      </w:r>
      <w:r w:rsidR="00EF1F55">
        <w:t xml:space="preserve"> </w:t>
      </w:r>
      <w:r w:rsidR="005B1FD0">
        <w:t xml:space="preserve">future </w:t>
      </w:r>
      <w:r w:rsidR="00EF1F55">
        <w:t xml:space="preserve">funding </w:t>
      </w:r>
      <w:r w:rsidR="005B1FD0">
        <w:t>solutions</w:t>
      </w:r>
      <w:r w:rsidR="00A750F9">
        <w:t xml:space="preserve">.  </w:t>
      </w:r>
    </w:p>
    <w:p w:rsidR="0052592F" w:rsidRDefault="0052592F" w:rsidP="00492B4F">
      <w:pPr>
        <w:spacing w:after="80"/>
      </w:pPr>
      <w:r>
        <w:t xml:space="preserve">The table </w:t>
      </w:r>
      <w:r w:rsidR="00492B4F">
        <w:t>below</w:t>
      </w:r>
      <w:r w:rsidR="008C7558">
        <w:t xml:space="preserve"> </w:t>
      </w:r>
      <w:r w:rsidR="00D32DBE">
        <w:t>indicates the</w:t>
      </w:r>
      <w:r>
        <w:t xml:space="preserve"> timeline and costs for Framework data development</w:t>
      </w:r>
      <w:r w:rsidR="005B1FD0">
        <w:t xml:space="preserve"> during the startup period</w:t>
      </w:r>
      <w:r>
        <w:t>.  The funding mechanisms mentioned above and discussed in more detail in this report are intended to be an ongoing approach to fund continued maintenance of the Framework data assets.</w:t>
      </w:r>
    </w:p>
    <w:p w:rsidR="002F2AAB" w:rsidRDefault="002F2AAB" w:rsidP="00492B4F">
      <w:pPr>
        <w:pStyle w:val="Heading1"/>
        <w:spacing w:before="80"/>
      </w:pPr>
      <w:r>
        <w:t xml:space="preserve">Recommended </w:t>
      </w:r>
      <w:r w:rsidR="003309DB">
        <w:t xml:space="preserve">Legislation </w:t>
      </w:r>
      <w:r>
        <w:t>for the 2019-2021 Biennium</w:t>
      </w:r>
    </w:p>
    <w:p w:rsidR="002A57B5" w:rsidRDefault="005B1FD0">
      <w:r>
        <w:t xml:space="preserve">A multi-year effort such as that required to build the foundational Framework data, supporting systems, and supporting organizational capacity must be well-planned.  OGIC, state staff, and </w:t>
      </w:r>
      <w:r w:rsidR="002A57B5">
        <w:t xml:space="preserve">the many other partners in the effort will require a planning and capacity-building first step.  Accordingly, OGIC recommends that the </w:t>
      </w:r>
      <w:r w:rsidR="00057CB7">
        <w:t>Legislature</w:t>
      </w:r>
      <w:r w:rsidR="002A57B5">
        <w:t xml:space="preserve"> fund the Framework data program in multiple steps beginning in the 2019 session.  OGIC and state staff will use the first-step funding during calendar 2019 and 2020 to complete a more-detailed work plan </w:t>
      </w:r>
      <w:r w:rsidR="008C7558">
        <w:t xml:space="preserve">and budget </w:t>
      </w:r>
      <w:r w:rsidR="002A57B5">
        <w:t xml:space="preserve">for the remaining </w:t>
      </w:r>
      <w:r w:rsidR="00092504">
        <w:t>eight</w:t>
      </w:r>
      <w:r w:rsidR="002A57B5">
        <w:t xml:space="preserve"> years of the startup phase and make additional r</w:t>
      </w:r>
      <w:r w:rsidR="00092504">
        <w:t xml:space="preserve">ecommendations/requests to the </w:t>
      </w:r>
      <w:r w:rsidR="00057CB7">
        <w:t>Legislature</w:t>
      </w:r>
      <w:r w:rsidR="002A57B5">
        <w:t xml:space="preserve"> in 2021.</w:t>
      </w:r>
    </w:p>
    <w:p w:rsidR="00602A74" w:rsidRDefault="003A5BC3" w:rsidP="00092504">
      <w:pPr>
        <w:pStyle w:val="Caption"/>
      </w:pPr>
      <w:r>
        <w:t xml:space="preserve">Table </w:t>
      </w:r>
      <w:r w:rsidR="0042348E">
        <w:rPr>
          <w:i w:val="0"/>
          <w:iCs w:val="0"/>
          <w:noProof/>
        </w:rPr>
        <w:fldChar w:fldCharType="begin"/>
      </w:r>
      <w:r w:rsidR="0042348E">
        <w:rPr>
          <w:noProof/>
        </w:rPr>
        <w:instrText xml:space="preserve"> SEQ Table \* ARABIC </w:instrText>
      </w:r>
      <w:r w:rsidR="0042348E">
        <w:rPr>
          <w:i w:val="0"/>
          <w:iCs w:val="0"/>
          <w:noProof/>
        </w:rPr>
        <w:fldChar w:fldCharType="separate"/>
      </w:r>
      <w:r w:rsidR="00F02C4D">
        <w:rPr>
          <w:noProof/>
        </w:rPr>
        <w:t>1</w:t>
      </w:r>
      <w:r w:rsidR="0042348E">
        <w:rPr>
          <w:i w:val="0"/>
          <w:iCs w:val="0"/>
          <w:noProof/>
        </w:rPr>
        <w:fldChar w:fldCharType="end"/>
      </w:r>
      <w:r>
        <w:t>: Framework Data Startup Sequencing</w:t>
      </w:r>
      <w:r w:rsidR="00B32123">
        <w:rPr>
          <w:noProof/>
        </w:rPr>
        <w:drawing>
          <wp:inline distT="0" distB="0" distL="0" distR="0" wp14:anchorId="1D63B0D0" wp14:editId="43E98960">
            <wp:extent cx="5637620" cy="4230624"/>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76988" cy="4260167"/>
                    </a:xfrm>
                    <a:prstGeom prst="rect">
                      <a:avLst/>
                    </a:prstGeom>
                  </pic:spPr>
                </pic:pic>
              </a:graphicData>
            </a:graphic>
          </wp:inline>
        </w:drawing>
      </w:r>
      <w:r w:rsidR="0052592F">
        <w:t xml:space="preserve"> </w:t>
      </w:r>
    </w:p>
    <w:p w:rsidR="00492B4F" w:rsidRDefault="00492B4F" w:rsidP="00492B4F">
      <w:pPr>
        <w:spacing w:after="80"/>
      </w:pPr>
      <w:r>
        <w:t>OGIC preliminarily recommends that in the 2019 session the Legislature:</w:t>
      </w:r>
    </w:p>
    <w:p w:rsidR="00492B4F" w:rsidRDefault="00492B4F" w:rsidP="00492B4F">
      <w:pPr>
        <w:pStyle w:val="ListParagraph"/>
        <w:numPr>
          <w:ilvl w:val="0"/>
          <w:numId w:val="31"/>
        </w:numPr>
      </w:pPr>
      <w:r>
        <w:t>Authorize tapping existing state fees to generate $13 million of continuing annual revenue for the Framework data program (more details on the fee mechanism appear below);</w:t>
      </w:r>
    </w:p>
    <w:p w:rsidR="00492B4F" w:rsidRDefault="00492B4F" w:rsidP="00492B4F">
      <w:pPr>
        <w:pStyle w:val="ListParagraph"/>
        <w:numPr>
          <w:ilvl w:val="0"/>
          <w:numId w:val="31"/>
        </w:numPr>
      </w:pPr>
      <w:r>
        <w:t>Authorize issuing General Obligation bonds funded by part of the fee revenue (</w:t>
      </w:r>
      <w:r w:rsidRPr="002A57B5">
        <w:rPr>
          <w:i/>
        </w:rPr>
        <w:t>not</w:t>
      </w:r>
      <w:r>
        <w:t xml:space="preserve"> General Fund) to generate $16 million of startup money to be used in 2019 and 2020 to fund Framework data program planning and capacity-building;</w:t>
      </w:r>
    </w:p>
    <w:p w:rsidR="00492B4F" w:rsidRPr="00492B4F" w:rsidRDefault="00492B4F" w:rsidP="00310775">
      <w:pPr>
        <w:pStyle w:val="ListParagraph"/>
        <w:numPr>
          <w:ilvl w:val="0"/>
          <w:numId w:val="31"/>
        </w:numPr>
        <w:spacing w:after="40"/>
      </w:pPr>
      <w:r>
        <w:t>Approve the Policy Option Package (more details below) that will add capacity to the state Geospatial Enterprise Office sufficient to support the first two years of Framework data program development and implementation.</w:t>
      </w:r>
    </w:p>
    <w:p w:rsidR="002D73CC" w:rsidRDefault="002D73CC" w:rsidP="00310775">
      <w:pPr>
        <w:pStyle w:val="Heading1"/>
        <w:spacing w:before="40"/>
      </w:pPr>
      <w:r w:rsidRPr="00590096">
        <w:t>Background</w:t>
      </w:r>
    </w:p>
    <w:p w:rsidR="00E6215F" w:rsidRDefault="00E6215F" w:rsidP="00310775">
      <w:pPr>
        <w:spacing w:after="120"/>
      </w:pPr>
      <w:r>
        <w:t>Recent Oregon law (</w:t>
      </w:r>
      <w:r w:rsidRPr="004A141A">
        <w:t>ORS276A.500</w:t>
      </w:r>
      <w:r w:rsidR="00711066">
        <w:t>-515</w:t>
      </w:r>
      <w:r w:rsidRPr="004A141A">
        <w:t xml:space="preserve">) </w:t>
      </w:r>
      <w:r w:rsidR="00711066">
        <w:t>authorizes</w:t>
      </w:r>
      <w:r>
        <w:t xml:space="preserve"> the Oregon Geographic Information Council (OGIC) to serve as “…the statewide governing body </w:t>
      </w:r>
      <w:r w:rsidR="00711066">
        <w:t xml:space="preserve">for </w:t>
      </w:r>
      <w:r>
        <w:t xml:space="preserve">sharing and managing geospatial Framework data.”   </w:t>
      </w:r>
      <w:r w:rsidR="00602A74">
        <w:t xml:space="preserve">Framework data are </w:t>
      </w:r>
      <w:r w:rsidR="00602A74" w:rsidRPr="00F80030">
        <w:rPr>
          <w:rFonts w:cs="Times New Roman"/>
          <w:color w:val="000000"/>
        </w:rPr>
        <w:t>location</w:t>
      </w:r>
      <w:r w:rsidR="00602A74" w:rsidRPr="0053408C">
        <w:rPr>
          <w:rFonts w:cs="Times New Roman"/>
          <w:color w:val="000000"/>
        </w:rPr>
        <w:t>al</w:t>
      </w:r>
      <w:r w:rsidR="00602A74" w:rsidRPr="00F80030">
        <w:rPr>
          <w:rFonts w:cs="Times New Roman"/>
          <w:color w:val="000000"/>
        </w:rPr>
        <w:t xml:space="preserve"> data used by a wide range of public bodies to accomplish their missions</w:t>
      </w:r>
      <w:r w:rsidR="00602A74">
        <w:t xml:space="preserve">. OGIC submits that the </w:t>
      </w:r>
      <w:r w:rsidR="00602A74" w:rsidRPr="001F25AE">
        <w:t>development and maintenance of geospatial Framework data in a consistent manner statewide will enable the provision of consistent government services to all citizens.</w:t>
      </w:r>
      <w:r w:rsidR="00602A74">
        <w:t xml:space="preserve">  </w:t>
      </w:r>
      <w:r>
        <w:t xml:space="preserve">The law tasks OGIC with, among other responsibilities, submitting each biennium “…a plan and a budget for collecting, using, managing, sharing, and maintaining geospatial Framework data…” and recommending </w:t>
      </w:r>
      <w:r w:rsidRPr="001F25AE">
        <w:t xml:space="preserve">strategies for eliminating the fees that public bodies charge to other public bodies for geospatial </w:t>
      </w:r>
      <w:r>
        <w:t>Framework</w:t>
      </w:r>
      <w:r w:rsidRPr="001F25AE">
        <w:t xml:space="preserve"> data under ORS 190.050 (Fees for geographic data) or 192.324 (Copies or inspection of public records).</w:t>
      </w:r>
      <w:r>
        <w:t xml:space="preserve"> </w:t>
      </w:r>
      <w:r w:rsidR="00055750">
        <w:t xml:space="preserve">In addition, the Council is tasked in the statute with enhancing geospatial Framework data sharing and management among public bodies.  </w:t>
      </w:r>
    </w:p>
    <w:p w:rsidR="00C30781" w:rsidRDefault="0066545B" w:rsidP="00310775">
      <w:pPr>
        <w:spacing w:after="80"/>
      </w:pPr>
      <w:r w:rsidRPr="00F80030">
        <w:t xml:space="preserve">There are </w:t>
      </w:r>
      <w:r>
        <w:t>many examples of services provided by local and/or state agencies that are dependent on locational data.  It is not always possible to get the same level of service in Burns as it is in Beaverton, or even in Eagle Point as it is in Medford, without complete, standardized locational data.  For example:</w:t>
      </w:r>
    </w:p>
    <w:p w:rsidR="0066545B" w:rsidRPr="00F80030" w:rsidRDefault="007243FD" w:rsidP="00310775">
      <w:pPr>
        <w:numPr>
          <w:ilvl w:val="0"/>
          <w:numId w:val="30"/>
        </w:numPr>
        <w:spacing w:after="80"/>
      </w:pPr>
      <w:r>
        <w:rPr>
          <w:i/>
          <w:iCs/>
        </w:rPr>
        <w:t>K</w:t>
      </w:r>
      <w:r w:rsidR="00967BF4">
        <w:rPr>
          <w:i/>
          <w:iCs/>
        </w:rPr>
        <w:t>ids can’t remain in</w:t>
      </w:r>
      <w:r>
        <w:rPr>
          <w:i/>
          <w:iCs/>
        </w:rPr>
        <w:t xml:space="preserve"> the same schools when they are moved into or between foster homes i</w:t>
      </w:r>
      <w:r w:rsidR="0066545B">
        <w:rPr>
          <w:i/>
          <w:iCs/>
        </w:rPr>
        <w:t xml:space="preserve">f tax lots, address points, school attendance areas, and locations and characteristics of foster homes aren’t readily available to state and local officials, </w:t>
      </w:r>
    </w:p>
    <w:p w:rsidR="0066545B" w:rsidRPr="0052046F" w:rsidRDefault="007243FD" w:rsidP="0066545B">
      <w:pPr>
        <w:numPr>
          <w:ilvl w:val="0"/>
          <w:numId w:val="30"/>
        </w:numPr>
        <w:spacing w:after="80"/>
      </w:pPr>
      <w:r>
        <w:rPr>
          <w:i/>
          <w:iCs/>
        </w:rPr>
        <w:t>Permits can’t be evaluated and the permit process can’t be streamlined w</w:t>
      </w:r>
      <w:r w:rsidR="0066545B">
        <w:rPr>
          <w:i/>
          <w:iCs/>
        </w:rPr>
        <w:t>hen land use, zoning, wildlife habi</w:t>
      </w:r>
      <w:r w:rsidR="0021382E">
        <w:rPr>
          <w:i/>
          <w:iCs/>
        </w:rPr>
        <w:t>tat, utilities</w:t>
      </w:r>
      <w:r w:rsidR="0066545B">
        <w:rPr>
          <w:i/>
          <w:iCs/>
        </w:rPr>
        <w:t xml:space="preserve">, address points, tax lots, </w:t>
      </w:r>
      <w:r>
        <w:rPr>
          <w:i/>
          <w:iCs/>
        </w:rPr>
        <w:t>and floodplain boundaries aren’t readily available to state and local officials.</w:t>
      </w:r>
    </w:p>
    <w:p w:rsidR="0066545B" w:rsidRPr="0052046F" w:rsidRDefault="007243FD" w:rsidP="0066545B">
      <w:pPr>
        <w:numPr>
          <w:ilvl w:val="0"/>
          <w:numId w:val="30"/>
        </w:numPr>
        <w:spacing w:after="80"/>
      </w:pPr>
      <w:r>
        <w:rPr>
          <w:i/>
          <w:iCs/>
        </w:rPr>
        <w:t>E</w:t>
      </w:r>
      <w:r w:rsidR="0066545B" w:rsidRPr="0052046F">
        <w:rPr>
          <w:i/>
          <w:iCs/>
        </w:rPr>
        <w:t xml:space="preserve">conomic development zone </w:t>
      </w:r>
      <w:r>
        <w:rPr>
          <w:i/>
          <w:iCs/>
        </w:rPr>
        <w:t>boundaries can’t</w:t>
      </w:r>
      <w:r w:rsidR="0066545B">
        <w:rPr>
          <w:i/>
          <w:iCs/>
        </w:rPr>
        <w:t xml:space="preserve"> </w:t>
      </w:r>
      <w:r w:rsidR="0066545B" w:rsidRPr="0052046F">
        <w:rPr>
          <w:i/>
          <w:iCs/>
        </w:rPr>
        <w:t xml:space="preserve">be </w:t>
      </w:r>
      <w:r>
        <w:rPr>
          <w:i/>
          <w:iCs/>
        </w:rPr>
        <w:t xml:space="preserve">appropriately </w:t>
      </w:r>
      <w:r w:rsidR="0066545B" w:rsidRPr="0052046F">
        <w:rPr>
          <w:i/>
          <w:iCs/>
        </w:rPr>
        <w:t xml:space="preserve">located </w:t>
      </w:r>
      <w:r w:rsidR="00967BF4">
        <w:rPr>
          <w:i/>
          <w:iCs/>
        </w:rPr>
        <w:t xml:space="preserve">and used </w:t>
      </w:r>
      <w:r w:rsidR="0066545B" w:rsidRPr="0052046F">
        <w:rPr>
          <w:i/>
          <w:iCs/>
        </w:rPr>
        <w:t>to hav</w:t>
      </w:r>
      <w:r>
        <w:rPr>
          <w:i/>
          <w:iCs/>
        </w:rPr>
        <w:t>e the greatest impact if demographics, business locations, utilities, address points, tax lots, municipal boundaries, and UGBs aren’t readily available to state and local officials.</w:t>
      </w:r>
    </w:p>
    <w:p w:rsidR="0066545B" w:rsidRPr="00F80030" w:rsidRDefault="007243FD" w:rsidP="00F80030">
      <w:pPr>
        <w:numPr>
          <w:ilvl w:val="0"/>
          <w:numId w:val="30"/>
        </w:numPr>
        <w:spacing w:after="80"/>
      </w:pPr>
      <w:r w:rsidRPr="00F80030">
        <w:rPr>
          <w:i/>
        </w:rPr>
        <w:t>L</w:t>
      </w:r>
      <w:r w:rsidRPr="007243FD">
        <w:rPr>
          <w:i/>
          <w:iCs/>
        </w:rPr>
        <w:t xml:space="preserve">ocating </w:t>
      </w:r>
      <w:r>
        <w:rPr>
          <w:i/>
          <w:iCs/>
        </w:rPr>
        <w:t xml:space="preserve">a new fire station </w:t>
      </w:r>
      <w:r w:rsidR="0066545B" w:rsidRPr="007243FD">
        <w:rPr>
          <w:i/>
          <w:iCs/>
        </w:rPr>
        <w:t>to optimize response time</w:t>
      </w:r>
      <w:r>
        <w:rPr>
          <w:i/>
          <w:iCs/>
        </w:rPr>
        <w:t xml:space="preserve"> can’t be accomplished if address points, demographics, municipal boundaries, roads, </w:t>
      </w:r>
      <w:r w:rsidR="00967BF4">
        <w:rPr>
          <w:i/>
          <w:iCs/>
        </w:rPr>
        <w:t>streams, tax lots, and utilities aren’t available to state and local officials.</w:t>
      </w:r>
    </w:p>
    <w:p w:rsidR="00967BF4" w:rsidRDefault="00967BF4" w:rsidP="00F80030">
      <w:pPr>
        <w:numPr>
          <w:ilvl w:val="0"/>
          <w:numId w:val="30"/>
        </w:numPr>
        <w:spacing w:after="80"/>
      </w:pPr>
      <w:r>
        <w:rPr>
          <w:i/>
          <w:iCs/>
        </w:rPr>
        <w:t>Workforce development efforts are less effective when housing, transit, roads, address points, child care, healthcare, job opportunities, business locations, and training choices aren’t readily available to state and local officials.</w:t>
      </w:r>
    </w:p>
    <w:p w:rsidR="00E6215F" w:rsidRPr="002D73CC" w:rsidRDefault="00055750" w:rsidP="00310775">
      <w:pPr>
        <w:spacing w:after="80"/>
      </w:pPr>
      <w:r>
        <w:t>The Council</w:t>
      </w:r>
      <w:r w:rsidR="00E6215F">
        <w:t xml:space="preserve"> proposes to </w:t>
      </w:r>
      <w:r>
        <w:t xml:space="preserve">enhance Framework data sharing and management, and </w:t>
      </w:r>
      <w:r w:rsidR="00E6215F">
        <w:t xml:space="preserve">mitigate the obstacles </w:t>
      </w:r>
      <w:r w:rsidR="008F7164">
        <w:t>to Oregon public bodies’ collective ability to create and maintain complete, statewide Framework data</w:t>
      </w:r>
      <w:r>
        <w:t>,</w:t>
      </w:r>
      <w:r w:rsidR="008F7164">
        <w:t xml:space="preserve"> </w:t>
      </w:r>
      <w:r w:rsidR="00E6215F">
        <w:t xml:space="preserve">by putting in place a </w:t>
      </w:r>
      <w:r w:rsidR="00E6215F" w:rsidRPr="00303AAE">
        <w:rPr>
          <w:b/>
        </w:rPr>
        <w:t>data sharing program</w:t>
      </w:r>
      <w:r w:rsidR="00E6215F">
        <w:t xml:space="preserve"> that is </w:t>
      </w:r>
      <w:r>
        <w:t xml:space="preserve">sustainably </w:t>
      </w:r>
      <w:r w:rsidR="00E6215F">
        <w:t>funded at the state level</w:t>
      </w:r>
      <w:r w:rsidR="008F7164">
        <w:t xml:space="preserve">. The obstacles revealed by </w:t>
      </w:r>
      <w:r>
        <w:t>Council</w:t>
      </w:r>
      <w:r w:rsidR="008F7164">
        <w:t xml:space="preserve"> research provide key places for intervention and funding</w:t>
      </w:r>
      <w:r w:rsidR="00E6215F">
        <w:t xml:space="preserve"> so that Framework data exists for all corners of Oregon, is well</w:t>
      </w:r>
      <w:r w:rsidR="00E6215F">
        <w:softHyphen/>
        <w:t xml:space="preserve">-maintained </w:t>
      </w:r>
      <w:r>
        <w:t xml:space="preserve">and managed </w:t>
      </w:r>
      <w:r w:rsidR="00E6215F">
        <w:t xml:space="preserve">over time by </w:t>
      </w:r>
      <w:r>
        <w:t>public bodies</w:t>
      </w:r>
      <w:r w:rsidR="00E6215F">
        <w:t xml:space="preserve">, and is shared </w:t>
      </w:r>
      <w:r w:rsidR="00E6215F" w:rsidRPr="00303AAE">
        <w:rPr>
          <w:b/>
        </w:rPr>
        <w:t>at no cost</w:t>
      </w:r>
      <w:r w:rsidR="00E6215F">
        <w:t xml:space="preserve"> </w:t>
      </w:r>
      <w:r w:rsidR="008F7164">
        <w:t>among</w:t>
      </w:r>
      <w:r w:rsidR="00E6215F">
        <w:t xml:space="preserve"> all public bodies</w:t>
      </w:r>
      <w:r w:rsidR="00FC41E9">
        <w:t xml:space="preserve">. The Council proposes the data sharing program be maintained and managed by the Geospatial Enterprise Office (GEO) within the Office of the State CIO, </w:t>
      </w:r>
      <w:r>
        <w:t>the agency best positioned to do so</w:t>
      </w:r>
      <w:r w:rsidR="00E6215F">
        <w:t xml:space="preserve">.  Once the program is functioning as described in this recommendation, Oregon public bodies will—collectively—realize </w:t>
      </w:r>
      <w:r>
        <w:t xml:space="preserve">significant </w:t>
      </w:r>
      <w:r w:rsidR="00E6215F">
        <w:t xml:space="preserve">benefits by eliminating </w:t>
      </w:r>
      <w:r w:rsidR="004E3250">
        <w:t xml:space="preserve">the cost of </w:t>
      </w:r>
      <w:r w:rsidR="00E6215F">
        <w:t>duplicat</w:t>
      </w:r>
      <w:r w:rsidR="004E3250">
        <w:t>ed data development</w:t>
      </w:r>
      <w:r w:rsidR="00E6215F">
        <w:t xml:space="preserve"> and </w:t>
      </w:r>
      <w:r w:rsidR="00700F41">
        <w:t>optimizing data management across all concerned public bodies.</w:t>
      </w:r>
      <w:r w:rsidR="00E6215F">
        <w:t xml:space="preserve">  </w:t>
      </w:r>
    </w:p>
    <w:p w:rsidR="00E6215F" w:rsidRPr="001E33C9" w:rsidRDefault="008F7164" w:rsidP="00303AAE">
      <w:pPr>
        <w:pStyle w:val="Heading2"/>
      </w:pPr>
      <w:r>
        <w:t>Obstacles</w:t>
      </w:r>
    </w:p>
    <w:p w:rsidR="002D73CC" w:rsidRDefault="002D73CC" w:rsidP="00310775">
      <w:pPr>
        <w:pStyle w:val="Heading3"/>
        <w:numPr>
          <w:ilvl w:val="0"/>
          <w:numId w:val="8"/>
        </w:numPr>
        <w:spacing w:before="0"/>
      </w:pPr>
      <w:r>
        <w:t>Gaps in existing Framework data sets</w:t>
      </w:r>
    </w:p>
    <w:p w:rsidR="00514F51" w:rsidRDefault="0095741D" w:rsidP="00310775">
      <w:pPr>
        <w:spacing w:after="80"/>
      </w:pPr>
      <w:r>
        <w:t>Data gaps</w:t>
      </w:r>
      <w:r w:rsidR="00514F51">
        <w:t xml:space="preserve"> </w:t>
      </w:r>
      <w:r w:rsidR="007F0353">
        <w:t xml:space="preserve">come in many forms. Gaps </w:t>
      </w:r>
      <w:r w:rsidR="00514F51">
        <w:t>include</w:t>
      </w:r>
      <w:r w:rsidR="00FC41E9">
        <w:t>:</w:t>
      </w:r>
      <w:r w:rsidR="00514F51">
        <w:t xml:space="preserve"> </w:t>
      </w:r>
      <w:r w:rsidR="00CD083F">
        <w:t xml:space="preserve">(a) </w:t>
      </w:r>
      <w:r w:rsidR="00FC41E9">
        <w:t xml:space="preserve">areas </w:t>
      </w:r>
      <w:r w:rsidR="00514F51">
        <w:t>where</w:t>
      </w:r>
      <w:r w:rsidR="007F0353">
        <w:t xml:space="preserve"> </w:t>
      </w:r>
      <w:r w:rsidR="00CD083F">
        <w:t>some needed</w:t>
      </w:r>
      <w:r w:rsidR="007F0353">
        <w:t xml:space="preserve"> data </w:t>
      </w:r>
      <w:r w:rsidR="00CD083F">
        <w:t xml:space="preserve">do not </w:t>
      </w:r>
      <w:r w:rsidR="007F0353">
        <w:t>exist</w:t>
      </w:r>
      <w:r w:rsidR="00FC41E9">
        <w:t xml:space="preserve"> (incomplete statewide coverage)</w:t>
      </w:r>
      <w:r w:rsidR="007F0353">
        <w:t>;</w:t>
      </w:r>
      <w:r w:rsidR="00514F51">
        <w:t xml:space="preserve"> </w:t>
      </w:r>
      <w:r w:rsidR="00CD083F">
        <w:t xml:space="preserve">(b) data </w:t>
      </w:r>
      <w:r w:rsidR="00514F51">
        <w:t xml:space="preserve">without appropriate </w:t>
      </w:r>
      <w:r w:rsidR="007F0353">
        <w:t xml:space="preserve">or standardized </w:t>
      </w:r>
      <w:r w:rsidR="00514F51">
        <w:t xml:space="preserve">descriptive information </w:t>
      </w:r>
      <w:r w:rsidR="00CD083F">
        <w:t>(e.g., zoning boundaries without codes; addresses with incorrectly spelled streets)</w:t>
      </w:r>
      <w:r w:rsidR="007F0353">
        <w:t>;</w:t>
      </w:r>
      <w:r w:rsidR="00514F51">
        <w:t xml:space="preserve"> </w:t>
      </w:r>
      <w:r w:rsidR="00CD083F">
        <w:t xml:space="preserve">(c) </w:t>
      </w:r>
      <w:r w:rsidR="00514F51">
        <w:t xml:space="preserve">portions of data that are unstandardized or inconsistent relative </w:t>
      </w:r>
      <w:r w:rsidR="007F0353">
        <w:t>to the re</w:t>
      </w:r>
      <w:r w:rsidR="00CD083F">
        <w:t xml:space="preserve">st </w:t>
      </w:r>
      <w:r w:rsidR="007F0353">
        <w:t xml:space="preserve">of the dataset; and </w:t>
      </w:r>
      <w:r w:rsidR="00CD083F">
        <w:t xml:space="preserve">(d) </w:t>
      </w:r>
      <w:r w:rsidR="007F0353">
        <w:t xml:space="preserve">data that </w:t>
      </w:r>
      <w:r w:rsidR="00CD083F">
        <w:t xml:space="preserve">are necessary, </w:t>
      </w:r>
      <w:r w:rsidR="007F0353">
        <w:t>but do</w:t>
      </w:r>
      <w:r w:rsidR="00795137">
        <w:t xml:space="preserve"> not</w:t>
      </w:r>
      <w:r w:rsidR="007F0353">
        <w:t xml:space="preserve"> </w:t>
      </w:r>
      <w:r w:rsidR="00FC41E9">
        <w:t xml:space="preserve">yet </w:t>
      </w:r>
      <w:r w:rsidR="007F0353">
        <w:t xml:space="preserve">exist. </w:t>
      </w:r>
    </w:p>
    <w:p w:rsidR="00514F51" w:rsidRDefault="00514F51" w:rsidP="00310775">
      <w:pPr>
        <w:spacing w:after="40"/>
      </w:pPr>
      <w:r>
        <w:t>Data gaps</w:t>
      </w:r>
      <w:r w:rsidR="0095741D">
        <w:t xml:space="preserve"> are one of the primary obstacles to realizing</w:t>
      </w:r>
      <w:r w:rsidR="00CD083F">
        <w:t xml:space="preserve"> </w:t>
      </w:r>
      <w:r w:rsidR="0095741D">
        <w:t xml:space="preserve">public bodies’ collective ability to create and maintain complete, statewide Framework data, and for Oregon to realize the benefits of </w:t>
      </w:r>
      <w:r w:rsidR="004E3250">
        <w:t xml:space="preserve">consistent, statewide </w:t>
      </w:r>
      <w:r w:rsidR="0095741D">
        <w:t>Framework data</w:t>
      </w:r>
      <w:r w:rsidR="004E3250">
        <w:t xml:space="preserve"> in terms of consistent, statewide provision of government services</w:t>
      </w:r>
      <w:r w:rsidR="0095741D">
        <w:t xml:space="preserve">. This </w:t>
      </w:r>
      <w:r w:rsidR="007F0353">
        <w:t xml:space="preserve">multifaceted </w:t>
      </w:r>
      <w:r w:rsidR="0095741D">
        <w:t xml:space="preserve">obstacle results from </w:t>
      </w:r>
      <w:r w:rsidR="007F0353">
        <w:t>multiple</w:t>
      </w:r>
      <w:r w:rsidR="0095741D">
        <w:t xml:space="preserve"> mechanisms</w:t>
      </w:r>
      <w:r w:rsidR="007F0353">
        <w:t xml:space="preserve"> </w:t>
      </w:r>
      <w:r w:rsidR="00795137">
        <w:t>and</w:t>
      </w:r>
      <w:r w:rsidR="007F0353">
        <w:t xml:space="preserve"> shortcomings</w:t>
      </w:r>
      <w:r>
        <w:t xml:space="preserve"> including:</w:t>
      </w:r>
    </w:p>
    <w:p w:rsidR="00514F51" w:rsidRDefault="00514F51" w:rsidP="00303AAE">
      <w:pPr>
        <w:pStyle w:val="ListParagraph"/>
        <w:numPr>
          <w:ilvl w:val="0"/>
          <w:numId w:val="9"/>
        </w:numPr>
      </w:pPr>
      <w:r>
        <w:t xml:space="preserve">lack of organizational capacity </w:t>
      </w:r>
      <w:r w:rsidR="00CD083F">
        <w:t>in many public bodies</w:t>
      </w:r>
    </w:p>
    <w:p w:rsidR="00514F51" w:rsidRDefault="005D6614" w:rsidP="00303AAE">
      <w:pPr>
        <w:pStyle w:val="ListParagraph"/>
        <w:numPr>
          <w:ilvl w:val="0"/>
          <w:numId w:val="9"/>
        </w:numPr>
      </w:pPr>
      <w:r>
        <w:t>lack of coordinated governance and direction</w:t>
      </w:r>
    </w:p>
    <w:p w:rsidR="007F0353" w:rsidRDefault="00514F51" w:rsidP="00310775">
      <w:pPr>
        <w:pStyle w:val="ListParagraph"/>
        <w:numPr>
          <w:ilvl w:val="0"/>
          <w:numId w:val="9"/>
        </w:numPr>
        <w:spacing w:after="40"/>
      </w:pPr>
      <w:r>
        <w:t xml:space="preserve">lack of available funding </w:t>
      </w:r>
    </w:p>
    <w:p w:rsidR="002B4601" w:rsidRDefault="002B4601" w:rsidP="00303AAE">
      <w:pPr>
        <w:pStyle w:val="Heading3"/>
        <w:numPr>
          <w:ilvl w:val="0"/>
          <w:numId w:val="8"/>
        </w:numPr>
      </w:pPr>
      <w:r>
        <w:t>Insufficient organizational capacity</w:t>
      </w:r>
      <w:r w:rsidR="00794829">
        <w:t xml:space="preserve"> </w:t>
      </w:r>
      <w:r w:rsidR="004E3250" w:rsidRPr="00303AAE" w:rsidDel="004E3250">
        <w:rPr>
          <w:strike/>
        </w:rPr>
        <w:t xml:space="preserve"> </w:t>
      </w:r>
    </w:p>
    <w:p w:rsidR="00555728" w:rsidRDefault="00A00474" w:rsidP="00310775">
      <w:pPr>
        <w:spacing w:after="80"/>
      </w:pPr>
      <w:r>
        <w:t xml:space="preserve">Insufficient organizational capacity interferes with public bodies’ collective ability to create and maintain complete, statewide Framework data across all levels of government. This cascading impact becomes apparent as one considers the development of Framework data and its lifecycle. </w:t>
      </w:r>
      <w:r w:rsidR="007F0353">
        <w:t>Local level public bodies (e.g., cities, counties</w:t>
      </w:r>
      <w:r w:rsidR="00DD0307">
        <w:t>, special districts</w:t>
      </w:r>
      <w:r w:rsidR="007F0353">
        <w:t xml:space="preserve">) are the </w:t>
      </w:r>
      <w:r w:rsidR="007F0353" w:rsidRPr="00303AAE">
        <w:rPr>
          <w:i/>
        </w:rPr>
        <w:t>authoritative</w:t>
      </w:r>
      <w:r>
        <w:t>, or ordinance-directed, sources</w:t>
      </w:r>
      <w:r w:rsidR="007F0353">
        <w:t xml:space="preserve"> for </w:t>
      </w:r>
      <w:r w:rsidR="00555728">
        <w:t xml:space="preserve">at least 80 of the </w:t>
      </w:r>
      <w:r w:rsidR="00E63358">
        <w:t xml:space="preserve">250 </w:t>
      </w:r>
      <w:r w:rsidR="00555728">
        <w:t>Framework</w:t>
      </w:r>
      <w:r w:rsidR="007F0353">
        <w:t xml:space="preserve"> data sets. </w:t>
      </w:r>
      <w:r w:rsidR="00555728">
        <w:t xml:space="preserve"> The table below contains a small sample of the local level data that is part of the Oregon Framework.</w:t>
      </w:r>
    </w:p>
    <w:p w:rsidR="00555728" w:rsidRPr="00555728" w:rsidRDefault="00555728" w:rsidP="00310775">
      <w:pPr>
        <w:spacing w:after="0"/>
        <w:rPr>
          <w:i/>
          <w:sz w:val="18"/>
          <w:szCs w:val="18"/>
        </w:rPr>
      </w:pPr>
      <w:r w:rsidRPr="00555728">
        <w:rPr>
          <w:i/>
          <w:sz w:val="18"/>
          <w:szCs w:val="18"/>
        </w:rPr>
        <w:t xml:space="preserve">Table </w:t>
      </w:r>
      <w:r w:rsidR="00C20C1F">
        <w:rPr>
          <w:i/>
          <w:sz w:val="18"/>
          <w:szCs w:val="18"/>
        </w:rPr>
        <w:t>2</w:t>
      </w:r>
      <w:r w:rsidRPr="00555728">
        <w:rPr>
          <w:i/>
          <w:sz w:val="18"/>
          <w:szCs w:val="18"/>
        </w:rPr>
        <w:t>: Sample of Local Level Framework Data</w:t>
      </w:r>
    </w:p>
    <w:tbl>
      <w:tblPr>
        <w:tblW w:w="6440" w:type="dxa"/>
        <w:tblLook w:val="04A0" w:firstRow="1" w:lastRow="0" w:firstColumn="1" w:lastColumn="0" w:noHBand="0" w:noVBand="1"/>
      </w:tblPr>
      <w:tblGrid>
        <w:gridCol w:w="2060"/>
        <w:gridCol w:w="4380"/>
      </w:tblGrid>
      <w:tr w:rsidR="00B44FB7" w:rsidRPr="00555728" w:rsidTr="00732046">
        <w:trPr>
          <w:trHeight w:val="288"/>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FB7" w:rsidRPr="00882843" w:rsidRDefault="00B44FB7" w:rsidP="00555728">
            <w:pPr>
              <w:spacing w:after="0" w:line="240" w:lineRule="auto"/>
              <w:rPr>
                <w:rFonts w:ascii="Calibri" w:eastAsia="Times New Roman" w:hAnsi="Calibri" w:cs="Times New Roman"/>
                <w:b/>
                <w:color w:val="000000"/>
                <w:sz w:val="18"/>
                <w:szCs w:val="18"/>
              </w:rPr>
            </w:pPr>
            <w:r w:rsidRPr="00882843">
              <w:rPr>
                <w:rFonts w:ascii="Calibri" w:eastAsia="Times New Roman" w:hAnsi="Calibri" w:cs="Times New Roman"/>
                <w:b/>
                <w:color w:val="000000"/>
                <w:sz w:val="18"/>
                <w:szCs w:val="18"/>
              </w:rPr>
              <w:t>Data Element</w:t>
            </w:r>
          </w:p>
        </w:tc>
        <w:tc>
          <w:tcPr>
            <w:tcW w:w="4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44FB7" w:rsidRPr="00882843" w:rsidRDefault="00B44FB7" w:rsidP="00555728">
            <w:pPr>
              <w:spacing w:after="0" w:line="240" w:lineRule="auto"/>
              <w:rPr>
                <w:rFonts w:ascii="Calibri" w:eastAsia="Times New Roman" w:hAnsi="Calibri" w:cs="Times New Roman"/>
                <w:b/>
                <w:color w:val="000000"/>
                <w:sz w:val="18"/>
                <w:szCs w:val="18"/>
              </w:rPr>
            </w:pPr>
            <w:r w:rsidRPr="00882843">
              <w:rPr>
                <w:rFonts w:ascii="Calibri" w:eastAsia="Times New Roman" w:hAnsi="Calibri" w:cs="Times New Roman"/>
                <w:b/>
                <w:color w:val="000000"/>
                <w:sz w:val="18"/>
                <w:szCs w:val="18"/>
              </w:rPr>
              <w:t>Local Level Custodian</w:t>
            </w:r>
          </w:p>
        </w:tc>
      </w:tr>
      <w:tr w:rsidR="00555728" w:rsidRPr="00555728" w:rsidTr="00B44FB7">
        <w:trPr>
          <w:trHeight w:val="288"/>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728" w:rsidRPr="00555728" w:rsidRDefault="00555728" w:rsidP="00555728">
            <w:pPr>
              <w:spacing w:after="0" w:line="240" w:lineRule="auto"/>
              <w:rPr>
                <w:rFonts w:ascii="Calibri" w:eastAsia="Times New Roman" w:hAnsi="Calibri" w:cs="Times New Roman"/>
                <w:color w:val="000000"/>
                <w:sz w:val="18"/>
                <w:szCs w:val="18"/>
              </w:rPr>
            </w:pPr>
            <w:r w:rsidRPr="00555728">
              <w:rPr>
                <w:rFonts w:ascii="Calibri" w:eastAsia="Times New Roman" w:hAnsi="Calibri" w:cs="Times New Roman"/>
                <w:color w:val="000000"/>
                <w:sz w:val="18"/>
                <w:szCs w:val="18"/>
              </w:rPr>
              <w:t>Tax lots</w:t>
            </w:r>
          </w:p>
        </w:tc>
        <w:tc>
          <w:tcPr>
            <w:tcW w:w="4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728" w:rsidRPr="00555728" w:rsidRDefault="00555728" w:rsidP="00555728">
            <w:pPr>
              <w:spacing w:after="0" w:line="240" w:lineRule="auto"/>
              <w:rPr>
                <w:rFonts w:ascii="Calibri" w:eastAsia="Times New Roman" w:hAnsi="Calibri" w:cs="Times New Roman"/>
                <w:color w:val="000000"/>
                <w:sz w:val="18"/>
                <w:szCs w:val="18"/>
              </w:rPr>
            </w:pPr>
            <w:r w:rsidRPr="00555728">
              <w:rPr>
                <w:rFonts w:ascii="Calibri" w:eastAsia="Times New Roman" w:hAnsi="Calibri" w:cs="Times New Roman"/>
                <w:color w:val="000000"/>
                <w:sz w:val="18"/>
                <w:szCs w:val="18"/>
              </w:rPr>
              <w:t>County Assessors</w:t>
            </w:r>
          </w:p>
        </w:tc>
      </w:tr>
      <w:tr w:rsidR="00555728" w:rsidRPr="00555728" w:rsidTr="00B44FB7">
        <w:trPr>
          <w:trHeight w:val="288"/>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728" w:rsidRPr="00555728" w:rsidRDefault="00555728" w:rsidP="00555728">
            <w:pPr>
              <w:spacing w:after="0" w:line="240" w:lineRule="auto"/>
              <w:rPr>
                <w:rFonts w:ascii="Calibri" w:eastAsia="Times New Roman" w:hAnsi="Calibri" w:cs="Times New Roman"/>
                <w:color w:val="000000"/>
                <w:sz w:val="18"/>
                <w:szCs w:val="18"/>
              </w:rPr>
            </w:pPr>
            <w:r w:rsidRPr="00555728">
              <w:rPr>
                <w:rFonts w:ascii="Calibri" w:eastAsia="Times New Roman" w:hAnsi="Calibri" w:cs="Times New Roman"/>
                <w:color w:val="000000"/>
                <w:sz w:val="18"/>
                <w:szCs w:val="18"/>
              </w:rPr>
              <w:t>Address points</w:t>
            </w:r>
          </w:p>
        </w:tc>
        <w:tc>
          <w:tcPr>
            <w:tcW w:w="4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728" w:rsidRPr="00555728" w:rsidRDefault="00555728" w:rsidP="00555728">
            <w:pPr>
              <w:spacing w:after="0" w:line="240" w:lineRule="auto"/>
              <w:rPr>
                <w:rFonts w:ascii="Calibri" w:eastAsia="Times New Roman" w:hAnsi="Calibri" w:cs="Times New Roman"/>
                <w:color w:val="000000"/>
                <w:sz w:val="18"/>
                <w:szCs w:val="18"/>
              </w:rPr>
            </w:pPr>
            <w:r w:rsidRPr="00555728">
              <w:rPr>
                <w:rFonts w:ascii="Calibri" w:eastAsia="Times New Roman" w:hAnsi="Calibri" w:cs="Times New Roman"/>
                <w:color w:val="000000"/>
                <w:sz w:val="18"/>
                <w:szCs w:val="18"/>
              </w:rPr>
              <w:t>City/County Planners</w:t>
            </w:r>
          </w:p>
        </w:tc>
      </w:tr>
      <w:tr w:rsidR="00555728" w:rsidRPr="00555728" w:rsidTr="00B44FB7">
        <w:trPr>
          <w:trHeight w:val="288"/>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728" w:rsidRPr="00555728" w:rsidRDefault="00555728" w:rsidP="00555728">
            <w:pPr>
              <w:spacing w:after="0" w:line="240" w:lineRule="auto"/>
              <w:rPr>
                <w:rFonts w:ascii="Calibri" w:eastAsia="Times New Roman" w:hAnsi="Calibri" w:cs="Times New Roman"/>
                <w:color w:val="000000"/>
                <w:sz w:val="18"/>
                <w:szCs w:val="18"/>
              </w:rPr>
            </w:pPr>
            <w:r w:rsidRPr="00555728">
              <w:rPr>
                <w:rFonts w:ascii="Calibri" w:eastAsia="Times New Roman" w:hAnsi="Calibri" w:cs="Times New Roman"/>
                <w:color w:val="000000"/>
                <w:sz w:val="18"/>
                <w:szCs w:val="18"/>
              </w:rPr>
              <w:t>Zoning</w:t>
            </w:r>
          </w:p>
        </w:tc>
        <w:tc>
          <w:tcPr>
            <w:tcW w:w="4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728" w:rsidRPr="00555728" w:rsidRDefault="00555728" w:rsidP="00555728">
            <w:pPr>
              <w:spacing w:after="0" w:line="240" w:lineRule="auto"/>
              <w:rPr>
                <w:rFonts w:ascii="Calibri" w:eastAsia="Times New Roman" w:hAnsi="Calibri" w:cs="Times New Roman"/>
                <w:color w:val="000000"/>
                <w:sz w:val="18"/>
                <w:szCs w:val="18"/>
              </w:rPr>
            </w:pPr>
            <w:r w:rsidRPr="00555728">
              <w:rPr>
                <w:rFonts w:ascii="Calibri" w:eastAsia="Times New Roman" w:hAnsi="Calibri" w:cs="Times New Roman"/>
                <w:color w:val="000000"/>
                <w:sz w:val="18"/>
                <w:szCs w:val="18"/>
              </w:rPr>
              <w:t>City/County Planners</w:t>
            </w:r>
          </w:p>
        </w:tc>
      </w:tr>
      <w:tr w:rsidR="00555728" w:rsidRPr="00555728" w:rsidTr="00B44FB7">
        <w:trPr>
          <w:trHeight w:val="288"/>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728" w:rsidRPr="00555728" w:rsidRDefault="00555728" w:rsidP="00555728">
            <w:pPr>
              <w:spacing w:after="0" w:line="240" w:lineRule="auto"/>
              <w:rPr>
                <w:rFonts w:ascii="Calibri" w:eastAsia="Times New Roman" w:hAnsi="Calibri" w:cs="Times New Roman"/>
                <w:color w:val="000000"/>
                <w:sz w:val="18"/>
                <w:szCs w:val="18"/>
              </w:rPr>
            </w:pPr>
            <w:r w:rsidRPr="00555728">
              <w:rPr>
                <w:rFonts w:ascii="Calibri" w:eastAsia="Times New Roman" w:hAnsi="Calibri" w:cs="Times New Roman"/>
                <w:color w:val="000000"/>
                <w:sz w:val="18"/>
                <w:szCs w:val="18"/>
              </w:rPr>
              <w:t>Land Use</w:t>
            </w:r>
          </w:p>
        </w:tc>
        <w:tc>
          <w:tcPr>
            <w:tcW w:w="4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728" w:rsidRPr="00555728" w:rsidRDefault="00555728" w:rsidP="00555728">
            <w:pPr>
              <w:spacing w:after="0" w:line="240" w:lineRule="auto"/>
              <w:rPr>
                <w:rFonts w:ascii="Calibri" w:eastAsia="Times New Roman" w:hAnsi="Calibri" w:cs="Times New Roman"/>
                <w:color w:val="000000"/>
                <w:sz w:val="18"/>
                <w:szCs w:val="18"/>
              </w:rPr>
            </w:pPr>
            <w:r w:rsidRPr="00555728">
              <w:rPr>
                <w:rFonts w:ascii="Calibri" w:eastAsia="Times New Roman" w:hAnsi="Calibri" w:cs="Times New Roman"/>
                <w:color w:val="000000"/>
                <w:sz w:val="18"/>
                <w:szCs w:val="18"/>
              </w:rPr>
              <w:t>City/County Planners</w:t>
            </w:r>
          </w:p>
        </w:tc>
      </w:tr>
      <w:tr w:rsidR="00555728" w:rsidRPr="00555728" w:rsidTr="00B44FB7">
        <w:trPr>
          <w:trHeight w:val="288"/>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728" w:rsidRPr="00555728" w:rsidRDefault="00555728" w:rsidP="00555728">
            <w:pPr>
              <w:spacing w:after="0" w:line="240" w:lineRule="auto"/>
              <w:rPr>
                <w:rFonts w:ascii="Calibri" w:eastAsia="Times New Roman" w:hAnsi="Calibri" w:cs="Times New Roman"/>
                <w:color w:val="000000"/>
                <w:sz w:val="18"/>
                <w:szCs w:val="18"/>
              </w:rPr>
            </w:pPr>
            <w:r w:rsidRPr="00555728">
              <w:rPr>
                <w:rFonts w:ascii="Calibri" w:eastAsia="Times New Roman" w:hAnsi="Calibri" w:cs="Times New Roman"/>
                <w:color w:val="000000"/>
                <w:sz w:val="18"/>
                <w:szCs w:val="18"/>
              </w:rPr>
              <w:t>Roads</w:t>
            </w:r>
          </w:p>
        </w:tc>
        <w:tc>
          <w:tcPr>
            <w:tcW w:w="4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728" w:rsidRPr="00555728" w:rsidRDefault="00555728" w:rsidP="00555728">
            <w:pPr>
              <w:spacing w:after="0" w:line="240" w:lineRule="auto"/>
              <w:rPr>
                <w:rFonts w:ascii="Calibri" w:eastAsia="Times New Roman" w:hAnsi="Calibri" w:cs="Times New Roman"/>
                <w:color w:val="000000"/>
                <w:sz w:val="18"/>
                <w:szCs w:val="18"/>
              </w:rPr>
            </w:pPr>
            <w:r w:rsidRPr="00555728">
              <w:rPr>
                <w:rFonts w:ascii="Calibri" w:eastAsia="Times New Roman" w:hAnsi="Calibri" w:cs="Times New Roman"/>
                <w:color w:val="000000"/>
                <w:sz w:val="18"/>
                <w:szCs w:val="18"/>
              </w:rPr>
              <w:t>City/County Public Works</w:t>
            </w:r>
          </w:p>
        </w:tc>
      </w:tr>
      <w:tr w:rsidR="00555728" w:rsidRPr="00555728" w:rsidTr="00B44FB7">
        <w:trPr>
          <w:trHeight w:val="288"/>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728" w:rsidRPr="00555728" w:rsidRDefault="00555728" w:rsidP="00555728">
            <w:pPr>
              <w:spacing w:after="0" w:line="240" w:lineRule="auto"/>
              <w:rPr>
                <w:rFonts w:ascii="Calibri" w:eastAsia="Times New Roman" w:hAnsi="Calibri" w:cs="Times New Roman"/>
                <w:color w:val="000000"/>
                <w:sz w:val="18"/>
                <w:szCs w:val="18"/>
              </w:rPr>
            </w:pPr>
            <w:r w:rsidRPr="00555728">
              <w:rPr>
                <w:rFonts w:ascii="Calibri" w:eastAsia="Times New Roman" w:hAnsi="Calibri" w:cs="Times New Roman"/>
                <w:color w:val="000000"/>
                <w:sz w:val="18"/>
                <w:szCs w:val="18"/>
              </w:rPr>
              <w:t>Utilities</w:t>
            </w:r>
          </w:p>
        </w:tc>
        <w:tc>
          <w:tcPr>
            <w:tcW w:w="4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728" w:rsidRPr="00555728" w:rsidRDefault="00555728" w:rsidP="00555728">
            <w:pPr>
              <w:spacing w:after="0" w:line="240" w:lineRule="auto"/>
              <w:rPr>
                <w:rFonts w:ascii="Calibri" w:eastAsia="Times New Roman" w:hAnsi="Calibri" w:cs="Times New Roman"/>
                <w:color w:val="000000"/>
                <w:sz w:val="18"/>
                <w:szCs w:val="18"/>
              </w:rPr>
            </w:pPr>
            <w:r w:rsidRPr="00555728">
              <w:rPr>
                <w:rFonts w:ascii="Calibri" w:eastAsia="Times New Roman" w:hAnsi="Calibri" w:cs="Times New Roman"/>
                <w:color w:val="000000"/>
                <w:sz w:val="18"/>
                <w:szCs w:val="18"/>
              </w:rPr>
              <w:t>City/County Public Works &amp; Special districts</w:t>
            </w:r>
          </w:p>
        </w:tc>
      </w:tr>
      <w:tr w:rsidR="00555728" w:rsidRPr="00555728" w:rsidTr="00B44FB7">
        <w:trPr>
          <w:trHeight w:val="288"/>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728" w:rsidRPr="00555728" w:rsidRDefault="00555728" w:rsidP="00555728">
            <w:pPr>
              <w:spacing w:after="0" w:line="240" w:lineRule="auto"/>
              <w:rPr>
                <w:rFonts w:ascii="Calibri" w:eastAsia="Times New Roman" w:hAnsi="Calibri" w:cs="Times New Roman"/>
                <w:color w:val="000000"/>
                <w:sz w:val="18"/>
                <w:szCs w:val="18"/>
              </w:rPr>
            </w:pPr>
            <w:r w:rsidRPr="00555728">
              <w:rPr>
                <w:rFonts w:ascii="Calibri" w:eastAsia="Times New Roman" w:hAnsi="Calibri" w:cs="Times New Roman"/>
                <w:color w:val="000000"/>
                <w:sz w:val="18"/>
                <w:szCs w:val="18"/>
              </w:rPr>
              <w:t>City limits</w:t>
            </w:r>
          </w:p>
        </w:tc>
        <w:tc>
          <w:tcPr>
            <w:tcW w:w="4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728" w:rsidRPr="00555728" w:rsidRDefault="00555728" w:rsidP="00555728">
            <w:pPr>
              <w:spacing w:after="0" w:line="240" w:lineRule="auto"/>
              <w:rPr>
                <w:rFonts w:ascii="Calibri" w:eastAsia="Times New Roman" w:hAnsi="Calibri" w:cs="Times New Roman"/>
                <w:color w:val="000000"/>
                <w:sz w:val="18"/>
                <w:szCs w:val="18"/>
              </w:rPr>
            </w:pPr>
            <w:r w:rsidRPr="00555728">
              <w:rPr>
                <w:rFonts w:ascii="Calibri" w:eastAsia="Times New Roman" w:hAnsi="Calibri" w:cs="Times New Roman"/>
                <w:color w:val="000000"/>
                <w:sz w:val="18"/>
                <w:szCs w:val="18"/>
              </w:rPr>
              <w:t>City Clerks</w:t>
            </w:r>
          </w:p>
        </w:tc>
      </w:tr>
      <w:tr w:rsidR="00555728" w:rsidRPr="00555728" w:rsidTr="00B44FB7">
        <w:trPr>
          <w:trHeight w:val="288"/>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728" w:rsidRPr="00555728" w:rsidRDefault="00555728" w:rsidP="00555728">
            <w:pPr>
              <w:spacing w:after="0" w:line="240" w:lineRule="auto"/>
              <w:rPr>
                <w:rFonts w:ascii="Calibri" w:eastAsia="Times New Roman" w:hAnsi="Calibri" w:cs="Times New Roman"/>
                <w:color w:val="000000"/>
                <w:sz w:val="18"/>
                <w:szCs w:val="18"/>
              </w:rPr>
            </w:pPr>
            <w:r w:rsidRPr="00555728">
              <w:rPr>
                <w:rFonts w:ascii="Calibri" w:eastAsia="Times New Roman" w:hAnsi="Calibri" w:cs="Times New Roman"/>
                <w:color w:val="000000"/>
                <w:sz w:val="18"/>
                <w:szCs w:val="18"/>
              </w:rPr>
              <w:t>UGBs</w:t>
            </w:r>
          </w:p>
        </w:tc>
        <w:tc>
          <w:tcPr>
            <w:tcW w:w="4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728" w:rsidRPr="00555728" w:rsidRDefault="00555728" w:rsidP="00555728">
            <w:pPr>
              <w:spacing w:after="0" w:line="240" w:lineRule="auto"/>
              <w:rPr>
                <w:rFonts w:ascii="Calibri" w:eastAsia="Times New Roman" w:hAnsi="Calibri" w:cs="Times New Roman"/>
                <w:color w:val="000000"/>
                <w:sz w:val="18"/>
                <w:szCs w:val="18"/>
              </w:rPr>
            </w:pPr>
            <w:r w:rsidRPr="00555728">
              <w:rPr>
                <w:rFonts w:ascii="Calibri" w:eastAsia="Times New Roman" w:hAnsi="Calibri" w:cs="Times New Roman"/>
                <w:color w:val="000000"/>
                <w:sz w:val="18"/>
                <w:szCs w:val="18"/>
              </w:rPr>
              <w:t>County Planners</w:t>
            </w:r>
          </w:p>
        </w:tc>
      </w:tr>
      <w:tr w:rsidR="00555728" w:rsidRPr="00555728" w:rsidTr="00B44FB7">
        <w:trPr>
          <w:trHeight w:val="288"/>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728" w:rsidRPr="00555728" w:rsidRDefault="00555728" w:rsidP="00555728">
            <w:pPr>
              <w:spacing w:after="0" w:line="240" w:lineRule="auto"/>
              <w:rPr>
                <w:rFonts w:ascii="Calibri" w:eastAsia="Times New Roman" w:hAnsi="Calibri" w:cs="Times New Roman"/>
                <w:color w:val="000000"/>
                <w:sz w:val="18"/>
                <w:szCs w:val="18"/>
              </w:rPr>
            </w:pPr>
            <w:r w:rsidRPr="00555728">
              <w:rPr>
                <w:rFonts w:ascii="Calibri" w:eastAsia="Times New Roman" w:hAnsi="Calibri" w:cs="Times New Roman"/>
                <w:color w:val="000000"/>
                <w:sz w:val="18"/>
                <w:szCs w:val="18"/>
              </w:rPr>
              <w:t>Election districts</w:t>
            </w:r>
          </w:p>
        </w:tc>
        <w:tc>
          <w:tcPr>
            <w:tcW w:w="4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728" w:rsidRPr="00555728" w:rsidRDefault="00555728" w:rsidP="00555728">
            <w:pPr>
              <w:spacing w:after="0" w:line="240" w:lineRule="auto"/>
              <w:rPr>
                <w:rFonts w:ascii="Calibri" w:eastAsia="Times New Roman" w:hAnsi="Calibri" w:cs="Times New Roman"/>
                <w:color w:val="000000"/>
                <w:sz w:val="18"/>
                <w:szCs w:val="18"/>
              </w:rPr>
            </w:pPr>
            <w:r w:rsidRPr="00555728">
              <w:rPr>
                <w:rFonts w:ascii="Calibri" w:eastAsia="Times New Roman" w:hAnsi="Calibri" w:cs="Times New Roman"/>
                <w:color w:val="000000"/>
                <w:sz w:val="18"/>
                <w:szCs w:val="18"/>
              </w:rPr>
              <w:t>County Clerks</w:t>
            </w:r>
          </w:p>
        </w:tc>
      </w:tr>
      <w:tr w:rsidR="00555728" w:rsidRPr="00555728" w:rsidTr="00B44FB7">
        <w:trPr>
          <w:trHeight w:val="288"/>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728" w:rsidRPr="00555728" w:rsidRDefault="00555728" w:rsidP="00555728">
            <w:pPr>
              <w:spacing w:after="0" w:line="240" w:lineRule="auto"/>
              <w:rPr>
                <w:rFonts w:ascii="Calibri" w:eastAsia="Times New Roman" w:hAnsi="Calibri" w:cs="Times New Roman"/>
                <w:color w:val="000000"/>
                <w:sz w:val="18"/>
                <w:szCs w:val="18"/>
              </w:rPr>
            </w:pPr>
            <w:r w:rsidRPr="00555728">
              <w:rPr>
                <w:rFonts w:ascii="Calibri" w:eastAsia="Times New Roman" w:hAnsi="Calibri" w:cs="Times New Roman"/>
                <w:color w:val="000000"/>
                <w:sz w:val="18"/>
                <w:szCs w:val="18"/>
              </w:rPr>
              <w:t>School districts</w:t>
            </w:r>
          </w:p>
        </w:tc>
        <w:tc>
          <w:tcPr>
            <w:tcW w:w="4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728" w:rsidRPr="00555728" w:rsidRDefault="00555728" w:rsidP="00555728">
            <w:pPr>
              <w:spacing w:after="0" w:line="240" w:lineRule="auto"/>
              <w:rPr>
                <w:rFonts w:ascii="Calibri" w:eastAsia="Times New Roman" w:hAnsi="Calibri" w:cs="Times New Roman"/>
                <w:color w:val="000000"/>
                <w:sz w:val="18"/>
                <w:szCs w:val="18"/>
              </w:rPr>
            </w:pPr>
            <w:r w:rsidRPr="00555728">
              <w:rPr>
                <w:rFonts w:ascii="Calibri" w:eastAsia="Times New Roman" w:hAnsi="Calibri" w:cs="Times New Roman"/>
                <w:color w:val="000000"/>
                <w:sz w:val="18"/>
                <w:szCs w:val="18"/>
              </w:rPr>
              <w:t>Special Districts</w:t>
            </w:r>
          </w:p>
        </w:tc>
      </w:tr>
      <w:tr w:rsidR="00555728" w:rsidRPr="00555728" w:rsidTr="00B44FB7">
        <w:trPr>
          <w:trHeight w:val="288"/>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728" w:rsidRPr="00555728" w:rsidRDefault="00555728" w:rsidP="00555728">
            <w:pPr>
              <w:spacing w:after="0" w:line="240" w:lineRule="auto"/>
              <w:rPr>
                <w:rFonts w:ascii="Calibri" w:eastAsia="Times New Roman" w:hAnsi="Calibri" w:cs="Times New Roman"/>
                <w:color w:val="000000"/>
                <w:sz w:val="18"/>
                <w:szCs w:val="18"/>
              </w:rPr>
            </w:pPr>
            <w:r w:rsidRPr="00555728">
              <w:rPr>
                <w:rFonts w:ascii="Calibri" w:eastAsia="Times New Roman" w:hAnsi="Calibri" w:cs="Times New Roman"/>
                <w:color w:val="000000"/>
                <w:sz w:val="18"/>
                <w:szCs w:val="18"/>
              </w:rPr>
              <w:t>Police/Fire stations</w:t>
            </w:r>
          </w:p>
        </w:tc>
        <w:tc>
          <w:tcPr>
            <w:tcW w:w="4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5728" w:rsidRPr="00555728" w:rsidRDefault="00555728" w:rsidP="00555728">
            <w:pPr>
              <w:spacing w:after="0" w:line="240" w:lineRule="auto"/>
              <w:rPr>
                <w:rFonts w:ascii="Calibri" w:eastAsia="Times New Roman" w:hAnsi="Calibri" w:cs="Times New Roman"/>
                <w:color w:val="000000"/>
                <w:sz w:val="18"/>
                <w:szCs w:val="18"/>
              </w:rPr>
            </w:pPr>
            <w:r w:rsidRPr="00555728">
              <w:rPr>
                <w:rFonts w:ascii="Calibri" w:eastAsia="Times New Roman" w:hAnsi="Calibri" w:cs="Times New Roman"/>
                <w:color w:val="000000"/>
                <w:sz w:val="18"/>
                <w:szCs w:val="18"/>
              </w:rPr>
              <w:t>City/County Public Safety</w:t>
            </w:r>
          </w:p>
        </w:tc>
      </w:tr>
    </w:tbl>
    <w:p w:rsidR="00A73F8A" w:rsidRDefault="00A73F8A" w:rsidP="00E63358">
      <w:pPr>
        <w:spacing w:before="120"/>
      </w:pPr>
      <w:r>
        <w:t>State agencies also need to create and maintain Framework data to carry out their programmatic mission, but often do not have the capacity to do so.</w:t>
      </w:r>
    </w:p>
    <w:p w:rsidR="00A73F8A" w:rsidRDefault="00A73F8A" w:rsidP="00E63358">
      <w:r>
        <w:t>The lack of organizational capacity is particularly noticeable and problematic in rural local governments.  This is also, not coincidentally, where it is often most difficult to provide consistent government services.  The data needed to support many government services simply doesn’t exist or exists in unstandardized forms in rural areas across the state.  These public bodies, and in some cases their counterparts in more urbanized areas, do not have the knowledgeable, experienced staff, technology, or funding to create and maintain the data.</w:t>
      </w:r>
    </w:p>
    <w:p w:rsidR="00F703D3" w:rsidRDefault="00FC41E9" w:rsidP="00E63358">
      <w:r>
        <w:t xml:space="preserve">In order to have consistent local level data for the entire state, the data must be aggregated at a regional or state level.  </w:t>
      </w:r>
      <w:r w:rsidR="00A00474">
        <w:t xml:space="preserve">At the regional level, only a handful of aggregating public bodies exist and </w:t>
      </w:r>
      <w:r w:rsidR="004C143F">
        <w:t xml:space="preserve">they </w:t>
      </w:r>
      <w:r w:rsidR="00A00474">
        <w:t xml:space="preserve">only operate over limited geographies, not the entire state. </w:t>
      </w:r>
      <w:r w:rsidR="007F0353">
        <w:t xml:space="preserve">At the state level, </w:t>
      </w:r>
      <w:r w:rsidR="00A00474">
        <w:t xml:space="preserve">the </w:t>
      </w:r>
      <w:r w:rsidR="007F0353">
        <w:t xml:space="preserve">many individual Framework data elements created </w:t>
      </w:r>
      <w:r w:rsidR="00A00474">
        <w:t xml:space="preserve">at the other levels of government are </w:t>
      </w:r>
      <w:r w:rsidR="007F0353">
        <w:t xml:space="preserve">aggregated by multiple public </w:t>
      </w:r>
      <w:r w:rsidR="00A00474">
        <w:t>bodies</w:t>
      </w:r>
      <w:r w:rsidR="007F0353">
        <w:t xml:space="preserve">, </w:t>
      </w:r>
      <w:r w:rsidR="004C143F">
        <w:t>but</w:t>
      </w:r>
      <w:r w:rsidR="007F0353">
        <w:t xml:space="preserve"> no single public body is responsible for compiling all Framework data elements into a comprehensive statewide format. </w:t>
      </w:r>
      <w:r w:rsidR="00E53656">
        <w:t xml:space="preserve">While it is not required that a single public body have the latter responsibility, a single public body </w:t>
      </w:r>
      <w:r w:rsidR="00BF3C3D">
        <w:t xml:space="preserve">may be able </w:t>
      </w:r>
      <w:r w:rsidR="00BF3C3D" w:rsidRPr="004C143F">
        <w:t>to improve the outcomes by facilitating and coordinating</w:t>
      </w:r>
      <w:r w:rsidR="00E53656" w:rsidRPr="004C143F">
        <w:t xml:space="preserve"> the activities of the public bodies participating</w:t>
      </w:r>
      <w:r w:rsidR="00E53656">
        <w:t xml:space="preserve"> in the Framework data program</w:t>
      </w:r>
      <w:r w:rsidR="00F703D3">
        <w:t xml:space="preserve"> to a greater extent than is currently possible</w:t>
      </w:r>
      <w:r w:rsidR="00E53656">
        <w:t>.</w:t>
      </w:r>
      <w:r w:rsidR="00515897">
        <w:t xml:space="preserve"> </w:t>
      </w:r>
    </w:p>
    <w:p w:rsidR="004D4196" w:rsidRDefault="00764931" w:rsidP="00303AAE">
      <w:pPr>
        <w:pStyle w:val="Heading3"/>
        <w:numPr>
          <w:ilvl w:val="0"/>
          <w:numId w:val="8"/>
        </w:numPr>
      </w:pPr>
      <w:r>
        <w:t>Fees public bodies charge each other for Framework data</w:t>
      </w:r>
    </w:p>
    <w:p w:rsidR="00764931" w:rsidRDefault="00E6544E" w:rsidP="00764931">
      <w:r>
        <w:t>Council</w:t>
      </w:r>
      <w:r w:rsidR="00C012F9">
        <w:t xml:space="preserve"> </w:t>
      </w:r>
      <w:r w:rsidR="00764931">
        <w:t>research into h</w:t>
      </w:r>
      <w:r w:rsidR="005D6614">
        <w:t>ow public bodies</w:t>
      </w:r>
      <w:r w:rsidR="00764931">
        <w:t xml:space="preserve"> pay fees for Framework data</w:t>
      </w:r>
      <w:r w:rsidR="005D6614">
        <w:t>, and how they use those fees,</w:t>
      </w:r>
      <w:r w:rsidR="00764931">
        <w:t xml:space="preserve"> revealed a nuanced picture.  While some public organizations already freely share </w:t>
      </w:r>
      <w:r w:rsidR="00515897">
        <w:t xml:space="preserve">data that is costly to produce, </w:t>
      </w:r>
      <w:r w:rsidR="00C012F9">
        <w:t xml:space="preserve">a few </w:t>
      </w:r>
      <w:r w:rsidR="005D6614">
        <w:t xml:space="preserve">depend on </w:t>
      </w:r>
      <w:r w:rsidR="006672BB">
        <w:t xml:space="preserve">fee </w:t>
      </w:r>
      <w:r w:rsidR="00764931">
        <w:t xml:space="preserve">revenue to </w:t>
      </w:r>
      <w:r w:rsidR="00C012F9">
        <w:t xml:space="preserve">partly </w:t>
      </w:r>
      <w:r w:rsidR="00764931">
        <w:t xml:space="preserve">fund data creation, aggregation, and standardization.  In addition, while GEO would prefer to use regional public bodies as data aggregators and standardizers to minimize transaction costs, not all </w:t>
      </w:r>
      <w:r w:rsidR="00C012F9">
        <w:t>parts of the state have an organization providing</w:t>
      </w:r>
      <w:r w:rsidR="00764931">
        <w:t xml:space="preserve"> such services.  </w:t>
      </w:r>
      <w:r w:rsidR="00C012F9">
        <w:t xml:space="preserve">OGIC </w:t>
      </w:r>
      <w:r w:rsidR="00764931">
        <w:t xml:space="preserve">thus proposes to devote </w:t>
      </w:r>
      <w:r w:rsidR="00C012F9">
        <w:t xml:space="preserve">state </w:t>
      </w:r>
      <w:r w:rsidR="00764931">
        <w:t>revenues to mitigate multiple challenges:</w:t>
      </w:r>
    </w:p>
    <w:p w:rsidR="00764931" w:rsidRDefault="00515897" w:rsidP="00764931">
      <w:pPr>
        <w:pStyle w:val="ListParagraph"/>
        <w:numPr>
          <w:ilvl w:val="0"/>
          <w:numId w:val="11"/>
        </w:numPr>
      </w:pPr>
      <w:r>
        <w:t xml:space="preserve">replace </w:t>
      </w:r>
      <w:r w:rsidR="005D6614">
        <w:t>charges</w:t>
      </w:r>
      <w:r w:rsidR="00764931">
        <w:t xml:space="preserve"> between public bodies that </w:t>
      </w:r>
      <w:r w:rsidR="00764931" w:rsidRPr="004A141A">
        <w:t>ORS</w:t>
      </w:r>
      <w:r w:rsidR="005D6614">
        <w:t xml:space="preserve"> </w:t>
      </w:r>
      <w:r w:rsidR="00764931" w:rsidRPr="004A141A">
        <w:t>276A.500</w:t>
      </w:r>
      <w:r w:rsidR="00764931">
        <w:t xml:space="preserve"> will eliminate</w:t>
      </w:r>
      <w:r>
        <w:t xml:space="preserve"> and</w:t>
      </w:r>
      <w:r w:rsidR="004C32C7">
        <w:t xml:space="preserve"> </w:t>
      </w:r>
      <w:r w:rsidR="005D6614">
        <w:t xml:space="preserve">that currently </w:t>
      </w:r>
      <w:r w:rsidR="00C012F9">
        <w:t xml:space="preserve">sustain a portion of all </w:t>
      </w:r>
      <w:r w:rsidR="004C32C7">
        <w:t xml:space="preserve">existing </w:t>
      </w:r>
      <w:r w:rsidR="00C012F9">
        <w:t>regional aggregators’ ongoing operations</w:t>
      </w:r>
      <w:r w:rsidR="004C32C7">
        <w:t>;</w:t>
      </w:r>
    </w:p>
    <w:p w:rsidR="00764931" w:rsidRDefault="00C012F9" w:rsidP="00764931">
      <w:pPr>
        <w:pStyle w:val="ListParagraph"/>
        <w:numPr>
          <w:ilvl w:val="0"/>
          <w:numId w:val="11"/>
        </w:numPr>
      </w:pPr>
      <w:r>
        <w:t>create data standardization tools for the state and regional aggregators</w:t>
      </w:r>
      <w:r w:rsidR="00764931">
        <w:t>;</w:t>
      </w:r>
      <w:r w:rsidR="004C32C7">
        <w:t xml:space="preserve"> and,</w:t>
      </w:r>
    </w:p>
    <w:p w:rsidR="00C012F9" w:rsidRDefault="00C012F9" w:rsidP="003A2243">
      <w:pPr>
        <w:pStyle w:val="ListParagraph"/>
        <w:numPr>
          <w:ilvl w:val="0"/>
          <w:numId w:val="11"/>
        </w:numPr>
        <w:spacing w:after="120"/>
      </w:pPr>
      <w:r>
        <w:t xml:space="preserve">provide funding for </w:t>
      </w:r>
      <w:r w:rsidR="00764931">
        <w:t>new aggregation and standardization capa</w:t>
      </w:r>
      <w:r w:rsidR="00A90A2C">
        <w:t>city</w:t>
      </w:r>
      <w:r w:rsidR="00764931">
        <w:t xml:space="preserve"> for </w:t>
      </w:r>
      <w:r>
        <w:t>region</w:t>
      </w:r>
      <w:r w:rsidR="004C32C7">
        <w:t>al</w:t>
      </w:r>
      <w:r>
        <w:t xml:space="preserve"> </w:t>
      </w:r>
      <w:r w:rsidR="00764931">
        <w:t>public bodies that do not yet have such services</w:t>
      </w:r>
      <w:r w:rsidR="004C32C7">
        <w:t>.</w:t>
      </w:r>
    </w:p>
    <w:p w:rsidR="00574E6D" w:rsidRDefault="00574E6D" w:rsidP="003A2243">
      <w:pPr>
        <w:pStyle w:val="Heading1"/>
        <w:spacing w:before="120"/>
      </w:pPr>
      <w:r>
        <w:t xml:space="preserve">Organizational </w:t>
      </w:r>
      <w:r w:rsidR="006141C0">
        <w:t xml:space="preserve">Capacity </w:t>
      </w:r>
      <w:r>
        <w:t>Vision</w:t>
      </w:r>
    </w:p>
    <w:p w:rsidR="00C009DB" w:rsidRDefault="00B76D77">
      <w:r>
        <w:t xml:space="preserve">The development, </w:t>
      </w:r>
      <w:r w:rsidR="00BE100E">
        <w:t>aggregation, and standardization</w:t>
      </w:r>
      <w:r>
        <w:t xml:space="preserve"> of Framework data is by nature a cooperative enterprise spread across many Oregon public bodies:  cities, counties, </w:t>
      </w:r>
      <w:r w:rsidR="00BE100E">
        <w:t>regions, and special districts</w:t>
      </w:r>
      <w:r>
        <w:t xml:space="preserve">.  Collectively, this cooperative enterprise now spends </w:t>
      </w:r>
      <w:r w:rsidR="00882843">
        <w:t xml:space="preserve">an estimated </w:t>
      </w:r>
      <w:r w:rsidR="00BE100E">
        <w:rPr>
          <w:rFonts w:ascii="Calibri" w:hAnsi="Calibri"/>
          <w:color w:val="000000"/>
        </w:rPr>
        <w:t>$31 million</w:t>
      </w:r>
      <w:r w:rsidR="00882843">
        <w:rPr>
          <w:rFonts w:ascii="Calibri" w:hAnsi="Calibri"/>
          <w:color w:val="000000"/>
        </w:rPr>
        <w:t xml:space="preserve"> per year to develop</w:t>
      </w:r>
      <w:r w:rsidR="00685C11">
        <w:rPr>
          <w:rFonts w:ascii="Calibri" w:hAnsi="Calibri"/>
          <w:color w:val="000000"/>
        </w:rPr>
        <w:t xml:space="preserve"> and maintain Framework data sets</w:t>
      </w:r>
      <w:r>
        <w:t xml:space="preserve">.  </w:t>
      </w:r>
      <w:r w:rsidR="00685C11">
        <w:t>The Council</w:t>
      </w:r>
      <w:r>
        <w:t xml:space="preserve"> proposes to leverage </w:t>
      </w:r>
      <w:r w:rsidR="00D231C6">
        <w:t>the strengths provided by this</w:t>
      </w:r>
      <w:r>
        <w:t xml:space="preserve"> distributed responsibility by enhancing existing bodies’ capacities and creating new capacities at the points in the enterprise where it will be most effective.  </w:t>
      </w:r>
      <w:r w:rsidR="006141C0">
        <w:t>This takes the form of:</w:t>
      </w:r>
    </w:p>
    <w:p w:rsidR="00C009DB" w:rsidRDefault="006141C0">
      <w:pPr>
        <w:pStyle w:val="ListParagraph"/>
        <w:numPr>
          <w:ilvl w:val="0"/>
          <w:numId w:val="26"/>
        </w:numPr>
      </w:pPr>
      <w:r>
        <w:t xml:space="preserve">Empowering those “closest to the </w:t>
      </w:r>
      <w:r w:rsidR="004C32C7">
        <w:t>data source</w:t>
      </w:r>
      <w:r>
        <w:t xml:space="preserve">” (e.g. cities, counties, districts, various state agencies) to </w:t>
      </w:r>
      <w:r w:rsidR="00D231C6">
        <w:t>develop</w:t>
      </w:r>
      <w:r>
        <w:t xml:space="preserve"> the primary data;</w:t>
      </w:r>
    </w:p>
    <w:p w:rsidR="00C009DB" w:rsidRDefault="006141C0">
      <w:pPr>
        <w:pStyle w:val="ListParagraph"/>
        <w:numPr>
          <w:ilvl w:val="0"/>
          <w:numId w:val="26"/>
        </w:numPr>
      </w:pPr>
      <w:r>
        <w:t>Enabling selected regional, county, or academic organizations to aggregate and standardize the data for both the state and their own purpose;</w:t>
      </w:r>
      <w:r w:rsidR="004C32C7">
        <w:t xml:space="preserve"> and,</w:t>
      </w:r>
    </w:p>
    <w:p w:rsidR="00C009DB" w:rsidRDefault="006141C0">
      <w:pPr>
        <w:pStyle w:val="ListParagraph"/>
        <w:numPr>
          <w:ilvl w:val="0"/>
          <w:numId w:val="26"/>
        </w:numPr>
      </w:pPr>
      <w:r>
        <w:t xml:space="preserve">Establishing effective </w:t>
      </w:r>
      <w:r w:rsidR="00EF75C5">
        <w:t xml:space="preserve">governance, </w:t>
      </w:r>
      <w:r>
        <w:t>coordination, data management, and accountability mechanisms in the state Geo</w:t>
      </w:r>
      <w:r w:rsidR="004C32C7">
        <w:t>spatial</w:t>
      </w:r>
      <w:r>
        <w:t xml:space="preserve"> Enterprise Office (GEO) and </w:t>
      </w:r>
      <w:r w:rsidR="004C32C7">
        <w:t>the Council.</w:t>
      </w:r>
    </w:p>
    <w:p w:rsidR="009E2899" w:rsidRDefault="009E2899" w:rsidP="009E2899">
      <w:pPr>
        <w:pStyle w:val="Caption"/>
        <w:ind w:left="360"/>
      </w:pPr>
      <w:r>
        <w:t>Figure 1: Vision for distributed workflow and process</w:t>
      </w:r>
    </w:p>
    <w:p w:rsidR="009E2899" w:rsidRDefault="009E2899">
      <w:r w:rsidRPr="009E2899">
        <w:rPr>
          <w:noProof/>
        </w:rPr>
        <w:drawing>
          <wp:inline distT="0" distB="0" distL="0" distR="0" wp14:anchorId="5DCA4FB7" wp14:editId="289D1600">
            <wp:extent cx="5943600" cy="25654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6384" b="16869"/>
                    <a:stretch/>
                  </pic:blipFill>
                  <pic:spPr bwMode="auto">
                    <a:xfrm>
                      <a:off x="0" y="0"/>
                      <a:ext cx="5943600" cy="2565400"/>
                    </a:xfrm>
                    <a:prstGeom prst="rect">
                      <a:avLst/>
                    </a:prstGeom>
                    <a:ln>
                      <a:noFill/>
                    </a:ln>
                    <a:extLst>
                      <a:ext uri="{53640926-AAD7-44D8-BBD7-CCE9431645EC}">
                        <a14:shadowObscured xmlns:a14="http://schemas.microsoft.com/office/drawing/2010/main"/>
                      </a:ext>
                    </a:extLst>
                  </pic:spPr>
                </pic:pic>
              </a:graphicData>
            </a:graphic>
          </wp:inline>
        </w:drawing>
      </w:r>
    </w:p>
    <w:p w:rsidR="00C009DB" w:rsidRDefault="006141C0">
      <w:pPr>
        <w:pStyle w:val="Heading2"/>
      </w:pPr>
      <w:r>
        <w:t>City, County, and Special District Capacity-Building</w:t>
      </w:r>
    </w:p>
    <w:p w:rsidR="00BE42A9" w:rsidRDefault="00BE100E" w:rsidP="00BE42A9">
      <w:r>
        <w:t>Local governments are the custodians of many of the Framework data sets.  In a few instances, a state agency administers a program that helps to standardize a particular data set.  In one or two instances, a state agency aggregates the local data to create a state-wide Framework data set.  But in the majority of cases, the Framework data developed and maintained at the local level is not standardized or aggregated</w:t>
      </w:r>
      <w:r w:rsidR="00756D72">
        <w:t xml:space="preserve"> to form a state-wide data set.  As noted below, there are a few places around the state where regional standardization and aggregation of local level data takes place.  But there are gaps in that process, as well.</w:t>
      </w:r>
    </w:p>
    <w:p w:rsidR="00756D72" w:rsidRDefault="00756D72" w:rsidP="00BE42A9">
      <w:r>
        <w:t>The vision of the Council is to build the capacity, where it doesn’t currently exist or where it needs to be augmented, in all local governments to develop</w:t>
      </w:r>
      <w:r w:rsidR="0067481B">
        <w:t xml:space="preserve"> and </w:t>
      </w:r>
      <w:r>
        <w:t>maintain standardized Framework data.  As noted earlier, this will enable the consistent provision of government services across the state.  The current gap in Framework data development correspond</w:t>
      </w:r>
      <w:r w:rsidR="0067481B">
        <w:t>s</w:t>
      </w:r>
      <w:r>
        <w:t xml:space="preserve"> to </w:t>
      </w:r>
      <w:r w:rsidR="0067481B">
        <w:t xml:space="preserve">a </w:t>
      </w:r>
      <w:r>
        <w:t>gap in local government organizational capacity to develop and maintain Framework data.</w:t>
      </w:r>
    </w:p>
    <w:p w:rsidR="00756D72" w:rsidRPr="00BE42A9" w:rsidRDefault="00756D72" w:rsidP="00BE42A9">
      <w:r>
        <w:t xml:space="preserve">Local governments need startup and ongoing funding support from the state.  </w:t>
      </w:r>
      <w:r w:rsidR="00D35A91">
        <w:t>As noted earlier, ma</w:t>
      </w:r>
      <w:r>
        <w:t>ny local governments, particularly in rural areas, lac</w:t>
      </w:r>
      <w:r w:rsidR="00D35A91">
        <w:t xml:space="preserve">k the experienced staff, technology, or funding to create and maintain the data.  </w:t>
      </w:r>
      <w:r w:rsidR="009D5E0E">
        <w:t xml:space="preserve">The Council estimates the startup costs to build necessary capacity in local governments to be </w:t>
      </w:r>
      <w:r w:rsidR="009D5E0E" w:rsidRPr="00172740">
        <w:t xml:space="preserve">approximately </w:t>
      </w:r>
      <w:r w:rsidR="00172740" w:rsidRPr="002D4DE6">
        <w:t>$4 million</w:t>
      </w:r>
      <w:r w:rsidR="00172740" w:rsidRPr="00172740">
        <w:t>.</w:t>
      </w:r>
      <w:r w:rsidR="00172740">
        <w:t xml:space="preserve">  </w:t>
      </w:r>
      <w:r w:rsidR="00D35A91">
        <w:t>It is estimated that Framework data maintenance will require about $3.4 mill</w:t>
      </w:r>
      <w:r w:rsidR="009D5E0E">
        <w:t>ion annually in additional funding</w:t>
      </w:r>
      <w:r w:rsidR="00D35A91">
        <w:t xml:space="preserve"> at the local government level</w:t>
      </w:r>
      <w:r w:rsidR="009D5E0E">
        <w:t>, above current expenditures.</w:t>
      </w:r>
      <w:r w:rsidR="004701E8">
        <w:t xml:space="preserve">  It will not be feasible to build capacity for Framework data development and maintenance in every local government across the state; some are simply too small.  In those cases, regional bodies will manage the process, as described below.</w:t>
      </w:r>
    </w:p>
    <w:p w:rsidR="00C009DB" w:rsidRDefault="006141C0">
      <w:pPr>
        <w:pStyle w:val="Heading2"/>
      </w:pPr>
      <w:r>
        <w:t>Regional Capacity-Building</w:t>
      </w:r>
      <w:r w:rsidR="004F1000">
        <w:t xml:space="preserve"> &amp; </w:t>
      </w:r>
      <w:r w:rsidR="005B0A9A">
        <w:t>Data Charge</w:t>
      </w:r>
      <w:r w:rsidR="004F1000">
        <w:t xml:space="preserve"> Backfill</w:t>
      </w:r>
    </w:p>
    <w:p w:rsidR="00C009DB" w:rsidRDefault="006D0849">
      <w:r>
        <w:t>The role of r</w:t>
      </w:r>
      <w:r w:rsidR="00D43E75">
        <w:t xml:space="preserve">egional bodies in the overall business model is to aggregate and standardize Framework data.  This vision is inspired by </w:t>
      </w:r>
      <w:r>
        <w:t xml:space="preserve">existing </w:t>
      </w:r>
      <w:r w:rsidR="00D43E75">
        <w:t xml:space="preserve">regions in the state (Metro, Lane Council of Governments) that are already doing </w:t>
      </w:r>
      <w:r>
        <w:t>this task</w:t>
      </w:r>
      <w:r w:rsidR="00D43E75">
        <w:t xml:space="preserve">.  The attractions of regional data aggregation efforts are several:  they meet business needs at the regional level (e.g. for transportation planning under </w:t>
      </w:r>
      <w:r w:rsidR="00C84D80">
        <w:t xml:space="preserve">state and </w:t>
      </w:r>
      <w:r w:rsidR="00D43E75">
        <w:t>federal requirements), they provide data for academic research and education</w:t>
      </w:r>
      <w:r w:rsidR="00935734">
        <w:t>al opportunities</w:t>
      </w:r>
      <w:r w:rsidR="00D43E75">
        <w:t xml:space="preserve"> for universities and community colleges, and they make the state’s task of gathering standardized data much easier.  </w:t>
      </w:r>
    </w:p>
    <w:p w:rsidR="00C009DB" w:rsidRDefault="00D43E75">
      <w:r>
        <w:t xml:space="preserve">This proposal envisions eleven regions statewide (see map below).  Metro, Lane Council of Governments (LCOG), </w:t>
      </w:r>
      <w:r w:rsidR="00C84D80">
        <w:t>some other COGs</w:t>
      </w:r>
      <w:r w:rsidR="00C3759E">
        <w:t xml:space="preserve">, </w:t>
      </w:r>
      <w:r w:rsidR="00F61F90" w:rsidRPr="00F80030">
        <w:t>some counties</w:t>
      </w:r>
      <w:r w:rsidR="00C3759E">
        <w:t xml:space="preserve">, and </w:t>
      </w:r>
      <w:r w:rsidR="00935734" w:rsidRPr="0088484E">
        <w:t>some</w:t>
      </w:r>
      <w:r w:rsidR="00C3759E">
        <w:t xml:space="preserve"> community colleges have expressed interest in sustaining or developing</w:t>
      </w:r>
      <w:r w:rsidR="00BE42A9">
        <w:t xml:space="preserve"> the necessary capacity if the </w:t>
      </w:r>
      <w:r w:rsidR="00057CB7">
        <w:t>Legislature</w:t>
      </w:r>
      <w:r w:rsidR="00C3759E">
        <w:t xml:space="preserve"> provides the support described below.</w:t>
      </w:r>
    </w:p>
    <w:p w:rsidR="00C009DB" w:rsidRDefault="004F1000" w:rsidP="00A767A1">
      <w:pPr>
        <w:pStyle w:val="Caption"/>
        <w:keepNext/>
      </w:pPr>
      <w:r>
        <w:t xml:space="preserve">Figure </w:t>
      </w:r>
      <w:r w:rsidR="00A21EA3">
        <w:t>2</w:t>
      </w:r>
      <w:r>
        <w:t>: Proposed Geographies for Regional Aggregation/Standardization Programs</w:t>
      </w:r>
    </w:p>
    <w:p w:rsidR="00C009DB" w:rsidRDefault="00C009DB">
      <w:r>
        <w:rPr>
          <w:noProof/>
        </w:rPr>
        <w:drawing>
          <wp:inline distT="0" distB="0" distL="0" distR="0" wp14:anchorId="1D1281BA" wp14:editId="6A0780AE">
            <wp:extent cx="4912070" cy="3311974"/>
            <wp:effectExtent l="0" t="0" r="317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4929665" cy="3323838"/>
                    </a:xfrm>
                    <a:prstGeom prst="rect">
                      <a:avLst/>
                    </a:prstGeom>
                  </pic:spPr>
                </pic:pic>
              </a:graphicData>
            </a:graphic>
          </wp:inline>
        </w:drawing>
      </w:r>
    </w:p>
    <w:p w:rsidR="005B0A9A" w:rsidRDefault="004F1000">
      <w:r>
        <w:t xml:space="preserve">Like the other capacity-building efforts in this proposal, the regional bodies need both startup and ongoing funding support </w:t>
      </w:r>
      <w:r w:rsidR="004D6044">
        <w:t xml:space="preserve">from the state </w:t>
      </w:r>
      <w:r>
        <w:t xml:space="preserve">as </w:t>
      </w:r>
      <w:r w:rsidR="00935734">
        <w:t xml:space="preserve">summarized in the table </w:t>
      </w:r>
      <w:r>
        <w:t xml:space="preserve">below.  The </w:t>
      </w:r>
      <w:r w:rsidR="00935734">
        <w:t xml:space="preserve">total necessary state </w:t>
      </w:r>
      <w:r>
        <w:t xml:space="preserve">support </w:t>
      </w:r>
      <w:r w:rsidR="00935734">
        <w:t>is based on estimates that vary the state proportion depending upon the existing capabilities of public bodies in the eleven regions.  In some cases</w:t>
      </w:r>
      <w:r w:rsidR="005B0A9A">
        <w:t>,</w:t>
      </w:r>
      <w:r w:rsidR="00935734">
        <w:t xml:space="preserve"> like the Portland </w:t>
      </w:r>
      <w:r w:rsidR="006D0849">
        <w:t xml:space="preserve">Metro </w:t>
      </w:r>
      <w:r w:rsidR="00935734">
        <w:t>and Lane County areas</w:t>
      </w:r>
      <w:r w:rsidR="005B0A9A">
        <w:t>,</w:t>
      </w:r>
      <w:r w:rsidR="00935734">
        <w:t xml:space="preserve"> state investments will be only 10% to 2</w:t>
      </w:r>
      <w:r w:rsidR="006C588E">
        <w:t>5</w:t>
      </w:r>
      <w:r w:rsidR="00935734">
        <w:t>% of the total program costs</w:t>
      </w:r>
      <w:r w:rsidR="0053408C">
        <w:t>.  I</w:t>
      </w:r>
      <w:r w:rsidR="00935734">
        <w:t>n other areas with no existing data aggregation programs</w:t>
      </w:r>
      <w:r w:rsidR="0053408C">
        <w:t>,</w:t>
      </w:r>
      <w:r w:rsidR="00935734">
        <w:t xml:space="preserve"> the state would support </w:t>
      </w:r>
      <w:r w:rsidR="00936E38">
        <w:t xml:space="preserve">all </w:t>
      </w:r>
      <w:r w:rsidR="00C0039A">
        <w:t xml:space="preserve">startup and </w:t>
      </w:r>
      <w:r w:rsidR="00935734">
        <w:t xml:space="preserve">ongoing costs.  </w:t>
      </w:r>
      <w:r w:rsidR="004D6044">
        <w:t>The state investment will leverage a variety of</w:t>
      </w:r>
      <w:r>
        <w:t xml:space="preserve"> local </w:t>
      </w:r>
      <w:r w:rsidR="004D6044">
        <w:t xml:space="preserve">expenditures, </w:t>
      </w:r>
      <w:r>
        <w:t>catalyze new organizational capacity in parts of the state now without a regional aggregation program</w:t>
      </w:r>
      <w:r w:rsidR="004D6044">
        <w:t>,</w:t>
      </w:r>
      <w:r>
        <w:t xml:space="preserve"> and enable existing programs to create tools </w:t>
      </w:r>
      <w:r w:rsidR="004D6044">
        <w:t xml:space="preserve">that can </w:t>
      </w:r>
      <w:r>
        <w:t>standardize data to the state format.</w:t>
      </w:r>
      <w:r w:rsidR="00C012F9">
        <w:t xml:space="preserve">  </w:t>
      </w:r>
    </w:p>
    <w:p w:rsidR="00C009DB" w:rsidRDefault="005B0A9A">
      <w:r>
        <w:t>The regional aggregators will serve many of the small jurisdictions within their regional boundaries.  But there will also be many small jurisdictions that can and should have help building the capacity to create, maintain and manage Framework data themselves</w:t>
      </w:r>
      <w:r w:rsidR="004701E8">
        <w:t>, as noted earlier</w:t>
      </w:r>
      <w:r>
        <w:t>.  The Council will work with the public bodies, through the governance and accountability mechanisms described later in this report, to determine the best approach for each public body.</w:t>
      </w:r>
    </w:p>
    <w:p w:rsidR="00310775" w:rsidRDefault="00310775"/>
    <w:p w:rsidR="00C009DB" w:rsidRDefault="004F1000" w:rsidP="00310775">
      <w:pPr>
        <w:pStyle w:val="Caption"/>
        <w:spacing w:after="120"/>
      </w:pPr>
      <w:r w:rsidRPr="00882843">
        <w:t xml:space="preserve">Table </w:t>
      </w:r>
      <w:r w:rsidR="00C20C1F">
        <w:t>3</w:t>
      </w:r>
      <w:r w:rsidRPr="00882843">
        <w:t>: Regional Program Funding Requirements</w:t>
      </w:r>
    </w:p>
    <w:p w:rsidR="006E5A9B" w:rsidRDefault="006E5A9B">
      <w:r w:rsidRPr="006E5A9B">
        <w:rPr>
          <w:noProof/>
        </w:rPr>
        <w:drawing>
          <wp:inline distT="0" distB="0" distL="0" distR="0" wp14:anchorId="0CB284E3" wp14:editId="148BB83A">
            <wp:extent cx="5943600" cy="34801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48018"/>
                    </a:xfrm>
                    <a:prstGeom prst="rect">
                      <a:avLst/>
                    </a:prstGeom>
                    <a:noFill/>
                    <a:ln>
                      <a:noFill/>
                    </a:ln>
                  </pic:spPr>
                </pic:pic>
              </a:graphicData>
            </a:graphic>
          </wp:inline>
        </w:drawing>
      </w:r>
    </w:p>
    <w:p w:rsidR="00C009DB" w:rsidRDefault="0053408C">
      <w:r>
        <w:t>Council</w:t>
      </w:r>
      <w:r w:rsidR="003B26F9">
        <w:t xml:space="preserve"> research found that regional public bodies’ practice of charging </w:t>
      </w:r>
      <w:r w:rsidR="005B0A9A">
        <w:t>other public bodies</w:t>
      </w:r>
      <w:r w:rsidR="003B26F9">
        <w:t xml:space="preserve"> for data has actually been declining</w:t>
      </w:r>
      <w:r w:rsidR="006D0849">
        <w:t xml:space="preserve"> </w:t>
      </w:r>
      <w:r w:rsidR="007A5C1A">
        <w:t>over time</w:t>
      </w:r>
      <w:r w:rsidR="003B26F9">
        <w:t xml:space="preserve">.  Only a few regions still charge </w:t>
      </w:r>
      <w:r w:rsidR="005B0A9A">
        <w:t xml:space="preserve">other </w:t>
      </w:r>
      <w:r w:rsidR="003B26F9">
        <w:t xml:space="preserve">public bodies for data (although many public bodies still charge the private sector).  The </w:t>
      </w:r>
      <w:r w:rsidR="00C012F9">
        <w:t xml:space="preserve">ongoing </w:t>
      </w:r>
      <w:r w:rsidR="003B26F9">
        <w:t>funding above is sufficient to cover a state share of actual program costs and to backfill the f</w:t>
      </w:r>
      <w:r w:rsidR="005B0A9A">
        <w:t>unds</w:t>
      </w:r>
      <w:r w:rsidR="00A21EA3">
        <w:t xml:space="preserve"> lost</w:t>
      </w:r>
      <w:r w:rsidR="003B26F9">
        <w:t xml:space="preserve"> when the </w:t>
      </w:r>
      <w:r w:rsidR="00057CB7">
        <w:t>Legislature</w:t>
      </w:r>
      <w:r w:rsidR="007A5C1A">
        <w:t xml:space="preserve"> decides it is time to explicitly</w:t>
      </w:r>
      <w:r w:rsidR="003B26F9">
        <w:t xml:space="preserve"> prohibit </w:t>
      </w:r>
      <w:r w:rsidR="007A5C1A">
        <w:t>public bodie</w:t>
      </w:r>
      <w:r w:rsidR="00A21EA3">
        <w:t xml:space="preserve">s from charging each other </w:t>
      </w:r>
      <w:r w:rsidR="007A5C1A">
        <w:t>for data</w:t>
      </w:r>
      <w:r w:rsidR="003B26F9">
        <w:t>.</w:t>
      </w:r>
    </w:p>
    <w:p w:rsidR="00C009DB" w:rsidRDefault="006141C0">
      <w:pPr>
        <w:pStyle w:val="Heading2"/>
      </w:pPr>
      <w:r>
        <w:t>State Agency Capacity-Building</w:t>
      </w:r>
    </w:p>
    <w:p w:rsidR="00186EDB" w:rsidRDefault="0053408C">
      <w:pPr>
        <w:rPr>
          <w:rFonts w:cs="Times New Roman"/>
          <w:color w:val="000000"/>
        </w:rPr>
      </w:pPr>
      <w:r>
        <w:rPr>
          <w:rFonts w:cs="Times New Roman"/>
          <w:color w:val="000000"/>
        </w:rPr>
        <w:t xml:space="preserve">The State Chief Information Officer has proposed a Policy Option Package for the 2019-2021 biennium for the Geospatial Enterprise Office.  </w:t>
      </w:r>
      <w:r w:rsidRPr="00F80030">
        <w:rPr>
          <w:rFonts w:cs="Times New Roman"/>
          <w:color w:val="000000"/>
        </w:rPr>
        <w:t xml:space="preserve">This package provides the </w:t>
      </w:r>
      <w:r w:rsidR="00A20112">
        <w:rPr>
          <w:rFonts w:cs="Times New Roman"/>
          <w:color w:val="000000"/>
        </w:rPr>
        <w:t xml:space="preserve">initial </w:t>
      </w:r>
      <w:r w:rsidRPr="00F80030">
        <w:rPr>
          <w:rFonts w:cs="Times New Roman"/>
          <w:color w:val="000000"/>
        </w:rPr>
        <w:t>resources</w:t>
      </w:r>
      <w:r w:rsidR="00A20112">
        <w:rPr>
          <w:rFonts w:cs="Times New Roman"/>
          <w:color w:val="000000"/>
        </w:rPr>
        <w:t xml:space="preserve"> needed to</w:t>
      </w:r>
      <w:r w:rsidRPr="00F80030">
        <w:rPr>
          <w:rFonts w:cs="Times New Roman"/>
          <w:color w:val="000000"/>
        </w:rPr>
        <w:t xml:space="preserve"> (a) enable public bodies to securely share the most critical, authoritative statewide data sets that are essential to the accomplishment of virtually all the primary government missions; (b) substantially</w:t>
      </w:r>
      <w:r w:rsidR="00186EDB" w:rsidRPr="00186EDB">
        <w:rPr>
          <w:rFonts w:cs="Times New Roman"/>
          <w:color w:val="000000"/>
        </w:rPr>
        <w:t xml:space="preserve"> increase the usefulness of Framework</w:t>
      </w:r>
      <w:r w:rsidRPr="00F80030">
        <w:rPr>
          <w:rFonts w:cs="Times New Roman"/>
          <w:color w:val="000000"/>
        </w:rPr>
        <w:t xml:space="preserve"> data for the government business it is built to support; (c</w:t>
      </w:r>
      <w:r w:rsidR="00186EDB" w:rsidRPr="00186EDB">
        <w:rPr>
          <w:rFonts w:cs="Times New Roman"/>
          <w:color w:val="000000"/>
        </w:rPr>
        <w:t>) greatly enhance access to Framework</w:t>
      </w:r>
      <w:r w:rsidRPr="00F80030">
        <w:rPr>
          <w:rFonts w:cs="Times New Roman"/>
          <w:color w:val="000000"/>
        </w:rPr>
        <w:t xml:space="preserve"> data for Oregon government to meet the outcome-based performance management needs of the public safety, natural resources, education, health, transportation and economic development communities; and (d) enable data access in underserved rural areas of the state for local government, tribal, and special district partners.</w:t>
      </w:r>
      <w:r w:rsidR="00186EDB">
        <w:rPr>
          <w:rFonts w:cs="Times New Roman"/>
          <w:color w:val="000000"/>
        </w:rPr>
        <w:t xml:space="preserve">  </w:t>
      </w:r>
    </w:p>
    <w:p w:rsidR="00186EDB" w:rsidRDefault="00186EDB">
      <w:pPr>
        <w:rPr>
          <w:rFonts w:cs="Times New Roman"/>
          <w:color w:val="000000"/>
        </w:rPr>
      </w:pPr>
      <w:r>
        <w:rPr>
          <w:rFonts w:cs="Times New Roman"/>
          <w:color w:val="000000"/>
        </w:rPr>
        <w:t>There are a number of state agencies that currently participate or lead in the development of Framework data sets, as noted below.  Those agencies</w:t>
      </w:r>
      <w:r w:rsidR="00324D7D">
        <w:rPr>
          <w:rFonts w:cs="Times New Roman"/>
          <w:color w:val="000000"/>
        </w:rPr>
        <w:t xml:space="preserve"> will</w:t>
      </w:r>
      <w:r>
        <w:rPr>
          <w:rFonts w:cs="Times New Roman"/>
          <w:color w:val="000000"/>
        </w:rPr>
        <w:t xml:space="preserve"> benefit specifically as additional public body partners are able to participate more fully in the Framework process.</w:t>
      </w:r>
    </w:p>
    <w:p w:rsidR="006A2BD4" w:rsidRDefault="006A2BD4">
      <w:pPr>
        <w:pStyle w:val="ListParagraph"/>
        <w:numPr>
          <w:ilvl w:val="0"/>
          <w:numId w:val="28"/>
        </w:numPr>
        <w:rPr>
          <w:rFonts w:cs="Times New Roman"/>
          <w:color w:val="000000"/>
          <w:sz w:val="18"/>
          <w:szCs w:val="18"/>
        </w:rPr>
        <w:sectPr w:rsidR="006A2BD4" w:rsidSect="00723D95">
          <w:headerReference w:type="default" r:id="rId12"/>
          <w:footerReference w:type="default" r:id="rId13"/>
          <w:pgSz w:w="12240" w:h="15840"/>
          <w:pgMar w:top="1440" w:right="1440" w:bottom="1440" w:left="1440" w:header="720" w:footer="720" w:gutter="0"/>
          <w:cols w:space="720"/>
          <w:docGrid w:linePitch="360"/>
        </w:sectPr>
      </w:pPr>
    </w:p>
    <w:p w:rsidR="00186EDB" w:rsidRPr="00F80030" w:rsidRDefault="00324D7D" w:rsidP="00F80030">
      <w:pPr>
        <w:pStyle w:val="ListParagraph"/>
        <w:numPr>
          <w:ilvl w:val="0"/>
          <w:numId w:val="28"/>
        </w:numPr>
        <w:rPr>
          <w:rFonts w:cs="Times New Roman"/>
          <w:color w:val="000000"/>
          <w:sz w:val="18"/>
          <w:szCs w:val="18"/>
        </w:rPr>
      </w:pPr>
      <w:r w:rsidRPr="00F80030">
        <w:rPr>
          <w:rFonts w:cs="Times New Roman"/>
          <w:color w:val="000000"/>
          <w:sz w:val="18"/>
          <w:szCs w:val="18"/>
        </w:rPr>
        <w:t>DOR</w:t>
      </w:r>
      <w:r w:rsidRPr="00F80030">
        <w:rPr>
          <w:rFonts w:cs="Times New Roman"/>
          <w:color w:val="000000"/>
          <w:sz w:val="18"/>
          <w:szCs w:val="18"/>
        </w:rPr>
        <w:tab/>
      </w:r>
      <w:r w:rsidRPr="00F80030">
        <w:rPr>
          <w:rFonts w:cs="Times New Roman"/>
          <w:color w:val="000000"/>
          <w:sz w:val="18"/>
          <w:szCs w:val="18"/>
        </w:rPr>
        <w:tab/>
        <w:t>Tax lots</w:t>
      </w:r>
    </w:p>
    <w:p w:rsidR="00324D7D" w:rsidRPr="00F80030" w:rsidRDefault="00324D7D" w:rsidP="00F80030">
      <w:pPr>
        <w:pStyle w:val="ListParagraph"/>
        <w:numPr>
          <w:ilvl w:val="0"/>
          <w:numId w:val="28"/>
        </w:numPr>
        <w:ind w:right="-360"/>
        <w:rPr>
          <w:rFonts w:cs="Times New Roman"/>
          <w:color w:val="000000"/>
          <w:sz w:val="18"/>
          <w:szCs w:val="18"/>
        </w:rPr>
      </w:pPr>
      <w:r w:rsidRPr="00F80030">
        <w:rPr>
          <w:rFonts w:cs="Times New Roman"/>
          <w:color w:val="000000"/>
          <w:sz w:val="18"/>
          <w:szCs w:val="18"/>
        </w:rPr>
        <w:t>ODOT</w:t>
      </w:r>
      <w:r w:rsidR="00C0039A">
        <w:rPr>
          <w:rFonts w:cs="Times New Roman"/>
          <w:color w:val="000000"/>
          <w:sz w:val="18"/>
          <w:szCs w:val="18"/>
        </w:rPr>
        <w:t>/ODF</w:t>
      </w:r>
      <w:r w:rsidRPr="00F80030">
        <w:rPr>
          <w:rFonts w:cs="Times New Roman"/>
          <w:color w:val="000000"/>
          <w:sz w:val="18"/>
          <w:szCs w:val="18"/>
        </w:rPr>
        <w:tab/>
        <w:t>Roads, city limits, survey control</w:t>
      </w:r>
    </w:p>
    <w:p w:rsidR="006A2BD4" w:rsidRPr="005E3182" w:rsidRDefault="006A2BD4" w:rsidP="006A2BD4">
      <w:pPr>
        <w:pStyle w:val="ListParagraph"/>
        <w:numPr>
          <w:ilvl w:val="0"/>
          <w:numId w:val="28"/>
        </w:numPr>
        <w:ind w:right="-1170"/>
        <w:rPr>
          <w:rFonts w:cs="Times New Roman"/>
          <w:color w:val="000000"/>
          <w:sz w:val="18"/>
          <w:szCs w:val="18"/>
        </w:rPr>
      </w:pPr>
      <w:r w:rsidRPr="005E3182">
        <w:rPr>
          <w:rFonts w:cs="Times New Roman"/>
          <w:color w:val="000000"/>
          <w:sz w:val="18"/>
          <w:szCs w:val="18"/>
        </w:rPr>
        <w:t>DLCD</w:t>
      </w:r>
      <w:r w:rsidRPr="005E3182">
        <w:rPr>
          <w:rFonts w:cs="Times New Roman"/>
          <w:color w:val="000000"/>
          <w:sz w:val="18"/>
          <w:szCs w:val="18"/>
        </w:rPr>
        <w:tab/>
      </w:r>
      <w:r w:rsidRPr="005E3182">
        <w:rPr>
          <w:rFonts w:cs="Times New Roman"/>
          <w:color w:val="000000"/>
          <w:sz w:val="18"/>
          <w:szCs w:val="18"/>
        </w:rPr>
        <w:tab/>
        <w:t>Land use, zoning, UGBs, coastline</w:t>
      </w:r>
    </w:p>
    <w:p w:rsidR="00324D7D" w:rsidRPr="00F80030" w:rsidRDefault="00324D7D" w:rsidP="00F80030">
      <w:pPr>
        <w:pStyle w:val="ListParagraph"/>
        <w:numPr>
          <w:ilvl w:val="0"/>
          <w:numId w:val="28"/>
        </w:numPr>
        <w:rPr>
          <w:rFonts w:cs="Times New Roman"/>
          <w:color w:val="000000"/>
          <w:sz w:val="18"/>
          <w:szCs w:val="18"/>
        </w:rPr>
      </w:pPr>
      <w:r w:rsidRPr="00F80030">
        <w:rPr>
          <w:rFonts w:cs="Times New Roman"/>
          <w:color w:val="000000"/>
          <w:sz w:val="18"/>
          <w:szCs w:val="18"/>
        </w:rPr>
        <w:t>OWRD</w:t>
      </w:r>
      <w:r w:rsidRPr="00F80030">
        <w:rPr>
          <w:rFonts w:cs="Times New Roman"/>
          <w:color w:val="000000"/>
          <w:sz w:val="18"/>
          <w:szCs w:val="18"/>
        </w:rPr>
        <w:tab/>
      </w:r>
      <w:r w:rsidRPr="00F80030">
        <w:rPr>
          <w:rFonts w:cs="Times New Roman"/>
          <w:color w:val="000000"/>
          <w:sz w:val="18"/>
          <w:szCs w:val="18"/>
        </w:rPr>
        <w:tab/>
        <w:t>Surface water</w:t>
      </w:r>
      <w:r w:rsidR="006A2BD4" w:rsidRPr="006A2BD4">
        <w:rPr>
          <w:rFonts w:cs="Times New Roman"/>
          <w:color w:val="000000"/>
          <w:sz w:val="18"/>
          <w:szCs w:val="18"/>
        </w:rPr>
        <w:t>, wells</w:t>
      </w:r>
    </w:p>
    <w:p w:rsidR="00324D7D" w:rsidRPr="00F80030" w:rsidRDefault="00324D7D" w:rsidP="00F80030">
      <w:pPr>
        <w:pStyle w:val="ListParagraph"/>
        <w:numPr>
          <w:ilvl w:val="0"/>
          <w:numId w:val="28"/>
        </w:numPr>
        <w:rPr>
          <w:rFonts w:cs="Times New Roman"/>
          <w:color w:val="000000"/>
          <w:sz w:val="18"/>
          <w:szCs w:val="18"/>
        </w:rPr>
      </w:pPr>
      <w:r w:rsidRPr="00F80030">
        <w:rPr>
          <w:rFonts w:cs="Times New Roman"/>
          <w:color w:val="000000"/>
          <w:sz w:val="18"/>
          <w:szCs w:val="18"/>
        </w:rPr>
        <w:t>DHS/OHA</w:t>
      </w:r>
      <w:r w:rsidRPr="00F80030">
        <w:rPr>
          <w:rFonts w:cs="Times New Roman"/>
          <w:color w:val="000000"/>
          <w:sz w:val="18"/>
          <w:szCs w:val="18"/>
        </w:rPr>
        <w:tab/>
      </w:r>
      <w:r>
        <w:rPr>
          <w:rFonts w:cs="Times New Roman"/>
          <w:color w:val="000000"/>
          <w:sz w:val="18"/>
          <w:szCs w:val="18"/>
        </w:rPr>
        <w:tab/>
      </w:r>
      <w:r w:rsidRPr="00F80030">
        <w:rPr>
          <w:rFonts w:cs="Times New Roman"/>
          <w:color w:val="000000"/>
          <w:sz w:val="18"/>
          <w:szCs w:val="18"/>
        </w:rPr>
        <w:t>School Districts</w:t>
      </w:r>
    </w:p>
    <w:p w:rsidR="00324D7D" w:rsidRPr="00F80030" w:rsidRDefault="00324D7D" w:rsidP="00F80030">
      <w:pPr>
        <w:pStyle w:val="ListParagraph"/>
        <w:numPr>
          <w:ilvl w:val="0"/>
          <w:numId w:val="28"/>
        </w:numPr>
        <w:rPr>
          <w:rFonts w:cs="Times New Roman"/>
          <w:color w:val="000000"/>
          <w:sz w:val="18"/>
          <w:szCs w:val="18"/>
        </w:rPr>
      </w:pPr>
      <w:r w:rsidRPr="00F80030">
        <w:rPr>
          <w:rFonts w:cs="Times New Roman"/>
          <w:color w:val="000000"/>
          <w:sz w:val="18"/>
          <w:szCs w:val="18"/>
        </w:rPr>
        <w:t>DOGAMI</w:t>
      </w:r>
      <w:r w:rsidRPr="00F80030">
        <w:rPr>
          <w:rFonts w:cs="Times New Roman"/>
          <w:color w:val="000000"/>
          <w:sz w:val="18"/>
          <w:szCs w:val="18"/>
        </w:rPr>
        <w:tab/>
      </w:r>
      <w:r>
        <w:rPr>
          <w:rFonts w:cs="Times New Roman"/>
          <w:color w:val="000000"/>
          <w:sz w:val="18"/>
          <w:szCs w:val="18"/>
        </w:rPr>
        <w:tab/>
      </w:r>
      <w:r w:rsidRPr="00F80030">
        <w:rPr>
          <w:rFonts w:cs="Times New Roman"/>
          <w:color w:val="000000"/>
          <w:sz w:val="18"/>
          <w:szCs w:val="18"/>
        </w:rPr>
        <w:t>Elevation, hazards</w:t>
      </w:r>
    </w:p>
    <w:p w:rsidR="00324D7D" w:rsidRPr="00F80030" w:rsidRDefault="00324D7D" w:rsidP="00F80030">
      <w:pPr>
        <w:pStyle w:val="ListParagraph"/>
        <w:numPr>
          <w:ilvl w:val="0"/>
          <w:numId w:val="28"/>
        </w:numPr>
        <w:rPr>
          <w:rFonts w:cs="Times New Roman"/>
          <w:color w:val="000000"/>
          <w:sz w:val="18"/>
          <w:szCs w:val="18"/>
        </w:rPr>
      </w:pPr>
      <w:r w:rsidRPr="00F80030">
        <w:rPr>
          <w:rFonts w:cs="Times New Roman"/>
          <w:color w:val="000000"/>
          <w:sz w:val="18"/>
          <w:szCs w:val="18"/>
        </w:rPr>
        <w:t>OPRD</w:t>
      </w:r>
      <w:r w:rsidR="00C0039A">
        <w:rPr>
          <w:rFonts w:cs="Times New Roman"/>
          <w:color w:val="000000"/>
          <w:sz w:val="18"/>
          <w:szCs w:val="18"/>
        </w:rPr>
        <w:t>/ODF</w:t>
      </w:r>
      <w:r w:rsidRPr="00F80030">
        <w:rPr>
          <w:rFonts w:cs="Times New Roman"/>
          <w:color w:val="000000"/>
          <w:sz w:val="18"/>
          <w:szCs w:val="18"/>
        </w:rPr>
        <w:tab/>
        <w:t>Aerial Imagery</w:t>
      </w:r>
    </w:p>
    <w:p w:rsidR="00324D7D" w:rsidRPr="00F80030" w:rsidRDefault="00324D7D" w:rsidP="00F80030">
      <w:pPr>
        <w:pStyle w:val="ListParagraph"/>
        <w:numPr>
          <w:ilvl w:val="0"/>
          <w:numId w:val="28"/>
        </w:numPr>
        <w:rPr>
          <w:rFonts w:cs="Times New Roman"/>
          <w:color w:val="000000"/>
          <w:sz w:val="18"/>
          <w:szCs w:val="18"/>
        </w:rPr>
      </w:pPr>
      <w:r w:rsidRPr="00F80030">
        <w:rPr>
          <w:rFonts w:cs="Times New Roman"/>
          <w:color w:val="000000"/>
          <w:sz w:val="18"/>
          <w:szCs w:val="18"/>
        </w:rPr>
        <w:t>GEO</w:t>
      </w:r>
      <w:r w:rsidRPr="00F80030">
        <w:rPr>
          <w:rFonts w:cs="Times New Roman"/>
          <w:color w:val="000000"/>
          <w:sz w:val="18"/>
          <w:szCs w:val="18"/>
        </w:rPr>
        <w:tab/>
      </w:r>
      <w:r w:rsidRPr="00F80030">
        <w:rPr>
          <w:rFonts w:cs="Times New Roman"/>
          <w:color w:val="000000"/>
          <w:sz w:val="18"/>
          <w:szCs w:val="18"/>
        </w:rPr>
        <w:tab/>
        <w:t>Address points</w:t>
      </w:r>
    </w:p>
    <w:p w:rsidR="00324D7D" w:rsidRPr="00F80030" w:rsidRDefault="00324D7D" w:rsidP="00F80030">
      <w:pPr>
        <w:pStyle w:val="ListParagraph"/>
        <w:numPr>
          <w:ilvl w:val="0"/>
          <w:numId w:val="28"/>
        </w:numPr>
        <w:rPr>
          <w:rFonts w:cs="Times New Roman"/>
          <w:color w:val="000000"/>
          <w:sz w:val="18"/>
          <w:szCs w:val="18"/>
        </w:rPr>
      </w:pPr>
      <w:r w:rsidRPr="00F80030">
        <w:rPr>
          <w:rFonts w:cs="Times New Roman"/>
          <w:color w:val="000000"/>
          <w:sz w:val="18"/>
          <w:szCs w:val="18"/>
        </w:rPr>
        <w:t>OSU</w:t>
      </w:r>
      <w:r w:rsidR="006A2BD4">
        <w:rPr>
          <w:rFonts w:cs="Times New Roman"/>
          <w:color w:val="000000"/>
          <w:sz w:val="18"/>
          <w:szCs w:val="18"/>
        </w:rPr>
        <w:t>-INR</w:t>
      </w:r>
      <w:r w:rsidRPr="00F80030">
        <w:rPr>
          <w:rFonts w:cs="Times New Roman"/>
          <w:color w:val="000000"/>
          <w:sz w:val="18"/>
          <w:szCs w:val="18"/>
        </w:rPr>
        <w:tab/>
      </w:r>
      <w:r w:rsidRPr="00F80030">
        <w:rPr>
          <w:rFonts w:cs="Times New Roman"/>
          <w:color w:val="000000"/>
          <w:sz w:val="18"/>
          <w:szCs w:val="18"/>
        </w:rPr>
        <w:tab/>
        <w:t>Vegetation</w:t>
      </w:r>
      <w:r w:rsidR="006A2BD4">
        <w:rPr>
          <w:rFonts w:cs="Times New Roman"/>
          <w:color w:val="000000"/>
          <w:sz w:val="18"/>
          <w:szCs w:val="18"/>
        </w:rPr>
        <w:t>, wetlands</w:t>
      </w:r>
    </w:p>
    <w:p w:rsidR="00324D7D" w:rsidRPr="00F80030" w:rsidRDefault="00324D7D" w:rsidP="00F80030">
      <w:pPr>
        <w:pStyle w:val="ListParagraph"/>
        <w:numPr>
          <w:ilvl w:val="0"/>
          <w:numId w:val="28"/>
        </w:numPr>
        <w:rPr>
          <w:rFonts w:cs="Times New Roman"/>
          <w:color w:val="000000"/>
          <w:sz w:val="18"/>
          <w:szCs w:val="18"/>
        </w:rPr>
      </w:pPr>
      <w:r w:rsidRPr="00F80030">
        <w:rPr>
          <w:rFonts w:cs="Times New Roman"/>
          <w:color w:val="000000"/>
          <w:sz w:val="18"/>
          <w:szCs w:val="18"/>
        </w:rPr>
        <w:t>ODFW</w:t>
      </w:r>
      <w:r w:rsidRPr="00F80030">
        <w:rPr>
          <w:rFonts w:cs="Times New Roman"/>
          <w:color w:val="000000"/>
          <w:sz w:val="18"/>
          <w:szCs w:val="18"/>
        </w:rPr>
        <w:tab/>
      </w:r>
      <w:r w:rsidRPr="00F80030">
        <w:rPr>
          <w:rFonts w:cs="Times New Roman"/>
          <w:color w:val="000000"/>
          <w:sz w:val="18"/>
          <w:szCs w:val="18"/>
        </w:rPr>
        <w:tab/>
        <w:t>Fish/wildlife habitats</w:t>
      </w:r>
    </w:p>
    <w:p w:rsidR="00324D7D" w:rsidRPr="00F80030" w:rsidRDefault="00324D7D" w:rsidP="00F80030">
      <w:pPr>
        <w:pStyle w:val="ListParagraph"/>
        <w:numPr>
          <w:ilvl w:val="0"/>
          <w:numId w:val="28"/>
        </w:numPr>
        <w:rPr>
          <w:rFonts w:cs="Times New Roman"/>
          <w:color w:val="000000"/>
          <w:sz w:val="18"/>
          <w:szCs w:val="18"/>
        </w:rPr>
      </w:pPr>
      <w:r w:rsidRPr="00F80030">
        <w:rPr>
          <w:rFonts w:cs="Times New Roman"/>
          <w:color w:val="000000"/>
          <w:sz w:val="18"/>
          <w:szCs w:val="18"/>
        </w:rPr>
        <w:t>DEQ/OEM</w:t>
      </w:r>
      <w:r w:rsidRPr="00F80030">
        <w:rPr>
          <w:rFonts w:cs="Times New Roman"/>
          <w:color w:val="000000"/>
          <w:sz w:val="18"/>
          <w:szCs w:val="18"/>
        </w:rPr>
        <w:tab/>
        <w:t>Preparedness</w:t>
      </w:r>
    </w:p>
    <w:p w:rsidR="00F67EC4" w:rsidRPr="00E63358" w:rsidRDefault="00F67EC4" w:rsidP="00E63358">
      <w:pPr>
        <w:sectPr w:rsidR="00F67EC4" w:rsidRPr="00E63358" w:rsidSect="00F80030">
          <w:type w:val="continuous"/>
          <w:pgSz w:w="12240" w:h="15840"/>
          <w:pgMar w:top="1440" w:right="1440" w:bottom="1440" w:left="1440" w:header="720" w:footer="720" w:gutter="0"/>
          <w:cols w:num="2" w:space="360"/>
          <w:docGrid w:linePitch="360"/>
        </w:sectPr>
      </w:pPr>
    </w:p>
    <w:p w:rsidR="00590096" w:rsidRDefault="00E3200B" w:rsidP="00092504">
      <w:pPr>
        <w:pStyle w:val="Heading1"/>
        <w:spacing w:before="100" w:beforeAutospacing="1"/>
      </w:pPr>
      <w:r>
        <w:t xml:space="preserve">Recommended Funding </w:t>
      </w:r>
      <w:r w:rsidR="009B7F5E">
        <w:t>Mechanisms</w:t>
      </w:r>
    </w:p>
    <w:p w:rsidR="00795137" w:rsidRPr="00F81721" w:rsidRDefault="00795137" w:rsidP="005177B6">
      <w:pPr>
        <w:spacing w:after="120"/>
      </w:pPr>
      <w:r>
        <w:t>The obstacles described above create an overall shortfall between the funding that a comprehensive, statewide Framework data program needs and what public bodies collectively are now able to provide.  In this section, we describe the mechanisms for funding the Framework data program</w:t>
      </w:r>
      <w:r w:rsidR="009B7F5E">
        <w:t xml:space="preserve"> that the </w:t>
      </w:r>
      <w:r w:rsidR="002454FB">
        <w:t>Council</w:t>
      </w:r>
      <w:r w:rsidR="009B7F5E">
        <w:t xml:space="preserve"> researched to support the final recommendation</w:t>
      </w:r>
      <w:r>
        <w:t xml:space="preserve">. </w:t>
      </w:r>
    </w:p>
    <w:p w:rsidR="009A2E82" w:rsidRDefault="009A2E82" w:rsidP="00E760C3">
      <w:pPr>
        <w:spacing w:after="120"/>
      </w:pPr>
      <w:r>
        <w:t xml:space="preserve">The </w:t>
      </w:r>
      <w:r w:rsidR="002454FB">
        <w:t>Council</w:t>
      </w:r>
      <w:r>
        <w:t xml:space="preserve"> </w:t>
      </w:r>
      <w:r w:rsidR="002454FB">
        <w:t>makes the following funding recommendations:</w:t>
      </w:r>
    </w:p>
    <w:p w:rsidR="00B73672" w:rsidRDefault="0017685B" w:rsidP="00E760C3">
      <w:pPr>
        <w:pStyle w:val="ListParagraph"/>
        <w:numPr>
          <w:ilvl w:val="0"/>
          <w:numId w:val="4"/>
        </w:numPr>
        <w:spacing w:after="240"/>
      </w:pPr>
      <w:r>
        <w:t>Existing fees</w:t>
      </w:r>
      <w:r w:rsidR="00A90A2C">
        <w:t xml:space="preserve">—The </w:t>
      </w:r>
      <w:r w:rsidR="002454FB">
        <w:t>Council</w:t>
      </w:r>
      <w:r w:rsidR="000A4F9E">
        <w:t xml:space="preserve"> recommends </w:t>
      </w:r>
      <w:r w:rsidR="00B73672">
        <w:t>tapping</w:t>
      </w:r>
      <w:r w:rsidR="00101402">
        <w:t xml:space="preserve"> </w:t>
      </w:r>
      <w:r w:rsidR="000A4F9E">
        <w:t>a</w:t>
      </w:r>
      <w:r w:rsidR="000A4F9E" w:rsidRPr="000A4F9E">
        <w:t xml:space="preserve"> portion of existing fees</w:t>
      </w:r>
      <w:r w:rsidR="000A4F9E">
        <w:t xml:space="preserve"> to </w:t>
      </w:r>
      <w:r w:rsidR="00EE15E1">
        <w:t>Framework</w:t>
      </w:r>
      <w:r w:rsidR="000A4F9E">
        <w:t xml:space="preserve"> data purposes. </w:t>
      </w:r>
      <w:r w:rsidR="00B73672" w:rsidRPr="000A4F9E">
        <w:t xml:space="preserve">There are about 2,500 fees </w:t>
      </w:r>
      <w:r w:rsidR="00B73672" w:rsidRPr="00B73672">
        <w:rPr>
          <w:u w:val="single"/>
        </w:rPr>
        <w:t>administered by state agencies</w:t>
      </w:r>
      <w:r w:rsidR="00B73672" w:rsidRPr="000A4F9E">
        <w:t xml:space="preserve"> in Oregon.  Those fees generate about $2.5 billion each biennium.  </w:t>
      </w:r>
      <w:r w:rsidR="00B73672">
        <w:t>The Council identified three potential alternatives, but seeks direction from the Legislature on which is more feasible or desirable:</w:t>
      </w:r>
    </w:p>
    <w:p w:rsidR="00B73672" w:rsidRDefault="00B73672" w:rsidP="000E4813">
      <w:pPr>
        <w:pStyle w:val="ListParagraph"/>
        <w:numPr>
          <w:ilvl w:val="1"/>
          <w:numId w:val="4"/>
        </w:numPr>
        <w:spacing w:after="240"/>
        <w:ind w:left="990" w:hanging="270"/>
      </w:pPr>
      <w:r>
        <w:t>About half the</w:t>
      </w:r>
      <w:r w:rsidRPr="000A4F9E">
        <w:t xml:space="preserve"> fees </w:t>
      </w:r>
      <w:r w:rsidRPr="00B73672">
        <w:rPr>
          <w:u w:val="single"/>
        </w:rPr>
        <w:t>require</w:t>
      </w:r>
      <w:r w:rsidRPr="000A4F9E">
        <w:t xml:space="preserve"> geospatial Framework data to be properly administered</w:t>
      </w:r>
      <w:r>
        <w:t xml:space="preserve"> and those fees generate about $750 million</w:t>
      </w:r>
      <w:r w:rsidRPr="000A4F9E">
        <w:t xml:space="preserve"> ea</w:t>
      </w:r>
      <w:r>
        <w:t>ch biennium</w:t>
      </w:r>
      <w:r w:rsidRPr="000A4F9E">
        <w:t xml:space="preserve">.  </w:t>
      </w:r>
      <w:r w:rsidR="000E4813">
        <w:t xml:space="preserve">Tapping </w:t>
      </w:r>
      <w:r>
        <w:t>3.5% of the revenue generated by fees requiring Framework data would be sufficient to meet the need.  This</w:t>
      </w:r>
      <w:r w:rsidRPr="000A4F9E">
        <w:t xml:space="preserve"> </w:t>
      </w:r>
      <w:r>
        <w:t xml:space="preserve">would replace </w:t>
      </w:r>
      <w:r w:rsidRPr="000A4F9E">
        <w:t xml:space="preserve">revenue being expended </w:t>
      </w:r>
      <w:r>
        <w:t xml:space="preserve">now </w:t>
      </w:r>
      <w:r w:rsidRPr="000A4F9E">
        <w:t xml:space="preserve">by </w:t>
      </w:r>
      <w:r>
        <w:t>most</w:t>
      </w:r>
      <w:r w:rsidRPr="000A4F9E">
        <w:t xml:space="preserve"> of these fee administrators to acquire such data from a </w:t>
      </w:r>
      <w:r>
        <w:t>variety of data providers.  The</w:t>
      </w:r>
      <w:r w:rsidRPr="000A4F9E">
        <w:t xml:space="preserve"> revenue w</w:t>
      </w:r>
      <w:r>
        <w:t>ould</w:t>
      </w:r>
      <w:r w:rsidRPr="000A4F9E">
        <w:t xml:space="preserve"> support the development, aggregation, and maintenance of required authoritative Framework data from a single secure source </w:t>
      </w:r>
      <w:r>
        <w:t>which all fee administrators could</w:t>
      </w:r>
      <w:r w:rsidR="000E4813">
        <w:t xml:space="preserve"> access, thus reducing their acquisition costs.</w:t>
      </w:r>
    </w:p>
    <w:p w:rsidR="00B73672" w:rsidRDefault="000E4813" w:rsidP="000E4813">
      <w:pPr>
        <w:pStyle w:val="ListParagraph"/>
        <w:numPr>
          <w:ilvl w:val="1"/>
          <w:numId w:val="4"/>
        </w:numPr>
        <w:spacing w:after="240"/>
        <w:ind w:left="990" w:hanging="270"/>
      </w:pPr>
      <w:r>
        <w:t xml:space="preserve">A second </w:t>
      </w:r>
      <w:r w:rsidR="00B73672">
        <w:t>alternative would involv</w:t>
      </w:r>
      <w:r>
        <w:t>e tapping</w:t>
      </w:r>
      <w:r w:rsidR="00B73672">
        <w:t xml:space="preserve"> a larger portion of a smaller number of fees that generate significant revenue.  This approach would be calibrated so as not to negatively impact economic development or vulnerable populations.</w:t>
      </w:r>
      <w:r w:rsidR="00141CE1">
        <w:t xml:space="preserve">  </w:t>
      </w:r>
    </w:p>
    <w:p w:rsidR="00B73672" w:rsidRDefault="00B73672" w:rsidP="00310775">
      <w:pPr>
        <w:pStyle w:val="ListParagraph"/>
        <w:numPr>
          <w:ilvl w:val="1"/>
          <w:numId w:val="4"/>
        </w:numPr>
        <w:spacing w:after="120"/>
        <w:ind w:left="994" w:hanging="274"/>
      </w:pPr>
      <w:r>
        <w:t xml:space="preserve">All fees would benefit from more consistent, standardized Framework data statewide.  The funding shortfall would be covered if 1% of all such fees were </w:t>
      </w:r>
      <w:r w:rsidRPr="000A4F9E">
        <w:t>allocated for geospatial Framework expenses.</w:t>
      </w:r>
    </w:p>
    <w:p w:rsidR="0017685B" w:rsidRPr="00E760C3" w:rsidRDefault="00141CE1" w:rsidP="00310775">
      <w:pPr>
        <w:spacing w:after="120"/>
        <w:ind w:left="720"/>
        <w:rPr>
          <w:sz w:val="16"/>
          <w:szCs w:val="16"/>
        </w:rPr>
      </w:pPr>
      <w:r>
        <w:t>There a</w:t>
      </w:r>
      <w:r w:rsidR="00D570F1">
        <w:t xml:space="preserve">re several different methods </w:t>
      </w:r>
      <w:r>
        <w:t xml:space="preserve">that could be used to </w:t>
      </w:r>
      <w:r w:rsidR="00B73672">
        <w:t xml:space="preserve">tap </w:t>
      </w:r>
      <w:r>
        <w:t>a small portion of existing fees</w:t>
      </w:r>
      <w:r w:rsidR="00E3200B">
        <w:t>.</w:t>
      </w:r>
      <w:r w:rsidR="00FC3A7D">
        <w:t xml:space="preserve"> See Attachment A for details on the fee options </w:t>
      </w:r>
      <w:r w:rsidR="002454FB">
        <w:t>the Council has identified.</w:t>
      </w:r>
      <w:r w:rsidR="00FC3A7D" w:rsidRPr="00E760C3">
        <w:rPr>
          <w:sz w:val="16"/>
          <w:szCs w:val="16"/>
        </w:rPr>
        <w:t xml:space="preserve"> </w:t>
      </w:r>
    </w:p>
    <w:p w:rsidR="00DF0930" w:rsidRPr="00F80030" w:rsidRDefault="0017685B" w:rsidP="00E760C3">
      <w:pPr>
        <w:pStyle w:val="ListParagraph"/>
        <w:numPr>
          <w:ilvl w:val="0"/>
          <w:numId w:val="4"/>
        </w:numPr>
        <w:spacing w:after="120" w:line="276" w:lineRule="auto"/>
        <w:jc w:val="both"/>
        <w:rPr>
          <w:rFonts w:eastAsia="Calibri" w:cs="Times New Roman"/>
          <w:color w:val="000000"/>
        </w:rPr>
      </w:pPr>
      <w:r>
        <w:t>GEO assessments on state agencies</w:t>
      </w:r>
      <w:r w:rsidR="000A4F9E">
        <w:t>—</w:t>
      </w:r>
      <w:r w:rsidR="007076CC">
        <w:t xml:space="preserve">GEO currently uses an assessment methodology on all state agencies’ budgets to fund ongoing GEO operations related to storing geospatial Framework data and providing access through the Spatial Data Library.  This assessment methodology should continue to be used, but </w:t>
      </w:r>
      <w:r w:rsidR="00D6758F">
        <w:t>increased</w:t>
      </w:r>
      <w:r w:rsidR="007076CC">
        <w:t xml:space="preserve"> </w:t>
      </w:r>
      <w:r w:rsidR="0007051B">
        <w:t xml:space="preserve">with a Policy Option Package </w:t>
      </w:r>
      <w:r w:rsidR="007076CC">
        <w:t>to fund ongoing costs related to secure provision of Framework data to all public bodies through a central data hub.</w:t>
      </w:r>
      <w:r w:rsidR="00D6758F">
        <w:t xml:space="preserve">  </w:t>
      </w:r>
      <w:r w:rsidR="00DF0930" w:rsidRPr="0007051B">
        <w:t>This funding package will augment the existing GEO state agency assessments to fund the following activities at GEO:</w:t>
      </w:r>
    </w:p>
    <w:p w:rsidR="00DF0930" w:rsidRPr="00F80030" w:rsidRDefault="00DF0930" w:rsidP="00DF0930">
      <w:pPr>
        <w:numPr>
          <w:ilvl w:val="0"/>
          <w:numId w:val="29"/>
        </w:numPr>
        <w:spacing w:after="200" w:line="276" w:lineRule="auto"/>
        <w:contextualSpacing/>
        <w:rPr>
          <w:rFonts w:eastAsia="Calibri" w:cs="Times New Roman"/>
          <w:color w:val="000000"/>
        </w:rPr>
      </w:pPr>
      <w:r w:rsidRPr="00F80030">
        <w:rPr>
          <w:rFonts w:eastAsia="Calibri" w:cs="Times New Roman"/>
          <w:color w:val="000000"/>
        </w:rPr>
        <w:t>Establish a redesigned enterprise geospatial tech</w:t>
      </w:r>
      <w:r w:rsidRPr="0007051B">
        <w:rPr>
          <w:rFonts w:eastAsia="Calibri" w:cs="Times New Roman"/>
          <w:color w:val="000000"/>
        </w:rPr>
        <w:t>nical architecture</w:t>
      </w:r>
      <w:r w:rsidRPr="00F80030">
        <w:rPr>
          <w:rFonts w:eastAsia="Calibri" w:cs="Times New Roman"/>
          <w:color w:val="000000"/>
        </w:rPr>
        <w:t>, including new and upgraded hardware and software, larger bandwidth, and security protocols and technology to accommodate the statutory requirement to provide secure</w:t>
      </w:r>
      <w:r>
        <w:rPr>
          <w:rFonts w:eastAsia="Calibri" w:cs="Times New Roman"/>
          <w:color w:val="000000"/>
        </w:rPr>
        <w:t xml:space="preserve"> access to upload and download F</w:t>
      </w:r>
      <w:r w:rsidRPr="00F80030">
        <w:rPr>
          <w:rFonts w:eastAsia="Calibri" w:cs="Times New Roman"/>
          <w:color w:val="000000"/>
        </w:rPr>
        <w:t xml:space="preserve">ramework data for all public bodies.  </w:t>
      </w:r>
    </w:p>
    <w:p w:rsidR="00DF0930" w:rsidRPr="00F80030" w:rsidRDefault="00DF0930" w:rsidP="00DF0930">
      <w:pPr>
        <w:numPr>
          <w:ilvl w:val="0"/>
          <w:numId w:val="29"/>
        </w:numPr>
        <w:spacing w:after="200" w:line="276" w:lineRule="auto"/>
        <w:contextualSpacing/>
        <w:rPr>
          <w:rFonts w:eastAsia="Calibri" w:cs="Times New Roman"/>
          <w:color w:val="000000"/>
        </w:rPr>
      </w:pPr>
      <w:r w:rsidRPr="00F80030">
        <w:rPr>
          <w:rFonts w:eastAsia="Calibri" w:cs="Times New Roman"/>
          <w:color w:val="000000"/>
        </w:rPr>
        <w:t>Support the expanded and formalized coordination activities and organizational infrastructure of t</w:t>
      </w:r>
      <w:r w:rsidRPr="0007051B">
        <w:rPr>
          <w:rFonts w:eastAsia="Calibri" w:cs="Times New Roman"/>
          <w:color w:val="000000"/>
        </w:rPr>
        <w:t xml:space="preserve">he Council </w:t>
      </w:r>
      <w:r w:rsidRPr="00F80030">
        <w:rPr>
          <w:rFonts w:eastAsia="Calibri" w:cs="Times New Roman"/>
          <w:color w:val="000000"/>
        </w:rPr>
        <w:t>to reflect the growing and important role being played by location-based information in governmental agencies.</w:t>
      </w:r>
    </w:p>
    <w:p w:rsidR="00DF0930" w:rsidRPr="00F80030" w:rsidRDefault="00DF0930" w:rsidP="00DF0930">
      <w:pPr>
        <w:numPr>
          <w:ilvl w:val="0"/>
          <w:numId w:val="29"/>
        </w:numPr>
        <w:spacing w:after="200" w:line="276" w:lineRule="auto"/>
        <w:contextualSpacing/>
        <w:rPr>
          <w:rFonts w:eastAsia="Calibri" w:cs="Times New Roman"/>
          <w:color w:val="000000"/>
        </w:rPr>
      </w:pPr>
      <w:r w:rsidRPr="00F80030">
        <w:rPr>
          <w:rFonts w:eastAsia="Calibri" w:cs="Times New Roman"/>
          <w:color w:val="000000"/>
        </w:rPr>
        <w:t>Develop enterprise-level services, such as address location needed by many government business processes, including energy facility siting, hazard mitigation, transportation planning, and more.</w:t>
      </w:r>
    </w:p>
    <w:p w:rsidR="00DF0930" w:rsidRPr="00F80030" w:rsidRDefault="00DF0930" w:rsidP="00E760C3">
      <w:pPr>
        <w:numPr>
          <w:ilvl w:val="0"/>
          <w:numId w:val="29"/>
        </w:numPr>
        <w:spacing w:after="120" w:line="276" w:lineRule="auto"/>
        <w:contextualSpacing/>
        <w:rPr>
          <w:rFonts w:eastAsia="Calibri" w:cs="Times New Roman"/>
          <w:color w:val="000000"/>
        </w:rPr>
      </w:pPr>
      <w:r w:rsidRPr="00F80030">
        <w:rPr>
          <w:rFonts w:eastAsia="Calibri" w:cs="Times New Roman"/>
          <w:color w:val="000000"/>
        </w:rPr>
        <w:t>Expand the GEO staff to accommodate the development and management of the upgraded technical architecture and professional management of base data.</w:t>
      </w:r>
    </w:p>
    <w:p w:rsidR="00E3200B" w:rsidRDefault="00E3200B" w:rsidP="005177B6">
      <w:pPr>
        <w:pStyle w:val="ListParagraph"/>
        <w:numPr>
          <w:ilvl w:val="0"/>
          <w:numId w:val="4"/>
        </w:numPr>
        <w:spacing w:after="0"/>
      </w:pPr>
      <w:r>
        <w:t xml:space="preserve">Debt Financing - The </w:t>
      </w:r>
      <w:r w:rsidR="003F74E3">
        <w:t xml:space="preserve">Council </w:t>
      </w:r>
      <w:r w:rsidRPr="001F25AE">
        <w:t>recommends that debt financing be used to the greate</w:t>
      </w:r>
      <w:r w:rsidR="00092504">
        <w:t>st extent possible over a 10-</w:t>
      </w:r>
      <w:r w:rsidRPr="001F25AE">
        <w:t>year period beginning July 2019. The bonds would be repaid with the revenue generated from</w:t>
      </w:r>
      <w:r>
        <w:t xml:space="preserve"> </w:t>
      </w:r>
      <w:r w:rsidRPr="001F25AE">
        <w:t>fee</w:t>
      </w:r>
      <w:r>
        <w:t xml:space="preserve"> re-allocations as described </w:t>
      </w:r>
      <w:r w:rsidR="003F74E3">
        <w:t>above</w:t>
      </w:r>
      <w:r w:rsidRPr="001F25AE">
        <w:t>. Once the debt is repaid, the fee revenue would be continued</w:t>
      </w:r>
      <w:r w:rsidR="003F74E3">
        <w:t xml:space="preserve"> </w:t>
      </w:r>
      <w:r w:rsidRPr="001F25AE">
        <w:t>in perpetuity to sustainably fund maintenance of Framework data by the hundreds of data providers, mostly at the local g</w:t>
      </w:r>
      <w:r>
        <w:t xml:space="preserve">overnment level. </w:t>
      </w:r>
      <w:r w:rsidR="003F74E3">
        <w:t xml:space="preserve">This will ensure that the initial significant investment in Framework data is maintained and will not have to be repeated.  </w:t>
      </w:r>
      <w:r w:rsidR="00092504">
        <w:t xml:space="preserve">There has been a preliminary determination </w:t>
      </w:r>
      <w:r w:rsidR="00954186">
        <w:t xml:space="preserve">by the DAS Chief Financial Office that </w:t>
      </w:r>
      <w:r w:rsidR="00732046">
        <w:t xml:space="preserve">most of the Framework data development work can be capitalized, in addition to the enterprise GIS software license for all public bodies, the hardware necessary to build capacity in local governments and to develop the data sharing hub at the state level, contract labor to develop the capitalizable data assets, and limited duration staff necessary during the initial start-up period.  The areas where debt financing cannot be used include the ongoing data maintenance at all levels and the ongoing staff to operate the data sharing hub. </w:t>
      </w:r>
      <w:r w:rsidR="00877087">
        <w:t xml:space="preserve"> Alternatively, it is possible to use General Fund or other fund mechanisms to accelerate the data development.  The Council is not recommending the use of other funding mechanisms at this time, instead favoring the use of debt financing.</w:t>
      </w:r>
    </w:p>
    <w:p w:rsidR="009A02F3" w:rsidRPr="005177B6" w:rsidRDefault="009A02F3" w:rsidP="009A02F3">
      <w:pPr>
        <w:pStyle w:val="ListParagraph"/>
        <w:rPr>
          <w:sz w:val="16"/>
          <w:szCs w:val="16"/>
        </w:rPr>
      </w:pPr>
    </w:p>
    <w:p w:rsidR="00E760C3" w:rsidRDefault="00E3200B" w:rsidP="00E760C3">
      <w:pPr>
        <w:pStyle w:val="ListParagraph"/>
        <w:numPr>
          <w:ilvl w:val="0"/>
          <w:numId w:val="4"/>
        </w:numPr>
      </w:pPr>
      <w:r>
        <w:t>P</w:t>
      </w:r>
      <w:r w:rsidR="009A02F3">
        <w:t xml:space="preserve">ublic/Private Partnership - </w:t>
      </w:r>
      <w:r w:rsidR="009A02F3" w:rsidRPr="009A02F3">
        <w:t xml:space="preserve">Public/Private Partnerships (P3s) </w:t>
      </w:r>
      <w:r w:rsidR="003F74E3">
        <w:t>have been</w:t>
      </w:r>
      <w:r w:rsidR="009A02F3" w:rsidRPr="009A02F3">
        <w:t xml:space="preserve"> evaluated by </w:t>
      </w:r>
      <w:r w:rsidR="003F74E3">
        <w:t>the Council</w:t>
      </w:r>
      <w:r w:rsidR="009A02F3" w:rsidRPr="009A02F3">
        <w:t xml:space="preserve">. There is some potential over time to augment or replace a portion of the </w:t>
      </w:r>
      <w:r w:rsidR="003F74E3" w:rsidRPr="009A02F3">
        <w:t xml:space="preserve">proposed </w:t>
      </w:r>
      <w:r w:rsidR="009A02F3" w:rsidRPr="009A02F3">
        <w:t xml:space="preserve">fee revenue. The basic conceptual model, currently implemented in Canada (Alberta, Ontario New Brunswick &amp; BC) and in a few other countries, involves a private consortium of companies aggregating Framework data from all public bodies and using that aggregated data to create web-based products and services aimed at a variety of industries (e.g., energy, real estate, timber, health care, insurance).  Companies in those vertical markets subscribe to the products and services and the subscription revenue </w:t>
      </w:r>
      <w:r w:rsidR="003F74E3">
        <w:t>is</w:t>
      </w:r>
      <w:r w:rsidR="009A02F3" w:rsidRPr="009A02F3">
        <w:t xml:space="preserve"> shared with all public bodies to </w:t>
      </w:r>
      <w:r w:rsidR="003F74E3">
        <w:t xml:space="preserve">help </w:t>
      </w:r>
      <w:r w:rsidR="009A02F3" w:rsidRPr="009A02F3">
        <w:t xml:space="preserve">fund </w:t>
      </w:r>
      <w:r w:rsidR="003F74E3">
        <w:t xml:space="preserve">a portion of the cost for </w:t>
      </w:r>
      <w:r w:rsidR="009A02F3" w:rsidRPr="009A02F3">
        <w:t xml:space="preserve">continued provision of updated Framework data.  The statutory structure to enable P3s exists in Oregon and is used now by ODOT for bridge development, as an example.  More research </w:t>
      </w:r>
      <w:r w:rsidR="003F74E3">
        <w:t>is needed</w:t>
      </w:r>
      <w:r w:rsidR="009A02F3" w:rsidRPr="009A02F3">
        <w:t xml:space="preserve"> to firm up this recommendation, but the </w:t>
      </w:r>
      <w:r w:rsidR="003F74E3">
        <w:t>Council</w:t>
      </w:r>
      <w:r w:rsidR="003F74E3" w:rsidRPr="009A02F3">
        <w:t xml:space="preserve"> </w:t>
      </w:r>
      <w:r w:rsidR="009A02F3" w:rsidRPr="009A02F3">
        <w:t xml:space="preserve">believes it could play a role in the overall </w:t>
      </w:r>
      <w:r w:rsidR="003F74E3">
        <w:t xml:space="preserve">Framework </w:t>
      </w:r>
      <w:r w:rsidR="009A02F3" w:rsidRPr="009A02F3">
        <w:t xml:space="preserve">funding </w:t>
      </w:r>
      <w:r w:rsidR="003F74E3">
        <w:t>model</w:t>
      </w:r>
      <w:r w:rsidR="009A02F3" w:rsidRPr="009A02F3">
        <w:t xml:space="preserve">.  </w:t>
      </w:r>
      <w:r w:rsidR="003F74E3">
        <w:t>The Council</w:t>
      </w:r>
      <w:r w:rsidR="009A02F3" w:rsidRPr="009A02F3">
        <w:t xml:space="preserve"> recommen</w:t>
      </w:r>
      <w:r w:rsidR="003F74E3">
        <w:t>ds</w:t>
      </w:r>
      <w:r w:rsidR="009A02F3" w:rsidRPr="009A02F3">
        <w:t xml:space="preserve"> </w:t>
      </w:r>
      <w:r w:rsidR="003F74E3">
        <w:t xml:space="preserve">that the </w:t>
      </w:r>
      <w:r w:rsidR="00057CB7">
        <w:t>Legislature</w:t>
      </w:r>
      <w:r w:rsidR="003F74E3">
        <w:t xml:space="preserve"> direct </w:t>
      </w:r>
      <w:r w:rsidR="009A02F3" w:rsidRPr="009A02F3">
        <w:t>further research, evaluation and review</w:t>
      </w:r>
      <w:r w:rsidR="003F74E3">
        <w:t xml:space="preserve"> of the P3 concept</w:t>
      </w:r>
      <w:r w:rsidR="009A02F3" w:rsidRPr="009A02F3">
        <w:t xml:space="preserve">, </w:t>
      </w:r>
      <w:r w:rsidR="003F74E3">
        <w:t xml:space="preserve">with the intention to implement this concept, </w:t>
      </w:r>
      <w:r w:rsidR="009A02F3" w:rsidRPr="009A02F3">
        <w:t xml:space="preserve">depending on </w:t>
      </w:r>
      <w:r w:rsidR="003F74E3">
        <w:t>the outcome of the evaluation, at a later time</w:t>
      </w:r>
      <w:r w:rsidR="009A02F3" w:rsidRPr="009A02F3">
        <w:t>.</w:t>
      </w:r>
    </w:p>
    <w:p w:rsidR="003A5BC3" w:rsidRDefault="00B70367" w:rsidP="00DF0930">
      <w:pPr>
        <w:pStyle w:val="Caption"/>
        <w:keepNext/>
        <w:spacing w:after="0"/>
      </w:pPr>
      <w:bookmarkStart w:id="0" w:name="_Ref518995685"/>
      <w:r>
        <w:t xml:space="preserve">Table </w:t>
      </w:r>
      <w:bookmarkEnd w:id="0"/>
      <w:r w:rsidR="00C20C1F">
        <w:rPr>
          <w:noProof/>
        </w:rPr>
        <w:t>4</w:t>
      </w:r>
      <w:r>
        <w:t>. Funding alternatives with preferred alternatives indicated</w:t>
      </w:r>
    </w:p>
    <w:tbl>
      <w:tblPr>
        <w:tblpPr w:leftFromText="187" w:rightFromText="187" w:vertAnchor="text" w:horzAnchor="margin" w:tblpY="1"/>
        <w:tblW w:w="0" w:type="auto"/>
        <w:tblLook w:val="04A0" w:firstRow="1" w:lastRow="0" w:firstColumn="1" w:lastColumn="0" w:noHBand="0" w:noVBand="1"/>
      </w:tblPr>
      <w:tblGrid>
        <w:gridCol w:w="1695"/>
        <w:gridCol w:w="1441"/>
        <w:gridCol w:w="1534"/>
        <w:gridCol w:w="1345"/>
        <w:gridCol w:w="1618"/>
        <w:gridCol w:w="1707"/>
      </w:tblGrid>
      <w:tr w:rsidR="005177B6" w:rsidRPr="00B70367" w:rsidTr="00A767A1">
        <w:trPr>
          <w:trHeight w:val="358"/>
          <w:tblHeader/>
        </w:trPr>
        <w:tc>
          <w:tcPr>
            <w:tcW w:w="1695" w:type="dxa"/>
            <w:vMerge w:val="restart"/>
            <w:tcBorders>
              <w:top w:val="single" w:sz="8" w:space="0" w:color="auto"/>
              <w:left w:val="single" w:sz="8" w:space="0" w:color="auto"/>
              <w:right w:val="nil"/>
            </w:tcBorders>
            <w:shd w:val="clear" w:color="auto" w:fill="auto"/>
            <w:vAlign w:val="bottom"/>
          </w:tcPr>
          <w:p w:rsidR="005177B6" w:rsidRDefault="005177B6" w:rsidP="00663EF9">
            <w:pPr>
              <w:spacing w:after="0" w:line="240" w:lineRule="auto"/>
              <w:rPr>
                <w:rFonts w:ascii="Calibri" w:hAnsi="Calibri"/>
                <w:b/>
                <w:bCs/>
                <w:color w:val="000000"/>
              </w:rPr>
            </w:pPr>
            <w:r>
              <w:rPr>
                <w:rFonts w:ascii="Calibri" w:hAnsi="Calibri"/>
                <w:b/>
                <w:bCs/>
                <w:color w:val="000000"/>
              </w:rPr>
              <w:t>Funding Mechanism</w:t>
            </w:r>
          </w:p>
        </w:tc>
        <w:tc>
          <w:tcPr>
            <w:tcW w:w="7645" w:type="dxa"/>
            <w:gridSpan w:val="5"/>
            <w:tcBorders>
              <w:top w:val="single" w:sz="8" w:space="0" w:color="auto"/>
              <w:left w:val="single" w:sz="8" w:space="0" w:color="auto"/>
              <w:bottom w:val="single" w:sz="8" w:space="0" w:color="auto"/>
              <w:right w:val="single" w:sz="8" w:space="0" w:color="auto"/>
            </w:tcBorders>
            <w:shd w:val="clear" w:color="auto" w:fill="auto"/>
          </w:tcPr>
          <w:p w:rsidR="005177B6" w:rsidRPr="00B70367" w:rsidRDefault="005177B6" w:rsidP="00663EF9">
            <w:pPr>
              <w:spacing w:after="0" w:line="240" w:lineRule="auto"/>
              <w:jc w:val="center"/>
              <w:rPr>
                <w:rFonts w:ascii="Calibri" w:hAnsi="Calibri"/>
                <w:b/>
                <w:color w:val="000000"/>
              </w:rPr>
            </w:pPr>
            <w:r w:rsidRPr="00141CE1">
              <w:rPr>
                <w:rFonts w:ascii="Calibri" w:hAnsi="Calibri"/>
                <w:b/>
                <w:color w:val="000000"/>
              </w:rPr>
              <w:t>Budgetary need</w:t>
            </w:r>
          </w:p>
        </w:tc>
      </w:tr>
      <w:tr w:rsidR="005177B6" w:rsidRPr="00B70367" w:rsidTr="00A767A1">
        <w:trPr>
          <w:trHeight w:val="610"/>
          <w:tblHeader/>
        </w:trPr>
        <w:tc>
          <w:tcPr>
            <w:tcW w:w="1695" w:type="dxa"/>
            <w:vMerge/>
            <w:tcBorders>
              <w:left w:val="single" w:sz="8" w:space="0" w:color="auto"/>
              <w:bottom w:val="single" w:sz="8" w:space="0" w:color="auto"/>
              <w:right w:val="nil"/>
            </w:tcBorders>
            <w:shd w:val="clear" w:color="auto" w:fill="auto"/>
            <w:vAlign w:val="bottom"/>
            <w:hideMark/>
          </w:tcPr>
          <w:p w:rsidR="005177B6" w:rsidRPr="00141CE1" w:rsidRDefault="005177B6" w:rsidP="00663EF9">
            <w:pPr>
              <w:spacing w:after="0" w:line="240" w:lineRule="auto"/>
              <w:rPr>
                <w:rFonts w:ascii="Calibri" w:eastAsia="Times New Roman" w:hAnsi="Calibri" w:cs="Times New Roman"/>
                <w:b/>
                <w:bCs/>
                <w:color w:val="000000"/>
                <w:sz w:val="18"/>
              </w:rPr>
            </w:pPr>
          </w:p>
        </w:tc>
        <w:tc>
          <w:tcPr>
            <w:tcW w:w="1441" w:type="dxa"/>
            <w:tcBorders>
              <w:top w:val="single" w:sz="8" w:space="0" w:color="auto"/>
              <w:left w:val="single" w:sz="8" w:space="0" w:color="auto"/>
              <w:bottom w:val="single" w:sz="8" w:space="0" w:color="auto"/>
              <w:right w:val="nil"/>
            </w:tcBorders>
            <w:shd w:val="clear" w:color="auto" w:fill="auto"/>
            <w:vAlign w:val="center"/>
            <w:hideMark/>
          </w:tcPr>
          <w:p w:rsidR="005177B6" w:rsidRPr="00141CE1" w:rsidRDefault="005177B6" w:rsidP="00663EF9">
            <w:pPr>
              <w:spacing w:after="0" w:line="240" w:lineRule="auto"/>
              <w:jc w:val="center"/>
              <w:rPr>
                <w:rFonts w:ascii="Calibri" w:eastAsia="Times New Roman" w:hAnsi="Calibri" w:cs="Times New Roman"/>
                <w:b/>
                <w:bCs/>
                <w:color w:val="000000"/>
                <w:sz w:val="18"/>
              </w:rPr>
            </w:pPr>
            <w:r w:rsidRPr="00141CE1">
              <w:rPr>
                <w:rFonts w:ascii="Calibri" w:hAnsi="Calibri"/>
                <w:b/>
                <w:color w:val="000000"/>
              </w:rPr>
              <w:t>Framework data development</w:t>
            </w:r>
          </w:p>
        </w:tc>
        <w:tc>
          <w:tcPr>
            <w:tcW w:w="1534" w:type="dxa"/>
            <w:tcBorders>
              <w:top w:val="single" w:sz="8" w:space="0" w:color="auto"/>
              <w:left w:val="nil"/>
              <w:bottom w:val="single" w:sz="8" w:space="0" w:color="auto"/>
              <w:right w:val="nil"/>
            </w:tcBorders>
            <w:shd w:val="clear" w:color="auto" w:fill="auto"/>
            <w:vAlign w:val="center"/>
            <w:hideMark/>
          </w:tcPr>
          <w:p w:rsidR="005177B6" w:rsidRPr="00141CE1" w:rsidRDefault="005177B6" w:rsidP="00663EF9">
            <w:pPr>
              <w:spacing w:after="0" w:line="240" w:lineRule="auto"/>
              <w:jc w:val="center"/>
              <w:rPr>
                <w:rFonts w:ascii="Calibri" w:eastAsia="Times New Roman" w:hAnsi="Calibri" w:cs="Times New Roman"/>
                <w:b/>
                <w:bCs/>
                <w:color w:val="000000"/>
                <w:sz w:val="18"/>
              </w:rPr>
            </w:pPr>
            <w:r w:rsidRPr="00141CE1">
              <w:rPr>
                <w:rFonts w:ascii="Calibri" w:hAnsi="Calibri"/>
                <w:b/>
                <w:color w:val="000000"/>
              </w:rPr>
              <w:t>Framework data maintenance</w:t>
            </w:r>
          </w:p>
        </w:tc>
        <w:tc>
          <w:tcPr>
            <w:tcW w:w="1345" w:type="dxa"/>
            <w:tcBorders>
              <w:top w:val="single" w:sz="8" w:space="0" w:color="auto"/>
              <w:left w:val="nil"/>
              <w:bottom w:val="single" w:sz="8" w:space="0" w:color="auto"/>
              <w:right w:val="nil"/>
            </w:tcBorders>
            <w:shd w:val="clear" w:color="auto" w:fill="auto"/>
            <w:vAlign w:val="center"/>
            <w:hideMark/>
          </w:tcPr>
          <w:p w:rsidR="005177B6" w:rsidRPr="00141CE1" w:rsidRDefault="005177B6" w:rsidP="00663EF9">
            <w:pPr>
              <w:spacing w:after="0" w:line="240" w:lineRule="auto"/>
              <w:jc w:val="center"/>
              <w:rPr>
                <w:rFonts w:ascii="Calibri" w:eastAsia="Times New Roman" w:hAnsi="Calibri" w:cs="Times New Roman"/>
                <w:b/>
                <w:bCs/>
                <w:color w:val="000000"/>
                <w:sz w:val="18"/>
              </w:rPr>
            </w:pPr>
            <w:r w:rsidRPr="00141CE1">
              <w:rPr>
                <w:rFonts w:ascii="Calibri" w:hAnsi="Calibri"/>
                <w:b/>
                <w:color w:val="000000"/>
              </w:rPr>
              <w:t>Framework data sharing</w:t>
            </w:r>
          </w:p>
        </w:tc>
        <w:tc>
          <w:tcPr>
            <w:tcW w:w="1618" w:type="dxa"/>
            <w:tcBorders>
              <w:top w:val="single" w:sz="8" w:space="0" w:color="auto"/>
              <w:left w:val="nil"/>
              <w:bottom w:val="single" w:sz="8" w:space="0" w:color="auto"/>
              <w:right w:val="nil"/>
            </w:tcBorders>
            <w:shd w:val="clear" w:color="auto" w:fill="auto"/>
            <w:vAlign w:val="center"/>
            <w:hideMark/>
          </w:tcPr>
          <w:p w:rsidR="005177B6" w:rsidRPr="00141CE1" w:rsidRDefault="005177B6" w:rsidP="00663EF9">
            <w:pPr>
              <w:spacing w:after="0" w:line="240" w:lineRule="auto"/>
              <w:jc w:val="center"/>
              <w:rPr>
                <w:rFonts w:ascii="Calibri" w:eastAsia="Times New Roman" w:hAnsi="Calibri" w:cs="Times New Roman"/>
                <w:b/>
                <w:bCs/>
                <w:color w:val="000000"/>
                <w:sz w:val="18"/>
              </w:rPr>
            </w:pPr>
            <w:r w:rsidRPr="00141CE1">
              <w:rPr>
                <w:rFonts w:ascii="Calibri" w:hAnsi="Calibri"/>
                <w:b/>
                <w:color w:val="000000"/>
              </w:rPr>
              <w:t>GEO staff/admin</w:t>
            </w:r>
            <w:r>
              <w:rPr>
                <w:rFonts w:ascii="Calibri" w:hAnsi="Calibri"/>
                <w:b/>
                <w:color w:val="000000"/>
              </w:rPr>
              <w:t xml:space="preserve"> (startup)</w:t>
            </w:r>
          </w:p>
        </w:tc>
        <w:tc>
          <w:tcPr>
            <w:tcW w:w="1707" w:type="dxa"/>
            <w:tcBorders>
              <w:top w:val="single" w:sz="8" w:space="0" w:color="auto"/>
              <w:left w:val="nil"/>
              <w:bottom w:val="single" w:sz="8" w:space="0" w:color="auto"/>
              <w:right w:val="single" w:sz="8" w:space="0" w:color="auto"/>
            </w:tcBorders>
          </w:tcPr>
          <w:p w:rsidR="005177B6" w:rsidRPr="00B70367" w:rsidRDefault="005177B6" w:rsidP="00663EF9">
            <w:pPr>
              <w:spacing w:after="0" w:line="240" w:lineRule="auto"/>
              <w:jc w:val="center"/>
              <w:rPr>
                <w:rFonts w:ascii="Calibri" w:hAnsi="Calibri"/>
                <w:b/>
                <w:color w:val="000000"/>
              </w:rPr>
            </w:pPr>
            <w:r w:rsidRPr="00B83551">
              <w:rPr>
                <w:rFonts w:ascii="Calibri" w:hAnsi="Calibri"/>
                <w:b/>
                <w:color w:val="000000"/>
              </w:rPr>
              <w:t>GEO staff/admin</w:t>
            </w:r>
            <w:r>
              <w:rPr>
                <w:rFonts w:ascii="Calibri" w:hAnsi="Calibri"/>
                <w:b/>
                <w:color w:val="000000"/>
              </w:rPr>
              <w:t xml:space="preserve"> (ongoing O&amp;M)</w:t>
            </w:r>
          </w:p>
        </w:tc>
      </w:tr>
      <w:tr w:rsidR="005177B6" w:rsidRPr="00B70367" w:rsidTr="00A767A1">
        <w:trPr>
          <w:trHeight w:val="600"/>
        </w:trPr>
        <w:tc>
          <w:tcPr>
            <w:tcW w:w="169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177B6" w:rsidRPr="00141CE1" w:rsidRDefault="005177B6" w:rsidP="00663EF9">
            <w:pPr>
              <w:spacing w:after="0" w:line="240" w:lineRule="auto"/>
              <w:rPr>
                <w:rFonts w:ascii="Calibri" w:eastAsia="Times New Roman" w:hAnsi="Calibri" w:cs="Times New Roman"/>
                <w:color w:val="000000"/>
                <w:sz w:val="18"/>
              </w:rPr>
            </w:pPr>
            <w:r>
              <w:rPr>
                <w:rFonts w:ascii="Calibri" w:hAnsi="Calibri"/>
                <w:b/>
                <w:bCs/>
                <w:color w:val="000000"/>
              </w:rPr>
              <w:t>Existing Fees</w:t>
            </w:r>
          </w:p>
        </w:tc>
        <w:tc>
          <w:tcPr>
            <w:tcW w:w="1441" w:type="dxa"/>
            <w:tcBorders>
              <w:top w:val="single" w:sz="8" w:space="0" w:color="auto"/>
              <w:left w:val="single" w:sz="8" w:space="0" w:color="auto"/>
              <w:bottom w:val="dotted" w:sz="4" w:space="0" w:color="auto"/>
              <w:right w:val="dotted" w:sz="4" w:space="0" w:color="auto"/>
            </w:tcBorders>
            <w:shd w:val="clear" w:color="auto" w:fill="auto"/>
            <w:vAlign w:val="center"/>
            <w:hideMark/>
          </w:tcPr>
          <w:p w:rsidR="005177B6" w:rsidRPr="00487F2C" w:rsidRDefault="005177B6" w:rsidP="00663EF9">
            <w:pPr>
              <w:spacing w:after="0" w:line="240" w:lineRule="auto"/>
              <w:jc w:val="center"/>
              <w:rPr>
                <w:rFonts w:ascii="Calibri" w:eastAsia="Times New Roman" w:hAnsi="Calibri" w:cs="Times New Roman"/>
                <w:color w:val="2E74B5" w:themeColor="accent1" w:themeShade="BF"/>
                <w:sz w:val="18"/>
              </w:rPr>
            </w:pPr>
            <w:r w:rsidRPr="00487F2C">
              <w:rPr>
                <w:rFonts w:ascii="Calibri" w:hAnsi="Calibri"/>
                <w:color w:val="2E74B5" w:themeColor="accent1" w:themeShade="BF"/>
              </w:rPr>
              <w:t>preferred</w:t>
            </w:r>
          </w:p>
        </w:tc>
        <w:tc>
          <w:tcPr>
            <w:tcW w:w="1534" w:type="dxa"/>
            <w:tcBorders>
              <w:top w:val="single" w:sz="8" w:space="0" w:color="auto"/>
              <w:left w:val="dotted" w:sz="4" w:space="0" w:color="auto"/>
              <w:bottom w:val="dotted" w:sz="4" w:space="0" w:color="auto"/>
              <w:right w:val="dotted" w:sz="4" w:space="0" w:color="auto"/>
            </w:tcBorders>
            <w:shd w:val="clear" w:color="auto" w:fill="auto"/>
            <w:vAlign w:val="center"/>
            <w:hideMark/>
          </w:tcPr>
          <w:p w:rsidR="005177B6" w:rsidRPr="00487F2C" w:rsidRDefault="005177B6" w:rsidP="00663EF9">
            <w:pPr>
              <w:spacing w:after="0" w:line="240" w:lineRule="auto"/>
              <w:jc w:val="center"/>
              <w:rPr>
                <w:rFonts w:ascii="Calibri" w:eastAsia="Times New Roman" w:hAnsi="Calibri" w:cs="Times New Roman"/>
                <w:color w:val="2E74B5" w:themeColor="accent1" w:themeShade="BF"/>
                <w:sz w:val="18"/>
              </w:rPr>
            </w:pPr>
            <w:r w:rsidRPr="00487F2C">
              <w:rPr>
                <w:rFonts w:ascii="Calibri" w:hAnsi="Calibri"/>
                <w:color w:val="2E74B5" w:themeColor="accent1" w:themeShade="BF"/>
              </w:rPr>
              <w:t>preferred</w:t>
            </w:r>
          </w:p>
        </w:tc>
        <w:tc>
          <w:tcPr>
            <w:tcW w:w="1345" w:type="dxa"/>
            <w:tcBorders>
              <w:top w:val="single" w:sz="8" w:space="0" w:color="auto"/>
              <w:left w:val="dotted" w:sz="4" w:space="0" w:color="auto"/>
              <w:bottom w:val="dotted" w:sz="4" w:space="0" w:color="auto"/>
              <w:right w:val="dotted" w:sz="4" w:space="0" w:color="auto"/>
            </w:tcBorders>
            <w:shd w:val="clear" w:color="auto" w:fill="auto"/>
            <w:vAlign w:val="center"/>
            <w:hideMark/>
          </w:tcPr>
          <w:p w:rsidR="005177B6" w:rsidRPr="00487F2C" w:rsidRDefault="005177B6" w:rsidP="00663EF9">
            <w:pPr>
              <w:spacing w:after="0" w:line="240" w:lineRule="auto"/>
              <w:jc w:val="center"/>
              <w:rPr>
                <w:rFonts w:ascii="Calibri" w:eastAsia="Times New Roman" w:hAnsi="Calibri" w:cs="Times New Roman"/>
                <w:color w:val="2E74B5" w:themeColor="accent1" w:themeShade="BF"/>
                <w:sz w:val="18"/>
              </w:rPr>
            </w:pPr>
            <w:r w:rsidRPr="00487F2C">
              <w:rPr>
                <w:rFonts w:ascii="Calibri" w:hAnsi="Calibri"/>
                <w:color w:val="2E74B5" w:themeColor="accent1" w:themeShade="BF"/>
              </w:rPr>
              <w:t>preferred</w:t>
            </w:r>
          </w:p>
        </w:tc>
        <w:tc>
          <w:tcPr>
            <w:tcW w:w="1618" w:type="dxa"/>
            <w:tcBorders>
              <w:top w:val="single" w:sz="8" w:space="0" w:color="auto"/>
              <w:left w:val="dotted" w:sz="4" w:space="0" w:color="auto"/>
              <w:bottom w:val="dotted" w:sz="4" w:space="0" w:color="auto"/>
              <w:right w:val="dotted" w:sz="4" w:space="0" w:color="auto"/>
            </w:tcBorders>
            <w:shd w:val="clear" w:color="auto" w:fill="auto"/>
            <w:vAlign w:val="center"/>
            <w:hideMark/>
          </w:tcPr>
          <w:p w:rsidR="005177B6" w:rsidRPr="00487F2C" w:rsidRDefault="005177B6" w:rsidP="00663EF9">
            <w:pPr>
              <w:spacing w:after="0" w:line="240" w:lineRule="auto"/>
              <w:jc w:val="center"/>
              <w:rPr>
                <w:rFonts w:ascii="Calibri" w:eastAsia="Times New Roman" w:hAnsi="Calibri" w:cs="Times New Roman"/>
                <w:color w:val="2E74B5" w:themeColor="accent1" w:themeShade="BF"/>
                <w:sz w:val="18"/>
              </w:rPr>
            </w:pPr>
          </w:p>
        </w:tc>
        <w:tc>
          <w:tcPr>
            <w:tcW w:w="1707" w:type="dxa"/>
            <w:tcBorders>
              <w:top w:val="single" w:sz="8" w:space="0" w:color="auto"/>
              <w:left w:val="dotted" w:sz="4" w:space="0" w:color="auto"/>
              <w:bottom w:val="dotted" w:sz="4" w:space="0" w:color="auto"/>
              <w:right w:val="single" w:sz="8" w:space="0" w:color="auto"/>
            </w:tcBorders>
          </w:tcPr>
          <w:p w:rsidR="005177B6" w:rsidRPr="00487F2C" w:rsidRDefault="005177B6" w:rsidP="00663EF9">
            <w:pPr>
              <w:spacing w:after="0" w:line="240" w:lineRule="auto"/>
              <w:jc w:val="center"/>
              <w:rPr>
                <w:rFonts w:ascii="Calibri" w:eastAsia="Times New Roman" w:hAnsi="Calibri" w:cs="Times New Roman"/>
                <w:color w:val="2E74B5" w:themeColor="accent1" w:themeShade="BF"/>
                <w:sz w:val="18"/>
              </w:rPr>
            </w:pPr>
          </w:p>
        </w:tc>
      </w:tr>
      <w:tr w:rsidR="005177B6" w:rsidRPr="00B70367" w:rsidTr="00A767A1">
        <w:trPr>
          <w:trHeight w:val="628"/>
        </w:trPr>
        <w:tc>
          <w:tcPr>
            <w:tcW w:w="169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177B6" w:rsidRPr="00141CE1" w:rsidRDefault="005177B6" w:rsidP="00663EF9">
            <w:pPr>
              <w:spacing w:after="0" w:line="240" w:lineRule="auto"/>
              <w:rPr>
                <w:rFonts w:ascii="Calibri" w:eastAsia="Times New Roman" w:hAnsi="Calibri" w:cs="Times New Roman"/>
                <w:color w:val="000000"/>
                <w:sz w:val="18"/>
              </w:rPr>
            </w:pPr>
            <w:r>
              <w:rPr>
                <w:rFonts w:ascii="Calibri" w:hAnsi="Calibri"/>
                <w:b/>
                <w:bCs/>
                <w:color w:val="000000"/>
              </w:rPr>
              <w:t>DAS GEO assessments</w:t>
            </w:r>
          </w:p>
        </w:tc>
        <w:tc>
          <w:tcPr>
            <w:tcW w:w="1441" w:type="dxa"/>
            <w:tcBorders>
              <w:top w:val="dotted" w:sz="4" w:space="0" w:color="auto"/>
              <w:left w:val="single" w:sz="8" w:space="0" w:color="auto"/>
              <w:bottom w:val="dotted" w:sz="4" w:space="0" w:color="auto"/>
              <w:right w:val="dotted" w:sz="4" w:space="0" w:color="auto"/>
            </w:tcBorders>
            <w:shd w:val="clear" w:color="auto" w:fill="auto"/>
            <w:vAlign w:val="center"/>
            <w:hideMark/>
          </w:tcPr>
          <w:p w:rsidR="005177B6" w:rsidRPr="00487F2C" w:rsidRDefault="005177B6" w:rsidP="00663EF9">
            <w:pPr>
              <w:spacing w:after="0" w:line="240" w:lineRule="auto"/>
              <w:jc w:val="center"/>
              <w:rPr>
                <w:rFonts w:ascii="Calibri" w:eastAsia="Times New Roman" w:hAnsi="Calibri" w:cs="Times New Roman"/>
                <w:color w:val="2E74B5" w:themeColor="accent1" w:themeShade="BF"/>
                <w:sz w:val="18"/>
              </w:rPr>
            </w:pPr>
          </w:p>
        </w:tc>
        <w:tc>
          <w:tcPr>
            <w:tcW w:w="1534"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177B6" w:rsidRPr="00487F2C" w:rsidRDefault="005177B6" w:rsidP="00663EF9">
            <w:pPr>
              <w:spacing w:after="0" w:line="240" w:lineRule="auto"/>
              <w:jc w:val="center"/>
              <w:rPr>
                <w:rFonts w:ascii="Calibri" w:eastAsia="Times New Roman" w:hAnsi="Calibri" w:cs="Times New Roman"/>
                <w:color w:val="2E74B5" w:themeColor="accent1" w:themeShade="BF"/>
                <w:sz w:val="18"/>
              </w:rPr>
            </w:pPr>
          </w:p>
        </w:tc>
        <w:tc>
          <w:tcPr>
            <w:tcW w:w="1345"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177B6" w:rsidRPr="00487F2C" w:rsidRDefault="005177B6" w:rsidP="00663EF9">
            <w:pPr>
              <w:spacing w:after="0" w:line="240" w:lineRule="auto"/>
              <w:jc w:val="center"/>
              <w:rPr>
                <w:rFonts w:ascii="Times New Roman" w:eastAsia="Times New Roman" w:hAnsi="Times New Roman" w:cs="Times New Roman"/>
                <w:color w:val="2E74B5" w:themeColor="accent1" w:themeShade="BF"/>
                <w:sz w:val="18"/>
                <w:szCs w:val="20"/>
              </w:rPr>
            </w:pPr>
          </w:p>
        </w:tc>
        <w:tc>
          <w:tcPr>
            <w:tcW w:w="1618" w:type="dxa"/>
            <w:tcBorders>
              <w:top w:val="dotted" w:sz="4" w:space="0" w:color="auto"/>
              <w:left w:val="dotted" w:sz="4" w:space="0" w:color="auto"/>
              <w:bottom w:val="dotted" w:sz="4" w:space="0" w:color="auto"/>
              <w:right w:val="dotted" w:sz="4" w:space="0" w:color="auto"/>
            </w:tcBorders>
            <w:shd w:val="clear" w:color="auto" w:fill="auto"/>
            <w:vAlign w:val="center"/>
            <w:hideMark/>
          </w:tcPr>
          <w:p w:rsidR="005177B6" w:rsidRPr="00487F2C" w:rsidRDefault="005177B6" w:rsidP="00663EF9">
            <w:pPr>
              <w:spacing w:after="0" w:line="240" w:lineRule="auto"/>
              <w:jc w:val="center"/>
              <w:rPr>
                <w:rFonts w:ascii="Calibri" w:eastAsia="Times New Roman" w:hAnsi="Calibri" w:cs="Times New Roman"/>
                <w:color w:val="2E74B5" w:themeColor="accent1" w:themeShade="BF"/>
                <w:sz w:val="18"/>
              </w:rPr>
            </w:pPr>
          </w:p>
        </w:tc>
        <w:tc>
          <w:tcPr>
            <w:tcW w:w="1707" w:type="dxa"/>
            <w:tcBorders>
              <w:top w:val="dotted" w:sz="4" w:space="0" w:color="auto"/>
              <w:left w:val="dotted" w:sz="4" w:space="0" w:color="auto"/>
              <w:bottom w:val="dotted" w:sz="4" w:space="0" w:color="auto"/>
              <w:right w:val="single" w:sz="8" w:space="0" w:color="auto"/>
            </w:tcBorders>
            <w:vAlign w:val="center"/>
          </w:tcPr>
          <w:p w:rsidR="005177B6" w:rsidRPr="00487F2C" w:rsidRDefault="005177B6" w:rsidP="00663EF9">
            <w:pPr>
              <w:spacing w:after="0" w:line="240" w:lineRule="auto"/>
              <w:jc w:val="center"/>
              <w:rPr>
                <w:rFonts w:ascii="Calibri" w:hAnsi="Calibri"/>
                <w:color w:val="2E74B5" w:themeColor="accent1" w:themeShade="BF"/>
              </w:rPr>
            </w:pPr>
            <w:r w:rsidRPr="00487F2C">
              <w:rPr>
                <w:rFonts w:ascii="Calibri" w:hAnsi="Calibri"/>
                <w:color w:val="2E74B5" w:themeColor="accent1" w:themeShade="BF"/>
              </w:rPr>
              <w:t>preferred</w:t>
            </w:r>
          </w:p>
        </w:tc>
      </w:tr>
      <w:tr w:rsidR="005177B6" w:rsidRPr="00B70367" w:rsidTr="00A767A1">
        <w:trPr>
          <w:trHeight w:val="682"/>
        </w:trPr>
        <w:tc>
          <w:tcPr>
            <w:tcW w:w="1695" w:type="dxa"/>
            <w:tcBorders>
              <w:top w:val="single" w:sz="8" w:space="0" w:color="auto"/>
              <w:left w:val="single" w:sz="8" w:space="0" w:color="auto"/>
              <w:bottom w:val="single" w:sz="8" w:space="0" w:color="auto"/>
              <w:right w:val="single" w:sz="8" w:space="0" w:color="auto"/>
            </w:tcBorders>
            <w:shd w:val="clear" w:color="auto" w:fill="auto"/>
            <w:vAlign w:val="center"/>
          </w:tcPr>
          <w:p w:rsidR="005177B6" w:rsidRDefault="005177B6" w:rsidP="00663EF9">
            <w:pPr>
              <w:spacing w:after="0" w:line="240" w:lineRule="auto"/>
              <w:rPr>
                <w:rFonts w:ascii="Calibri" w:hAnsi="Calibri"/>
                <w:b/>
                <w:bCs/>
                <w:color w:val="000000"/>
              </w:rPr>
            </w:pPr>
            <w:r>
              <w:rPr>
                <w:rFonts w:ascii="Calibri" w:hAnsi="Calibri"/>
                <w:b/>
                <w:bCs/>
                <w:color w:val="000000"/>
              </w:rPr>
              <w:t>GEO Policy Option Package</w:t>
            </w:r>
          </w:p>
        </w:tc>
        <w:tc>
          <w:tcPr>
            <w:tcW w:w="1441" w:type="dxa"/>
            <w:tcBorders>
              <w:top w:val="dotted" w:sz="4" w:space="0" w:color="auto"/>
              <w:left w:val="single" w:sz="8" w:space="0" w:color="auto"/>
              <w:bottom w:val="dotted" w:sz="4" w:space="0" w:color="auto"/>
              <w:right w:val="dotted" w:sz="4" w:space="0" w:color="auto"/>
            </w:tcBorders>
            <w:shd w:val="clear" w:color="auto" w:fill="auto"/>
            <w:vAlign w:val="center"/>
          </w:tcPr>
          <w:p w:rsidR="005177B6" w:rsidRPr="00487F2C" w:rsidRDefault="005177B6" w:rsidP="00663EF9">
            <w:pPr>
              <w:spacing w:after="0" w:line="240" w:lineRule="auto"/>
              <w:jc w:val="center"/>
              <w:rPr>
                <w:rFonts w:ascii="Calibri" w:eastAsia="Times New Roman" w:hAnsi="Calibri" w:cs="Times New Roman"/>
                <w:color w:val="2E74B5" w:themeColor="accent1" w:themeShade="BF"/>
                <w:sz w:val="18"/>
              </w:rPr>
            </w:pPr>
          </w:p>
        </w:tc>
        <w:tc>
          <w:tcPr>
            <w:tcW w:w="1534" w:type="dxa"/>
            <w:tcBorders>
              <w:top w:val="dotted" w:sz="4" w:space="0" w:color="auto"/>
              <w:left w:val="dotted" w:sz="4" w:space="0" w:color="auto"/>
              <w:bottom w:val="dotted" w:sz="4" w:space="0" w:color="auto"/>
              <w:right w:val="dotted" w:sz="4" w:space="0" w:color="auto"/>
            </w:tcBorders>
            <w:shd w:val="clear" w:color="auto" w:fill="auto"/>
            <w:vAlign w:val="center"/>
          </w:tcPr>
          <w:p w:rsidR="005177B6" w:rsidRPr="00487F2C" w:rsidRDefault="005177B6" w:rsidP="00663EF9">
            <w:pPr>
              <w:spacing w:after="0" w:line="240" w:lineRule="auto"/>
              <w:jc w:val="center"/>
              <w:rPr>
                <w:rFonts w:ascii="Calibri" w:eastAsia="Times New Roman" w:hAnsi="Calibri" w:cs="Times New Roman"/>
                <w:color w:val="2E74B5" w:themeColor="accent1" w:themeShade="BF"/>
                <w:sz w:val="18"/>
              </w:rPr>
            </w:pPr>
          </w:p>
        </w:tc>
        <w:tc>
          <w:tcPr>
            <w:tcW w:w="1345" w:type="dxa"/>
            <w:tcBorders>
              <w:top w:val="dotted" w:sz="4" w:space="0" w:color="auto"/>
              <w:left w:val="dotted" w:sz="4" w:space="0" w:color="auto"/>
              <w:bottom w:val="dotted" w:sz="4" w:space="0" w:color="auto"/>
              <w:right w:val="dotted" w:sz="4" w:space="0" w:color="auto"/>
            </w:tcBorders>
            <w:shd w:val="clear" w:color="auto" w:fill="auto"/>
            <w:vAlign w:val="center"/>
          </w:tcPr>
          <w:p w:rsidR="005177B6" w:rsidRPr="00487F2C" w:rsidRDefault="005177B6" w:rsidP="00663EF9">
            <w:pPr>
              <w:spacing w:after="0" w:line="240" w:lineRule="auto"/>
              <w:jc w:val="center"/>
              <w:rPr>
                <w:rFonts w:ascii="Times New Roman" w:eastAsia="Times New Roman" w:hAnsi="Times New Roman" w:cs="Times New Roman"/>
                <w:color w:val="2E74B5" w:themeColor="accent1" w:themeShade="BF"/>
                <w:sz w:val="18"/>
                <w:szCs w:val="20"/>
              </w:rPr>
            </w:pPr>
          </w:p>
        </w:tc>
        <w:tc>
          <w:tcPr>
            <w:tcW w:w="1618" w:type="dxa"/>
            <w:tcBorders>
              <w:top w:val="dotted" w:sz="4" w:space="0" w:color="auto"/>
              <w:left w:val="dotted" w:sz="4" w:space="0" w:color="auto"/>
              <w:bottom w:val="dotted" w:sz="4" w:space="0" w:color="auto"/>
              <w:right w:val="dotted" w:sz="4" w:space="0" w:color="auto"/>
            </w:tcBorders>
            <w:shd w:val="clear" w:color="auto" w:fill="auto"/>
            <w:vAlign w:val="center"/>
          </w:tcPr>
          <w:p w:rsidR="005177B6" w:rsidRPr="00487F2C" w:rsidRDefault="005177B6" w:rsidP="00663EF9">
            <w:pPr>
              <w:spacing w:after="0" w:line="240" w:lineRule="auto"/>
              <w:jc w:val="center"/>
              <w:rPr>
                <w:rFonts w:ascii="Calibri" w:eastAsia="Times New Roman" w:hAnsi="Calibri" w:cs="Times New Roman"/>
                <w:color w:val="2E74B5" w:themeColor="accent1" w:themeShade="BF"/>
                <w:sz w:val="18"/>
              </w:rPr>
            </w:pPr>
            <w:r w:rsidRPr="00487F2C">
              <w:rPr>
                <w:rFonts w:ascii="Calibri" w:hAnsi="Calibri"/>
                <w:color w:val="2E74B5" w:themeColor="accent1" w:themeShade="BF"/>
              </w:rPr>
              <w:t>preferred</w:t>
            </w:r>
          </w:p>
        </w:tc>
        <w:tc>
          <w:tcPr>
            <w:tcW w:w="1707" w:type="dxa"/>
            <w:tcBorders>
              <w:top w:val="dotted" w:sz="4" w:space="0" w:color="auto"/>
              <w:left w:val="dotted" w:sz="4" w:space="0" w:color="auto"/>
              <w:bottom w:val="dotted" w:sz="4" w:space="0" w:color="auto"/>
              <w:right w:val="single" w:sz="8" w:space="0" w:color="auto"/>
            </w:tcBorders>
          </w:tcPr>
          <w:p w:rsidR="005177B6" w:rsidRPr="00487F2C" w:rsidRDefault="005177B6" w:rsidP="00663EF9">
            <w:pPr>
              <w:spacing w:after="0" w:line="240" w:lineRule="auto"/>
              <w:jc w:val="center"/>
              <w:rPr>
                <w:rFonts w:ascii="Calibri" w:hAnsi="Calibri"/>
                <w:color w:val="2E74B5" w:themeColor="accent1" w:themeShade="BF"/>
              </w:rPr>
            </w:pPr>
          </w:p>
          <w:p w:rsidR="005177B6" w:rsidRPr="00487F2C" w:rsidRDefault="005177B6" w:rsidP="00663EF9">
            <w:pPr>
              <w:spacing w:after="0" w:line="240" w:lineRule="auto"/>
              <w:jc w:val="center"/>
              <w:rPr>
                <w:rFonts w:ascii="Calibri" w:hAnsi="Calibri"/>
                <w:color w:val="2E74B5" w:themeColor="accent1" w:themeShade="BF"/>
              </w:rPr>
            </w:pPr>
            <w:r w:rsidRPr="00487F2C">
              <w:rPr>
                <w:rFonts w:ascii="Calibri" w:hAnsi="Calibri"/>
                <w:color w:val="2E74B5" w:themeColor="accent1" w:themeShade="BF"/>
              </w:rPr>
              <w:t>preferred</w:t>
            </w:r>
          </w:p>
          <w:p w:rsidR="005177B6" w:rsidRPr="00487F2C" w:rsidRDefault="005177B6" w:rsidP="00663EF9">
            <w:pPr>
              <w:spacing w:after="0" w:line="240" w:lineRule="auto"/>
              <w:jc w:val="center"/>
              <w:rPr>
                <w:rFonts w:ascii="Calibri" w:hAnsi="Calibri"/>
                <w:color w:val="2E74B5" w:themeColor="accent1" w:themeShade="BF"/>
              </w:rPr>
            </w:pPr>
          </w:p>
        </w:tc>
      </w:tr>
      <w:tr w:rsidR="005177B6" w:rsidRPr="00B70367" w:rsidTr="00A767A1">
        <w:trPr>
          <w:trHeight w:val="583"/>
        </w:trPr>
        <w:tc>
          <w:tcPr>
            <w:tcW w:w="1695" w:type="dxa"/>
            <w:tcBorders>
              <w:top w:val="single" w:sz="8" w:space="0" w:color="auto"/>
              <w:left w:val="single" w:sz="8" w:space="0" w:color="auto"/>
              <w:bottom w:val="single" w:sz="8" w:space="0" w:color="auto"/>
              <w:right w:val="single" w:sz="8" w:space="0" w:color="auto"/>
            </w:tcBorders>
            <w:shd w:val="clear" w:color="auto" w:fill="auto"/>
            <w:vAlign w:val="center"/>
          </w:tcPr>
          <w:p w:rsidR="005177B6" w:rsidRDefault="005177B6" w:rsidP="00663EF9">
            <w:pPr>
              <w:spacing w:after="0" w:line="240" w:lineRule="auto"/>
              <w:rPr>
                <w:rFonts w:ascii="Calibri" w:hAnsi="Calibri"/>
                <w:b/>
                <w:bCs/>
                <w:color w:val="000000"/>
              </w:rPr>
            </w:pPr>
            <w:r>
              <w:rPr>
                <w:rFonts w:ascii="Calibri" w:hAnsi="Calibri"/>
                <w:b/>
                <w:bCs/>
                <w:color w:val="000000"/>
              </w:rPr>
              <w:t>Debt Financing</w:t>
            </w:r>
          </w:p>
        </w:tc>
        <w:tc>
          <w:tcPr>
            <w:tcW w:w="1441" w:type="dxa"/>
            <w:tcBorders>
              <w:top w:val="dotted" w:sz="4" w:space="0" w:color="auto"/>
              <w:left w:val="single" w:sz="8" w:space="0" w:color="auto"/>
              <w:bottom w:val="dotted" w:sz="4" w:space="0" w:color="auto"/>
              <w:right w:val="dotted" w:sz="4" w:space="0" w:color="auto"/>
            </w:tcBorders>
            <w:shd w:val="clear" w:color="auto" w:fill="auto"/>
            <w:vAlign w:val="center"/>
          </w:tcPr>
          <w:p w:rsidR="005177B6" w:rsidRPr="00487F2C" w:rsidRDefault="005177B6" w:rsidP="00663EF9">
            <w:pPr>
              <w:spacing w:after="0" w:line="240" w:lineRule="auto"/>
              <w:jc w:val="center"/>
              <w:rPr>
                <w:rFonts w:ascii="Calibri" w:eastAsia="Times New Roman" w:hAnsi="Calibri" w:cs="Times New Roman"/>
                <w:color w:val="2E74B5" w:themeColor="accent1" w:themeShade="BF"/>
                <w:sz w:val="18"/>
              </w:rPr>
            </w:pPr>
            <w:r>
              <w:rPr>
                <w:rFonts w:ascii="Calibri" w:hAnsi="Calibri"/>
                <w:color w:val="2E74B5" w:themeColor="accent1" w:themeShade="BF"/>
              </w:rPr>
              <w:t>preferred</w:t>
            </w:r>
          </w:p>
        </w:tc>
        <w:tc>
          <w:tcPr>
            <w:tcW w:w="1534" w:type="dxa"/>
            <w:tcBorders>
              <w:top w:val="dotted" w:sz="4" w:space="0" w:color="auto"/>
              <w:left w:val="dotted" w:sz="4" w:space="0" w:color="auto"/>
              <w:bottom w:val="dotted" w:sz="4" w:space="0" w:color="auto"/>
              <w:right w:val="dotted" w:sz="4" w:space="0" w:color="auto"/>
            </w:tcBorders>
            <w:shd w:val="clear" w:color="auto" w:fill="auto"/>
            <w:vAlign w:val="center"/>
          </w:tcPr>
          <w:p w:rsidR="005177B6" w:rsidRPr="00487F2C" w:rsidRDefault="005177B6" w:rsidP="00663EF9">
            <w:pPr>
              <w:spacing w:after="0" w:line="240" w:lineRule="auto"/>
              <w:jc w:val="center"/>
              <w:rPr>
                <w:rFonts w:ascii="Calibri" w:eastAsia="Times New Roman" w:hAnsi="Calibri" w:cs="Times New Roman"/>
                <w:color w:val="2E74B5" w:themeColor="accent1" w:themeShade="BF"/>
                <w:sz w:val="18"/>
              </w:rPr>
            </w:pPr>
          </w:p>
        </w:tc>
        <w:tc>
          <w:tcPr>
            <w:tcW w:w="1345" w:type="dxa"/>
            <w:tcBorders>
              <w:top w:val="dotted" w:sz="4" w:space="0" w:color="auto"/>
              <w:left w:val="dotted" w:sz="4" w:space="0" w:color="auto"/>
              <w:bottom w:val="dotted" w:sz="4" w:space="0" w:color="auto"/>
              <w:right w:val="dotted" w:sz="4" w:space="0" w:color="auto"/>
            </w:tcBorders>
            <w:shd w:val="clear" w:color="auto" w:fill="auto"/>
            <w:vAlign w:val="center"/>
          </w:tcPr>
          <w:p w:rsidR="005177B6" w:rsidRPr="00487F2C" w:rsidRDefault="005177B6" w:rsidP="00663EF9">
            <w:pPr>
              <w:spacing w:after="0" w:line="240" w:lineRule="auto"/>
              <w:jc w:val="center"/>
              <w:rPr>
                <w:rFonts w:ascii="Times New Roman" w:eastAsia="Times New Roman" w:hAnsi="Times New Roman" w:cs="Times New Roman"/>
                <w:color w:val="2E74B5" w:themeColor="accent1" w:themeShade="BF"/>
                <w:sz w:val="18"/>
                <w:szCs w:val="20"/>
              </w:rPr>
            </w:pPr>
            <w:r>
              <w:rPr>
                <w:rFonts w:ascii="Calibri" w:hAnsi="Calibri"/>
                <w:color w:val="2E74B5" w:themeColor="accent1" w:themeShade="BF"/>
              </w:rPr>
              <w:t>preferred</w:t>
            </w:r>
          </w:p>
        </w:tc>
        <w:tc>
          <w:tcPr>
            <w:tcW w:w="1618" w:type="dxa"/>
            <w:tcBorders>
              <w:top w:val="dotted" w:sz="4" w:space="0" w:color="auto"/>
              <w:left w:val="dotted" w:sz="4" w:space="0" w:color="auto"/>
              <w:bottom w:val="dotted" w:sz="4" w:space="0" w:color="auto"/>
              <w:right w:val="dotted" w:sz="4" w:space="0" w:color="auto"/>
            </w:tcBorders>
            <w:shd w:val="clear" w:color="auto" w:fill="auto"/>
            <w:vAlign w:val="center"/>
          </w:tcPr>
          <w:p w:rsidR="005177B6" w:rsidRPr="00487F2C" w:rsidRDefault="005177B6" w:rsidP="00663EF9">
            <w:pPr>
              <w:spacing w:after="0" w:line="240" w:lineRule="auto"/>
              <w:jc w:val="center"/>
              <w:rPr>
                <w:rFonts w:ascii="Calibri" w:hAnsi="Calibri"/>
                <w:color w:val="2E74B5" w:themeColor="accent1" w:themeShade="BF"/>
              </w:rPr>
            </w:pPr>
            <w:r>
              <w:rPr>
                <w:rFonts w:ascii="Calibri" w:hAnsi="Calibri"/>
                <w:color w:val="2E74B5" w:themeColor="accent1" w:themeShade="BF"/>
              </w:rPr>
              <w:t>preferred</w:t>
            </w:r>
          </w:p>
        </w:tc>
        <w:tc>
          <w:tcPr>
            <w:tcW w:w="1707" w:type="dxa"/>
            <w:tcBorders>
              <w:top w:val="dotted" w:sz="4" w:space="0" w:color="auto"/>
              <w:left w:val="dotted" w:sz="4" w:space="0" w:color="auto"/>
              <w:bottom w:val="dotted" w:sz="4" w:space="0" w:color="auto"/>
              <w:right w:val="single" w:sz="8" w:space="0" w:color="auto"/>
            </w:tcBorders>
            <w:vAlign w:val="center"/>
          </w:tcPr>
          <w:p w:rsidR="005177B6" w:rsidRPr="00487F2C" w:rsidRDefault="00860FD0" w:rsidP="00663EF9">
            <w:pPr>
              <w:spacing w:after="0" w:line="240" w:lineRule="auto"/>
              <w:jc w:val="center"/>
              <w:rPr>
                <w:rFonts w:ascii="Calibri" w:hAnsi="Calibri"/>
                <w:color w:val="2E74B5" w:themeColor="accent1" w:themeShade="BF"/>
              </w:rPr>
            </w:pPr>
            <w:r>
              <w:rPr>
                <w:rFonts w:ascii="Calibri" w:hAnsi="Calibri"/>
                <w:color w:val="2E74B5" w:themeColor="accent1" w:themeShade="BF"/>
              </w:rPr>
              <w:t>software only</w:t>
            </w:r>
          </w:p>
        </w:tc>
      </w:tr>
      <w:tr w:rsidR="005177B6" w:rsidRPr="00B70367" w:rsidTr="00A767A1">
        <w:trPr>
          <w:trHeight w:val="655"/>
        </w:trPr>
        <w:tc>
          <w:tcPr>
            <w:tcW w:w="1695" w:type="dxa"/>
            <w:tcBorders>
              <w:top w:val="single" w:sz="8" w:space="0" w:color="auto"/>
              <w:left w:val="single" w:sz="8" w:space="0" w:color="auto"/>
              <w:bottom w:val="single" w:sz="8" w:space="0" w:color="auto"/>
              <w:right w:val="single" w:sz="8" w:space="0" w:color="auto"/>
            </w:tcBorders>
            <w:shd w:val="clear" w:color="auto" w:fill="auto"/>
            <w:vAlign w:val="center"/>
          </w:tcPr>
          <w:p w:rsidR="005177B6" w:rsidRDefault="005177B6" w:rsidP="00663EF9">
            <w:pPr>
              <w:spacing w:after="0" w:line="240" w:lineRule="auto"/>
              <w:rPr>
                <w:rFonts w:ascii="Calibri" w:hAnsi="Calibri"/>
                <w:b/>
                <w:bCs/>
                <w:color w:val="000000"/>
              </w:rPr>
            </w:pPr>
            <w:r>
              <w:rPr>
                <w:rFonts w:ascii="Calibri" w:hAnsi="Calibri"/>
                <w:b/>
                <w:bCs/>
                <w:color w:val="000000"/>
              </w:rPr>
              <w:t>Public-Private Partnership</w:t>
            </w:r>
          </w:p>
        </w:tc>
        <w:tc>
          <w:tcPr>
            <w:tcW w:w="1441" w:type="dxa"/>
            <w:tcBorders>
              <w:top w:val="dotted" w:sz="4" w:space="0" w:color="auto"/>
              <w:left w:val="single" w:sz="8" w:space="0" w:color="auto"/>
              <w:bottom w:val="single" w:sz="8" w:space="0" w:color="auto"/>
              <w:right w:val="dotted" w:sz="4" w:space="0" w:color="auto"/>
            </w:tcBorders>
            <w:shd w:val="clear" w:color="auto" w:fill="auto"/>
            <w:vAlign w:val="center"/>
          </w:tcPr>
          <w:p w:rsidR="005177B6" w:rsidRPr="00487F2C" w:rsidRDefault="005177B6" w:rsidP="00663EF9">
            <w:pPr>
              <w:spacing w:after="0" w:line="240" w:lineRule="auto"/>
              <w:jc w:val="center"/>
              <w:rPr>
                <w:rFonts w:ascii="Calibri" w:eastAsia="Times New Roman" w:hAnsi="Calibri" w:cs="Times New Roman"/>
                <w:color w:val="2E74B5" w:themeColor="accent1" w:themeShade="BF"/>
              </w:rPr>
            </w:pPr>
            <w:r w:rsidRPr="00487F2C">
              <w:rPr>
                <w:rFonts w:ascii="Calibri" w:eastAsia="Times New Roman" w:hAnsi="Calibri" w:cs="Times New Roman"/>
                <w:color w:val="2E74B5" w:themeColor="accent1" w:themeShade="BF"/>
              </w:rPr>
              <w:t>pending further research</w:t>
            </w:r>
          </w:p>
        </w:tc>
        <w:tc>
          <w:tcPr>
            <w:tcW w:w="1534" w:type="dxa"/>
            <w:tcBorders>
              <w:top w:val="dotted" w:sz="4" w:space="0" w:color="auto"/>
              <w:left w:val="dotted" w:sz="4" w:space="0" w:color="auto"/>
              <w:bottom w:val="single" w:sz="8" w:space="0" w:color="auto"/>
              <w:right w:val="dotted" w:sz="4" w:space="0" w:color="auto"/>
            </w:tcBorders>
            <w:shd w:val="clear" w:color="auto" w:fill="auto"/>
            <w:vAlign w:val="center"/>
          </w:tcPr>
          <w:p w:rsidR="005177B6" w:rsidRPr="00487F2C" w:rsidRDefault="005177B6" w:rsidP="00663EF9">
            <w:pPr>
              <w:spacing w:after="0" w:line="240" w:lineRule="auto"/>
              <w:jc w:val="center"/>
              <w:rPr>
                <w:rFonts w:ascii="Calibri" w:eastAsia="Times New Roman" w:hAnsi="Calibri" w:cs="Times New Roman"/>
                <w:color w:val="2E74B5" w:themeColor="accent1" w:themeShade="BF"/>
              </w:rPr>
            </w:pPr>
            <w:r w:rsidRPr="00487F2C">
              <w:rPr>
                <w:rFonts w:ascii="Calibri" w:eastAsia="Times New Roman" w:hAnsi="Calibri" w:cs="Times New Roman"/>
                <w:color w:val="2E74B5" w:themeColor="accent1" w:themeShade="BF"/>
              </w:rPr>
              <w:t>pending further research</w:t>
            </w:r>
          </w:p>
        </w:tc>
        <w:tc>
          <w:tcPr>
            <w:tcW w:w="1345" w:type="dxa"/>
            <w:tcBorders>
              <w:top w:val="dotted" w:sz="4" w:space="0" w:color="auto"/>
              <w:left w:val="dotted" w:sz="4" w:space="0" w:color="auto"/>
              <w:bottom w:val="single" w:sz="8" w:space="0" w:color="auto"/>
              <w:right w:val="dotted" w:sz="4" w:space="0" w:color="auto"/>
            </w:tcBorders>
            <w:shd w:val="clear" w:color="auto" w:fill="auto"/>
            <w:vAlign w:val="center"/>
          </w:tcPr>
          <w:p w:rsidR="005177B6" w:rsidRPr="00487F2C" w:rsidRDefault="005177B6" w:rsidP="00663EF9">
            <w:pPr>
              <w:spacing w:after="0" w:line="240" w:lineRule="auto"/>
              <w:jc w:val="center"/>
              <w:rPr>
                <w:rFonts w:ascii="Times New Roman" w:eastAsia="Times New Roman" w:hAnsi="Times New Roman" w:cs="Times New Roman"/>
                <w:color w:val="2E74B5" w:themeColor="accent1" w:themeShade="BF"/>
                <w:sz w:val="18"/>
                <w:szCs w:val="20"/>
              </w:rPr>
            </w:pPr>
            <w:r w:rsidRPr="00487F2C">
              <w:rPr>
                <w:rFonts w:ascii="Calibri" w:eastAsia="Times New Roman" w:hAnsi="Calibri" w:cs="Times New Roman"/>
                <w:color w:val="2E74B5" w:themeColor="accent1" w:themeShade="BF"/>
              </w:rPr>
              <w:t>pending further research</w:t>
            </w:r>
          </w:p>
        </w:tc>
        <w:tc>
          <w:tcPr>
            <w:tcW w:w="1618" w:type="dxa"/>
            <w:tcBorders>
              <w:top w:val="dotted" w:sz="4" w:space="0" w:color="auto"/>
              <w:left w:val="dotted" w:sz="4" w:space="0" w:color="auto"/>
              <w:bottom w:val="single" w:sz="8" w:space="0" w:color="auto"/>
              <w:right w:val="dotted" w:sz="4" w:space="0" w:color="auto"/>
            </w:tcBorders>
            <w:shd w:val="clear" w:color="auto" w:fill="auto"/>
            <w:vAlign w:val="center"/>
          </w:tcPr>
          <w:p w:rsidR="005177B6" w:rsidRPr="00487F2C" w:rsidRDefault="005177B6" w:rsidP="00663EF9">
            <w:pPr>
              <w:spacing w:after="0" w:line="240" w:lineRule="auto"/>
              <w:jc w:val="center"/>
              <w:rPr>
                <w:rFonts w:ascii="Calibri" w:hAnsi="Calibri"/>
                <w:color w:val="2E74B5" w:themeColor="accent1" w:themeShade="BF"/>
              </w:rPr>
            </w:pPr>
            <w:r w:rsidRPr="00487F2C">
              <w:rPr>
                <w:rFonts w:ascii="Calibri" w:eastAsia="Times New Roman" w:hAnsi="Calibri" w:cs="Times New Roman"/>
                <w:color w:val="2E74B5" w:themeColor="accent1" w:themeShade="BF"/>
              </w:rPr>
              <w:t>pending further research</w:t>
            </w:r>
          </w:p>
        </w:tc>
        <w:tc>
          <w:tcPr>
            <w:tcW w:w="1707" w:type="dxa"/>
            <w:tcBorders>
              <w:top w:val="dotted" w:sz="4" w:space="0" w:color="auto"/>
              <w:left w:val="dotted" w:sz="4" w:space="0" w:color="auto"/>
              <w:bottom w:val="single" w:sz="8" w:space="0" w:color="auto"/>
              <w:right w:val="single" w:sz="8" w:space="0" w:color="auto"/>
            </w:tcBorders>
            <w:shd w:val="clear" w:color="auto" w:fill="auto"/>
            <w:vAlign w:val="center"/>
          </w:tcPr>
          <w:p w:rsidR="005177B6" w:rsidRPr="00487F2C" w:rsidRDefault="005177B6" w:rsidP="00663EF9">
            <w:pPr>
              <w:spacing w:after="0" w:line="240" w:lineRule="auto"/>
              <w:jc w:val="center"/>
              <w:rPr>
                <w:rFonts w:ascii="Calibri" w:hAnsi="Calibri"/>
                <w:color w:val="2E74B5" w:themeColor="accent1" w:themeShade="BF"/>
              </w:rPr>
            </w:pPr>
            <w:r w:rsidRPr="00487F2C">
              <w:rPr>
                <w:rFonts w:ascii="Calibri" w:eastAsia="Times New Roman" w:hAnsi="Calibri" w:cs="Times New Roman"/>
                <w:color w:val="2E74B5" w:themeColor="accent1" w:themeShade="BF"/>
              </w:rPr>
              <w:t>pending further research</w:t>
            </w:r>
          </w:p>
        </w:tc>
      </w:tr>
    </w:tbl>
    <w:p w:rsidR="00C009DB" w:rsidRDefault="00590096" w:rsidP="00DF0930">
      <w:pPr>
        <w:pStyle w:val="Heading2"/>
        <w:spacing w:before="160"/>
      </w:pPr>
      <w:r w:rsidRPr="00590096">
        <w:t>Required Funding</w:t>
      </w:r>
      <w:r w:rsidR="000D7132">
        <w:t xml:space="preserve"> &amp; Funding Source</w:t>
      </w:r>
    </w:p>
    <w:p w:rsidR="008B757B" w:rsidRDefault="004A06CC" w:rsidP="00BE616B">
      <w:r>
        <w:t xml:space="preserve">The Council </w:t>
      </w:r>
      <w:r w:rsidR="000973E7">
        <w:t xml:space="preserve">estimates that </w:t>
      </w:r>
      <w:r w:rsidR="00C0039A">
        <w:t xml:space="preserve">approximately </w:t>
      </w:r>
      <w:r w:rsidR="00590096">
        <w:t>$</w:t>
      </w:r>
      <w:r w:rsidR="00A942CE">
        <w:t xml:space="preserve">268 </w:t>
      </w:r>
      <w:r w:rsidR="00590096">
        <w:t>million</w:t>
      </w:r>
      <w:r w:rsidR="00092504">
        <w:t xml:space="preserve"> over a ten</w:t>
      </w:r>
      <w:r w:rsidR="000973E7">
        <w:t xml:space="preserve">-year period </w:t>
      </w:r>
      <w:r w:rsidR="00323582">
        <w:t xml:space="preserve">is necessary to </w:t>
      </w:r>
      <w:r w:rsidR="000973E7">
        <w:t>cover</w:t>
      </w:r>
      <w:r w:rsidR="00590096">
        <w:t xml:space="preserve"> Framework data </w:t>
      </w:r>
      <w:r w:rsidR="008624C9">
        <w:t xml:space="preserve">program start-up </w:t>
      </w:r>
      <w:r>
        <w:t xml:space="preserve">costs, </w:t>
      </w:r>
      <w:r w:rsidR="000973E7">
        <w:t xml:space="preserve">including data </w:t>
      </w:r>
      <w:r w:rsidR="00590096">
        <w:t>development</w:t>
      </w:r>
      <w:r w:rsidR="008B757B">
        <w:t xml:space="preserve">, </w:t>
      </w:r>
      <w:r w:rsidR="000973E7">
        <w:t>limited-duration (LD</w:t>
      </w:r>
      <w:r w:rsidR="00BE616B">
        <w:t>)</w:t>
      </w:r>
      <w:r w:rsidR="000973E7">
        <w:t xml:space="preserve"> </w:t>
      </w:r>
      <w:r w:rsidR="008B757B">
        <w:t xml:space="preserve">personnel, </w:t>
      </w:r>
      <w:r w:rsidR="000973E7">
        <w:t>hardwar</w:t>
      </w:r>
      <w:r w:rsidR="00BE616B">
        <w:t>e</w:t>
      </w:r>
      <w:r w:rsidR="008B757B">
        <w:t>,</w:t>
      </w:r>
      <w:r w:rsidR="000973E7">
        <w:t xml:space="preserve"> software, and</w:t>
      </w:r>
      <w:r w:rsidR="008B757B">
        <w:t xml:space="preserve"> contracting</w:t>
      </w:r>
      <w:r w:rsidR="00323582">
        <w:t xml:space="preserve"> services</w:t>
      </w:r>
      <w:r w:rsidR="008B757B">
        <w:t>.</w:t>
      </w:r>
      <w:r w:rsidR="000D7132">
        <w:t xml:space="preserve"> </w:t>
      </w:r>
      <w:r w:rsidR="000973E7">
        <w:t xml:space="preserve">  </w:t>
      </w:r>
      <w:r w:rsidR="00BE616B">
        <w:t>Operating</w:t>
      </w:r>
      <w:r w:rsidR="00F01165">
        <w:t xml:space="preserve"> costs for personnel and operational expenses </w:t>
      </w:r>
      <w:r w:rsidR="00101402">
        <w:t xml:space="preserve">to maintain the data over time and provide continual management and access to the data </w:t>
      </w:r>
      <w:r w:rsidR="000973E7">
        <w:t xml:space="preserve">would require about </w:t>
      </w:r>
      <w:r w:rsidR="00F01165">
        <w:t>$</w:t>
      </w:r>
      <w:r w:rsidR="00154E63">
        <w:t>1</w:t>
      </w:r>
      <w:r w:rsidR="00092504">
        <w:t>3</w:t>
      </w:r>
      <w:r w:rsidR="00EB061C">
        <w:t xml:space="preserve"> </w:t>
      </w:r>
      <w:r w:rsidR="000973E7">
        <w:t>million</w:t>
      </w:r>
      <w:r w:rsidR="00F01165">
        <w:t xml:space="preserve"> </w:t>
      </w:r>
      <w:r w:rsidR="000973E7">
        <w:t>annually</w:t>
      </w:r>
      <w:r w:rsidR="00BE616B">
        <w:t xml:space="preserve"> during the startup </w:t>
      </w:r>
      <w:r w:rsidR="00BE616B" w:rsidRPr="0007051B">
        <w:t>period</w:t>
      </w:r>
      <w:r w:rsidR="00BE616B">
        <w:t xml:space="preserve"> and </w:t>
      </w:r>
      <w:r w:rsidR="00101402">
        <w:t>beyond</w:t>
      </w:r>
      <w:r w:rsidR="000973E7">
        <w:t>.</w:t>
      </w:r>
    </w:p>
    <w:p w:rsidR="00D55EEF" w:rsidRDefault="00AC17B2" w:rsidP="00293FA8">
      <w:pPr>
        <w:pStyle w:val="Heading2"/>
      </w:pPr>
      <w:r>
        <w:t xml:space="preserve">Detailed </w:t>
      </w:r>
      <w:r w:rsidR="00D55EEF" w:rsidRPr="00AF61A2">
        <w:t>Cost Structure</w:t>
      </w:r>
    </w:p>
    <w:p w:rsidR="00D55EEF" w:rsidRPr="001576B1" w:rsidRDefault="00D55EEF">
      <w:pPr>
        <w:rPr>
          <w:i/>
          <w:u w:val="single"/>
        </w:rPr>
      </w:pPr>
      <w:r w:rsidRPr="001576B1">
        <w:rPr>
          <w:i/>
          <w:u w:val="single"/>
        </w:rPr>
        <w:t xml:space="preserve">Start-Up, One-Time </w:t>
      </w:r>
      <w:r w:rsidR="00D90DE4" w:rsidRPr="001576B1">
        <w:rPr>
          <w:i/>
          <w:u w:val="single"/>
        </w:rPr>
        <w:t>Tasks</w:t>
      </w:r>
      <w:r w:rsidRPr="001576B1">
        <w:rPr>
          <w:i/>
          <w:u w:val="single"/>
        </w:rPr>
        <w:t xml:space="preserve"> (over </w:t>
      </w:r>
      <w:r w:rsidR="004609C0" w:rsidRPr="001576B1">
        <w:rPr>
          <w:i/>
          <w:u w:val="single"/>
        </w:rPr>
        <w:t>ten</w:t>
      </w:r>
      <w:r w:rsidRPr="001576B1">
        <w:rPr>
          <w:i/>
          <w:u w:val="single"/>
        </w:rPr>
        <w:t>-year period)</w:t>
      </w:r>
    </w:p>
    <w:p w:rsidR="000D7132" w:rsidRDefault="008624C9" w:rsidP="00931E42">
      <w:pPr>
        <w:pStyle w:val="ListParagraph"/>
        <w:numPr>
          <w:ilvl w:val="0"/>
          <w:numId w:val="32"/>
        </w:numPr>
      </w:pPr>
      <w:r>
        <w:t xml:space="preserve">Technical </w:t>
      </w:r>
      <w:r w:rsidR="000D7132">
        <w:t>Infrastructure</w:t>
      </w:r>
      <w:r>
        <w:t xml:space="preserve"> design and implementation</w:t>
      </w:r>
    </w:p>
    <w:p w:rsidR="00A07B4D" w:rsidRDefault="00931E42" w:rsidP="00334C5A">
      <w:pPr>
        <w:pStyle w:val="ListParagraph"/>
        <w:numPr>
          <w:ilvl w:val="1"/>
          <w:numId w:val="32"/>
        </w:numPr>
      </w:pPr>
      <w:r>
        <w:t>The system to enable secure Framework data sharing between all public bodies will include system design, planning, testing and implementation between August 2019 and January 2020, with full implementation on January 2, 2020.  This work will include effort by GEO staff and contractors, as well as assistance by some local and regional government staff.</w:t>
      </w:r>
    </w:p>
    <w:p w:rsidR="00531391" w:rsidRDefault="00DD61CA" w:rsidP="00531391">
      <w:pPr>
        <w:pStyle w:val="ListParagraph"/>
        <w:numPr>
          <w:ilvl w:val="0"/>
          <w:numId w:val="32"/>
        </w:numPr>
      </w:pPr>
      <w:r>
        <w:t>Data sharing program pilot projects</w:t>
      </w:r>
    </w:p>
    <w:p w:rsidR="00DD61CA" w:rsidRDefault="00DD61CA" w:rsidP="00DD61CA">
      <w:pPr>
        <w:pStyle w:val="ListParagraph"/>
        <w:numPr>
          <w:ilvl w:val="1"/>
          <w:numId w:val="32"/>
        </w:numPr>
      </w:pPr>
      <w:r>
        <w:t xml:space="preserve">Two pilot projects will be planned and conducted to provide information that will help OGIC more precisely estimate data development and program costs for future biennia.  One pilot will be planned along the coast, to </w:t>
      </w:r>
      <w:r w:rsidR="000E1E8D">
        <w:t xml:space="preserve">complete higher-priority Framework data and data sharing within a selected area to support tsunami planning and </w:t>
      </w:r>
      <w:r>
        <w:t xml:space="preserve">resilience.  Another pilot will be planned in an area </w:t>
      </w:r>
      <w:r w:rsidR="000E1E8D">
        <w:t xml:space="preserve">of </w:t>
      </w:r>
      <w:r>
        <w:t xml:space="preserve">central or eastern Oregon </w:t>
      </w:r>
      <w:r w:rsidR="000E1E8D">
        <w:t xml:space="preserve">to complete higher-priority Framework data creation and sharing to support </w:t>
      </w:r>
      <w:r>
        <w:t>wildfire</w:t>
      </w:r>
      <w:r w:rsidR="000E1E8D">
        <w:t xml:space="preserve"> response planning and operations</w:t>
      </w:r>
      <w:r>
        <w:t xml:space="preserve">.  </w:t>
      </w:r>
      <w:r w:rsidR="000E1E8D">
        <w:t xml:space="preserve">Both pilots will focus on returning immediate value to disaster resilience programs.  This delivers value on two fronts:  direct utility to resilience programs and a thorough, meaningful test of the Framework data program’s business model and data-sharing capabilities. </w:t>
      </w:r>
    </w:p>
    <w:p w:rsidR="000D7132" w:rsidRDefault="000D7132" w:rsidP="00931E42">
      <w:pPr>
        <w:pStyle w:val="ListParagraph"/>
        <w:numPr>
          <w:ilvl w:val="0"/>
          <w:numId w:val="32"/>
        </w:numPr>
      </w:pPr>
      <w:r w:rsidRPr="000D7132">
        <w:t xml:space="preserve">Data </w:t>
      </w:r>
      <w:r w:rsidR="005D57E0">
        <w:t>d</w:t>
      </w:r>
      <w:r w:rsidRPr="000D7132">
        <w:t>evelopment</w:t>
      </w:r>
      <w:r w:rsidR="00D90DE4">
        <w:t>, statewide</w:t>
      </w:r>
    </w:p>
    <w:p w:rsidR="00931E42" w:rsidRDefault="00931E42" w:rsidP="00DD61CA">
      <w:pPr>
        <w:pStyle w:val="ListParagraph"/>
        <w:numPr>
          <w:ilvl w:val="1"/>
          <w:numId w:val="32"/>
        </w:numPr>
      </w:pPr>
      <w:r>
        <w:t xml:space="preserve">Data development will occur in several phases.  </w:t>
      </w:r>
      <w:r w:rsidR="00E5211C">
        <w:t>The first phase</w:t>
      </w:r>
      <w:r w:rsidR="00DD61CA">
        <w:t>, in FY20</w:t>
      </w:r>
      <w:r w:rsidR="00E5211C">
        <w:t>21</w:t>
      </w:r>
      <w:r w:rsidR="00DD61CA">
        <w:t>-23</w:t>
      </w:r>
      <w:r w:rsidR="00E5211C">
        <w:t xml:space="preserve">, will develop </w:t>
      </w:r>
      <w:r w:rsidR="00DD61CA">
        <w:t>the highest priority data</w:t>
      </w:r>
      <w:r w:rsidR="00E5211C">
        <w:t xml:space="preserve">.  </w:t>
      </w:r>
      <w:r w:rsidR="00DD61CA">
        <w:t xml:space="preserve">The second phase, in FY2023-25, will high </w:t>
      </w:r>
      <w:r w:rsidR="00E5211C">
        <w:t>prio</w:t>
      </w:r>
      <w:r w:rsidR="00DD61CA">
        <w:t>rity data statewide.  The third</w:t>
      </w:r>
      <w:r w:rsidR="00E5211C">
        <w:t xml:space="preserve"> phase, in FY2025-27,</w:t>
      </w:r>
      <w:r w:rsidR="00DD61CA">
        <w:t xml:space="preserve"> will develop</w:t>
      </w:r>
      <w:r w:rsidR="00E5211C">
        <w:t xml:space="preserve"> </w:t>
      </w:r>
      <w:r w:rsidR="00DD61CA">
        <w:t>medium priority data.  The fourth</w:t>
      </w:r>
      <w:r w:rsidR="00E5211C">
        <w:t xml:space="preserve"> phase, in FY 2027-29</w:t>
      </w:r>
      <w:r w:rsidR="00DD61CA">
        <w:t>,</w:t>
      </w:r>
      <w:r w:rsidR="00E5211C">
        <w:t xml:space="preserve"> will complete the lower priority data statewide.  This work includes program management, planning, data validation and quality control.</w:t>
      </w:r>
      <w:r w:rsidR="00DD61CA">
        <w:t xml:space="preserve">  It also includes regional data standardization and aggregation.</w:t>
      </w:r>
      <w:r w:rsidR="00D90DE4">
        <w:t xml:space="preserve">  Regional governments and some county governments will perform data standardization and aggregation tasks for many local governments, including some small local governments where capacity building is not feasible.</w:t>
      </w:r>
    </w:p>
    <w:p w:rsidR="000D7132" w:rsidRDefault="00DD61CA" w:rsidP="00931E42">
      <w:pPr>
        <w:pStyle w:val="ListParagraph"/>
        <w:numPr>
          <w:ilvl w:val="0"/>
          <w:numId w:val="32"/>
        </w:numPr>
      </w:pPr>
      <w:r>
        <w:t>P</w:t>
      </w:r>
      <w:r w:rsidR="00531391">
        <w:t>rogram development and implementation</w:t>
      </w:r>
    </w:p>
    <w:p w:rsidR="0000675C" w:rsidRDefault="00DD61CA" w:rsidP="0055721E">
      <w:pPr>
        <w:pStyle w:val="ListParagraph"/>
        <w:numPr>
          <w:ilvl w:val="1"/>
          <w:numId w:val="32"/>
        </w:numPr>
      </w:pPr>
      <w:r>
        <w:t>This</w:t>
      </w:r>
      <w:r w:rsidR="00E5211C">
        <w:t xml:space="preserve"> includes capacity building in local and regional governments</w:t>
      </w:r>
      <w:r w:rsidR="001F39FF">
        <w:t xml:space="preserve">, </w:t>
      </w:r>
      <w:r>
        <w:t xml:space="preserve">as well as </w:t>
      </w:r>
      <w:r w:rsidR="00667B8E">
        <w:t>software procurement and provisioning</w:t>
      </w:r>
      <w:r>
        <w:t>.  Capacity building will include web application development</w:t>
      </w:r>
      <w:r w:rsidR="00667B8E">
        <w:t xml:space="preserve"> and training.    </w:t>
      </w:r>
      <w:r w:rsidR="005F189B">
        <w:t>The software to support this program will follow the state GIS software standard (OAR 125-600-7550).  The software is currently available to state agencies through an enterprise license agreement.  That agreement will be extended to include all public bodies</w:t>
      </w:r>
      <w:r w:rsidR="00D90DE4">
        <w:t>,</w:t>
      </w:r>
      <w:r w:rsidR="005F189B">
        <w:t xml:space="preserve"> and various components will be provisioned and implemented as appropriate to local and regional governments to participate in data development, maintenance, standardization, aggregation and sharing.</w:t>
      </w:r>
    </w:p>
    <w:p w:rsidR="000D7132" w:rsidRDefault="00D90DE4" w:rsidP="00931E42">
      <w:pPr>
        <w:pStyle w:val="ListParagraph"/>
        <w:numPr>
          <w:ilvl w:val="0"/>
          <w:numId w:val="32"/>
        </w:numPr>
      </w:pPr>
      <w:r>
        <w:t>Program management and administration</w:t>
      </w:r>
    </w:p>
    <w:p w:rsidR="0000675C" w:rsidRDefault="0000675C" w:rsidP="00D570F1">
      <w:pPr>
        <w:pStyle w:val="ListParagraph"/>
        <w:numPr>
          <w:ilvl w:val="1"/>
          <w:numId w:val="32"/>
        </w:numPr>
        <w:spacing w:after="120"/>
      </w:pPr>
      <w:r>
        <w:t xml:space="preserve">This category includes overall program planning, individual project planning for data development, evaluation of all aspects of the program to inform future funding requests, </w:t>
      </w:r>
      <w:r w:rsidR="00477B4E">
        <w:t xml:space="preserve">and </w:t>
      </w:r>
      <w:r>
        <w:t>procurement of contract services</w:t>
      </w:r>
      <w:r w:rsidR="00477B4E">
        <w:t xml:space="preserve"> for system design, data development, training, and technology provisioning.  Some of this work will be done and/or supported by limited duration staff.</w:t>
      </w:r>
      <w:r w:rsidR="00D90DE4">
        <w:t xml:space="preserve">  Based on OGIC’s current recommendation, debt service will be used to accelerate the program development, particularly Framework data development.  As a result, there will be costs associated with repaying the debt.  The cost of debt service will be based on how much is borrowed, the type of bonds that are used, etc.  At this time, this cost is unknown.</w:t>
      </w:r>
    </w:p>
    <w:p w:rsidR="00B22315" w:rsidRDefault="00B22315" w:rsidP="00B22315">
      <w:pPr>
        <w:pStyle w:val="Caption"/>
        <w:keepNext/>
        <w:spacing w:after="40"/>
      </w:pPr>
      <w:r>
        <w:t xml:space="preserve">Table </w:t>
      </w:r>
      <w:r>
        <w:t>5. Start-</w:t>
      </w:r>
      <w:r>
        <w:t>up costs will extend over 10 years to afford adequate time for dat</w:t>
      </w:r>
      <w:r>
        <w:t>a development across the state.</w:t>
      </w:r>
    </w:p>
    <w:tbl>
      <w:tblPr>
        <w:tblW w:w="5097" w:type="pct"/>
        <w:tblLook w:val="04A0" w:firstRow="1" w:lastRow="0" w:firstColumn="1" w:lastColumn="0" w:noHBand="0" w:noVBand="1"/>
      </w:tblPr>
      <w:tblGrid>
        <w:gridCol w:w="414"/>
        <w:gridCol w:w="7769"/>
        <w:gridCol w:w="1359"/>
      </w:tblGrid>
      <w:tr w:rsidR="00B22315" w:rsidRPr="00B748A4" w:rsidTr="00DD0C61">
        <w:trPr>
          <w:trHeight w:val="642"/>
        </w:trPr>
        <w:tc>
          <w:tcPr>
            <w:tcW w:w="217" w:type="pct"/>
            <w:tcBorders>
              <w:top w:val="thinThickLargeGap" w:sz="24" w:space="0" w:color="auto"/>
              <w:left w:val="nil"/>
              <w:bottom w:val="single" w:sz="8" w:space="0" w:color="auto"/>
              <w:right w:val="nil"/>
            </w:tcBorders>
            <w:shd w:val="clear" w:color="auto" w:fill="auto"/>
            <w:noWrap/>
            <w:vAlign w:val="bottom"/>
            <w:hideMark/>
          </w:tcPr>
          <w:p w:rsidR="00B22315" w:rsidRPr="00B22315" w:rsidRDefault="00B22315" w:rsidP="00DD0C61">
            <w:pPr>
              <w:spacing w:after="0" w:line="240" w:lineRule="auto"/>
              <w:rPr>
                <w:rFonts w:eastAsia="Times New Roman" w:cs="Times New Roman"/>
              </w:rPr>
            </w:pPr>
          </w:p>
        </w:tc>
        <w:tc>
          <w:tcPr>
            <w:tcW w:w="4071" w:type="pct"/>
            <w:tcBorders>
              <w:top w:val="thinThickLargeGap" w:sz="24" w:space="0" w:color="auto"/>
              <w:left w:val="nil"/>
              <w:bottom w:val="single" w:sz="8" w:space="0" w:color="auto"/>
              <w:right w:val="nil"/>
            </w:tcBorders>
            <w:shd w:val="clear" w:color="auto" w:fill="auto"/>
            <w:noWrap/>
            <w:vAlign w:val="bottom"/>
            <w:hideMark/>
          </w:tcPr>
          <w:p w:rsidR="00B22315" w:rsidRPr="00B22315" w:rsidRDefault="00B22315" w:rsidP="00DD0C61">
            <w:pPr>
              <w:spacing w:after="0" w:line="240" w:lineRule="auto"/>
              <w:rPr>
                <w:rFonts w:eastAsia="Times New Roman" w:cs="Times New Roman"/>
                <w:b/>
              </w:rPr>
            </w:pPr>
            <w:r w:rsidRPr="00B22315">
              <w:rPr>
                <w:rFonts w:eastAsia="Times New Roman" w:cs="Times New Roman"/>
                <w:b/>
              </w:rPr>
              <w:t>Start Up Activities</w:t>
            </w:r>
          </w:p>
        </w:tc>
        <w:tc>
          <w:tcPr>
            <w:tcW w:w="712" w:type="pct"/>
            <w:tcBorders>
              <w:top w:val="thinThickLargeGap" w:sz="24" w:space="0" w:color="auto"/>
              <w:left w:val="nil"/>
              <w:bottom w:val="single" w:sz="8" w:space="0" w:color="auto"/>
              <w:right w:val="nil"/>
            </w:tcBorders>
            <w:shd w:val="clear" w:color="auto" w:fill="auto"/>
            <w:vAlign w:val="bottom"/>
            <w:hideMark/>
          </w:tcPr>
          <w:p w:rsidR="00B22315" w:rsidRPr="00B748A4" w:rsidRDefault="00B22315" w:rsidP="00DD0C61">
            <w:pPr>
              <w:spacing w:after="0" w:line="240" w:lineRule="auto"/>
              <w:jc w:val="right"/>
              <w:rPr>
                <w:rFonts w:eastAsia="Times New Roman" w:cs="Times New Roman"/>
                <w:b/>
                <w:bCs/>
                <w:color w:val="000000"/>
              </w:rPr>
            </w:pPr>
            <w:r w:rsidRPr="00B748A4">
              <w:rPr>
                <w:rFonts w:eastAsia="Times New Roman" w:cs="Times New Roman"/>
                <w:b/>
                <w:bCs/>
                <w:color w:val="000000"/>
              </w:rPr>
              <w:t>Total activity cost (millions)</w:t>
            </w:r>
          </w:p>
        </w:tc>
      </w:tr>
      <w:tr w:rsidR="00B22315" w:rsidRPr="00B748A4" w:rsidTr="00DD0C61">
        <w:trPr>
          <w:trHeight w:val="300"/>
        </w:trPr>
        <w:tc>
          <w:tcPr>
            <w:tcW w:w="217" w:type="pct"/>
            <w:tcBorders>
              <w:top w:val="single" w:sz="8" w:space="0" w:color="auto"/>
              <w:left w:val="nil"/>
              <w:bottom w:val="nil"/>
              <w:right w:val="nil"/>
            </w:tcBorders>
            <w:shd w:val="clear" w:color="auto" w:fill="auto"/>
            <w:noWrap/>
            <w:vAlign w:val="center"/>
            <w:hideMark/>
          </w:tcPr>
          <w:p w:rsidR="00B22315" w:rsidRPr="00B22315" w:rsidRDefault="00B22315" w:rsidP="00DD0C61">
            <w:pPr>
              <w:spacing w:after="0" w:line="240" w:lineRule="auto"/>
              <w:rPr>
                <w:rFonts w:eastAsia="Times New Roman" w:cs="Times New Roman"/>
                <w:b/>
                <w:bCs/>
                <w:color w:val="000000"/>
              </w:rPr>
            </w:pPr>
            <w:r w:rsidRPr="00B22315">
              <w:rPr>
                <w:rFonts w:eastAsia="Times New Roman" w:cs="Times New Roman"/>
                <w:b/>
                <w:bCs/>
                <w:color w:val="000000"/>
              </w:rPr>
              <w:t>A.</w:t>
            </w:r>
          </w:p>
        </w:tc>
        <w:tc>
          <w:tcPr>
            <w:tcW w:w="4071" w:type="pct"/>
            <w:tcBorders>
              <w:top w:val="single" w:sz="8" w:space="0" w:color="auto"/>
              <w:left w:val="nil"/>
              <w:bottom w:val="nil"/>
              <w:right w:val="nil"/>
            </w:tcBorders>
            <w:shd w:val="clear" w:color="auto" w:fill="auto"/>
            <w:noWrap/>
            <w:vAlign w:val="center"/>
            <w:hideMark/>
          </w:tcPr>
          <w:p w:rsidR="00B22315" w:rsidRPr="00B22315" w:rsidRDefault="00B22315" w:rsidP="00DD0C61">
            <w:pPr>
              <w:spacing w:after="0" w:line="240" w:lineRule="auto"/>
              <w:rPr>
                <w:rFonts w:eastAsia="Times New Roman" w:cs="Times New Roman"/>
                <w:b/>
                <w:bCs/>
                <w:color w:val="000000"/>
              </w:rPr>
            </w:pPr>
            <w:r w:rsidRPr="00B22315">
              <w:rPr>
                <w:rFonts w:eastAsia="Times New Roman" w:cs="Times New Roman"/>
                <w:b/>
                <w:bCs/>
                <w:color w:val="000000"/>
              </w:rPr>
              <w:t>Technical Infrastructure design and implementation</w:t>
            </w:r>
          </w:p>
        </w:tc>
        <w:tc>
          <w:tcPr>
            <w:tcW w:w="712" w:type="pct"/>
            <w:tcBorders>
              <w:top w:val="single" w:sz="8" w:space="0" w:color="auto"/>
              <w:left w:val="nil"/>
              <w:bottom w:val="nil"/>
              <w:right w:val="nil"/>
            </w:tcBorders>
            <w:shd w:val="clear" w:color="auto" w:fill="auto"/>
            <w:noWrap/>
            <w:vAlign w:val="center"/>
            <w:hideMark/>
          </w:tcPr>
          <w:p w:rsidR="00B22315" w:rsidRPr="00B748A4" w:rsidRDefault="00B22315" w:rsidP="00DD0C61">
            <w:pPr>
              <w:spacing w:after="0" w:line="240" w:lineRule="auto"/>
              <w:rPr>
                <w:rFonts w:eastAsia="Times New Roman" w:cs="Times New Roman"/>
                <w:b/>
                <w:bCs/>
                <w:color w:val="000000"/>
              </w:rPr>
            </w:pPr>
          </w:p>
        </w:tc>
      </w:tr>
      <w:tr w:rsidR="00B22315" w:rsidRPr="00B748A4" w:rsidTr="00DD0C61">
        <w:trPr>
          <w:trHeight w:val="300"/>
        </w:trPr>
        <w:tc>
          <w:tcPr>
            <w:tcW w:w="217" w:type="pct"/>
            <w:tcBorders>
              <w:top w:val="nil"/>
              <w:left w:val="nil"/>
              <w:bottom w:val="dotted" w:sz="4" w:space="0" w:color="auto"/>
              <w:right w:val="nil"/>
            </w:tcBorders>
            <w:shd w:val="clear" w:color="auto" w:fill="auto"/>
            <w:noWrap/>
            <w:vAlign w:val="center"/>
            <w:hideMark/>
          </w:tcPr>
          <w:p w:rsidR="00B22315" w:rsidRPr="00B22315" w:rsidRDefault="00B22315" w:rsidP="00DD0C61">
            <w:pPr>
              <w:spacing w:after="0" w:line="240" w:lineRule="auto"/>
              <w:rPr>
                <w:rFonts w:eastAsia="Times New Roman" w:cs="Times New Roman"/>
              </w:rPr>
            </w:pPr>
          </w:p>
        </w:tc>
        <w:tc>
          <w:tcPr>
            <w:tcW w:w="4071" w:type="pct"/>
            <w:tcBorders>
              <w:top w:val="nil"/>
              <w:left w:val="nil"/>
              <w:bottom w:val="dotted" w:sz="4" w:space="0" w:color="auto"/>
              <w:right w:val="nil"/>
            </w:tcBorders>
            <w:shd w:val="clear" w:color="auto" w:fill="auto"/>
            <w:noWrap/>
            <w:vAlign w:val="center"/>
            <w:hideMark/>
          </w:tcPr>
          <w:p w:rsidR="00B22315" w:rsidRPr="00B22315" w:rsidRDefault="00B22315" w:rsidP="00DD0C61">
            <w:pPr>
              <w:spacing w:after="0" w:line="240" w:lineRule="auto"/>
              <w:ind w:firstLineChars="100" w:firstLine="220"/>
              <w:rPr>
                <w:rFonts w:eastAsia="Times New Roman" w:cs="Times New Roman"/>
                <w:color w:val="000000"/>
              </w:rPr>
            </w:pPr>
            <w:r w:rsidRPr="00B22315">
              <w:rPr>
                <w:rFonts w:eastAsia="Times New Roman" w:cs="Times New Roman"/>
                <w:color w:val="000000"/>
              </w:rPr>
              <w:t>System design, planning, testing and implementation</w:t>
            </w:r>
          </w:p>
        </w:tc>
        <w:tc>
          <w:tcPr>
            <w:tcW w:w="712" w:type="pct"/>
            <w:tcBorders>
              <w:top w:val="nil"/>
              <w:left w:val="nil"/>
              <w:bottom w:val="dotted" w:sz="4" w:space="0" w:color="auto"/>
              <w:right w:val="nil"/>
            </w:tcBorders>
            <w:shd w:val="clear" w:color="auto" w:fill="auto"/>
            <w:noWrap/>
            <w:vAlign w:val="center"/>
            <w:hideMark/>
          </w:tcPr>
          <w:p w:rsidR="00B22315" w:rsidRPr="00B748A4" w:rsidRDefault="00B22315" w:rsidP="00DD0C61">
            <w:pPr>
              <w:spacing w:after="0" w:line="240" w:lineRule="auto"/>
              <w:jc w:val="right"/>
              <w:rPr>
                <w:rFonts w:eastAsia="Times New Roman" w:cs="Times New Roman"/>
                <w:color w:val="000000"/>
              </w:rPr>
            </w:pPr>
            <w:r w:rsidRPr="00B748A4">
              <w:rPr>
                <w:rFonts w:eastAsia="Times New Roman" w:cs="Times New Roman"/>
                <w:color w:val="000000"/>
              </w:rPr>
              <w:t>1</w:t>
            </w:r>
          </w:p>
        </w:tc>
      </w:tr>
      <w:tr w:rsidR="00B22315" w:rsidRPr="00B748A4" w:rsidTr="00DD0C61">
        <w:trPr>
          <w:trHeight w:val="300"/>
        </w:trPr>
        <w:tc>
          <w:tcPr>
            <w:tcW w:w="217" w:type="pct"/>
            <w:tcBorders>
              <w:top w:val="nil"/>
              <w:left w:val="nil"/>
              <w:bottom w:val="nil"/>
              <w:right w:val="nil"/>
            </w:tcBorders>
            <w:shd w:val="clear" w:color="auto" w:fill="auto"/>
            <w:noWrap/>
            <w:vAlign w:val="center"/>
            <w:hideMark/>
          </w:tcPr>
          <w:p w:rsidR="00B22315" w:rsidRPr="00B22315" w:rsidRDefault="00B22315" w:rsidP="00DD0C61">
            <w:pPr>
              <w:spacing w:after="0" w:line="240" w:lineRule="auto"/>
              <w:rPr>
                <w:rFonts w:eastAsia="Times New Roman" w:cs="Times New Roman"/>
                <w:b/>
                <w:bCs/>
                <w:color w:val="000000"/>
              </w:rPr>
            </w:pPr>
            <w:r w:rsidRPr="00B22315">
              <w:rPr>
                <w:rFonts w:eastAsia="Times New Roman" w:cs="Times New Roman"/>
                <w:b/>
                <w:bCs/>
                <w:color w:val="000000"/>
              </w:rPr>
              <w:t>B.</w:t>
            </w:r>
          </w:p>
        </w:tc>
        <w:tc>
          <w:tcPr>
            <w:tcW w:w="4071" w:type="pct"/>
            <w:tcBorders>
              <w:top w:val="nil"/>
              <w:left w:val="nil"/>
              <w:bottom w:val="nil"/>
              <w:right w:val="nil"/>
            </w:tcBorders>
            <w:shd w:val="clear" w:color="auto" w:fill="auto"/>
            <w:noWrap/>
            <w:vAlign w:val="center"/>
            <w:hideMark/>
          </w:tcPr>
          <w:p w:rsidR="00B22315" w:rsidRPr="00B22315" w:rsidRDefault="00B22315" w:rsidP="00DD0C61">
            <w:pPr>
              <w:spacing w:after="0" w:line="240" w:lineRule="auto"/>
              <w:rPr>
                <w:rFonts w:eastAsia="Times New Roman" w:cs="Times New Roman"/>
                <w:b/>
                <w:bCs/>
                <w:color w:val="000000"/>
              </w:rPr>
            </w:pPr>
            <w:r w:rsidRPr="00B22315">
              <w:rPr>
                <w:rFonts w:eastAsia="Times New Roman" w:cs="Times New Roman"/>
                <w:b/>
                <w:bCs/>
                <w:color w:val="000000"/>
              </w:rPr>
              <w:t>Data sharing program pilot projects</w:t>
            </w:r>
          </w:p>
        </w:tc>
        <w:tc>
          <w:tcPr>
            <w:tcW w:w="712" w:type="pct"/>
            <w:tcBorders>
              <w:top w:val="nil"/>
              <w:left w:val="nil"/>
              <w:bottom w:val="nil"/>
              <w:right w:val="nil"/>
            </w:tcBorders>
            <w:shd w:val="clear" w:color="auto" w:fill="auto"/>
            <w:noWrap/>
            <w:vAlign w:val="center"/>
            <w:hideMark/>
          </w:tcPr>
          <w:p w:rsidR="00B22315" w:rsidRPr="00B748A4" w:rsidRDefault="00B22315" w:rsidP="00DD0C61">
            <w:pPr>
              <w:spacing w:after="0" w:line="240" w:lineRule="auto"/>
              <w:rPr>
                <w:rFonts w:eastAsia="Times New Roman" w:cs="Times New Roman"/>
                <w:b/>
                <w:bCs/>
                <w:color w:val="000000"/>
              </w:rPr>
            </w:pPr>
          </w:p>
        </w:tc>
      </w:tr>
      <w:tr w:rsidR="00B22315" w:rsidRPr="00B748A4" w:rsidTr="00DD0C61">
        <w:trPr>
          <w:trHeight w:val="300"/>
        </w:trPr>
        <w:tc>
          <w:tcPr>
            <w:tcW w:w="217" w:type="pct"/>
            <w:tcBorders>
              <w:top w:val="nil"/>
              <w:left w:val="nil"/>
              <w:bottom w:val="nil"/>
              <w:right w:val="nil"/>
            </w:tcBorders>
            <w:shd w:val="clear" w:color="auto" w:fill="auto"/>
            <w:noWrap/>
            <w:vAlign w:val="center"/>
            <w:hideMark/>
          </w:tcPr>
          <w:p w:rsidR="00B22315" w:rsidRPr="00B22315" w:rsidRDefault="00B22315" w:rsidP="00DD0C61">
            <w:pPr>
              <w:spacing w:after="0" w:line="240" w:lineRule="auto"/>
              <w:rPr>
                <w:rFonts w:eastAsia="Times New Roman" w:cs="Times New Roman"/>
              </w:rPr>
            </w:pPr>
          </w:p>
        </w:tc>
        <w:tc>
          <w:tcPr>
            <w:tcW w:w="4071" w:type="pct"/>
            <w:tcBorders>
              <w:top w:val="nil"/>
              <w:left w:val="nil"/>
              <w:bottom w:val="nil"/>
              <w:right w:val="nil"/>
            </w:tcBorders>
            <w:shd w:val="clear" w:color="auto" w:fill="auto"/>
            <w:noWrap/>
            <w:vAlign w:val="center"/>
            <w:hideMark/>
          </w:tcPr>
          <w:p w:rsidR="00B22315" w:rsidRPr="00B22315" w:rsidRDefault="00B22315" w:rsidP="00DD0C61">
            <w:pPr>
              <w:spacing w:after="0" w:line="240" w:lineRule="auto"/>
              <w:ind w:firstLineChars="100" w:firstLine="220"/>
              <w:rPr>
                <w:rFonts w:eastAsia="Times New Roman" w:cs="Times New Roman"/>
                <w:color w:val="000000"/>
              </w:rPr>
            </w:pPr>
            <w:r w:rsidRPr="00B22315">
              <w:rPr>
                <w:rFonts w:eastAsia="Times New Roman" w:cs="Times New Roman"/>
                <w:color w:val="000000"/>
              </w:rPr>
              <w:t>Project planning</w:t>
            </w:r>
          </w:p>
        </w:tc>
        <w:tc>
          <w:tcPr>
            <w:tcW w:w="712" w:type="pct"/>
            <w:tcBorders>
              <w:top w:val="nil"/>
              <w:left w:val="nil"/>
              <w:bottom w:val="nil"/>
              <w:right w:val="nil"/>
            </w:tcBorders>
            <w:shd w:val="clear" w:color="auto" w:fill="auto"/>
            <w:noWrap/>
            <w:vAlign w:val="center"/>
            <w:hideMark/>
          </w:tcPr>
          <w:p w:rsidR="00B22315" w:rsidRPr="00B748A4" w:rsidRDefault="00B22315" w:rsidP="00DD0C61">
            <w:pPr>
              <w:spacing w:after="0" w:line="240" w:lineRule="auto"/>
              <w:jc w:val="right"/>
              <w:rPr>
                <w:rFonts w:eastAsia="Times New Roman" w:cs="Times New Roman"/>
                <w:color w:val="000000"/>
              </w:rPr>
            </w:pPr>
            <w:r w:rsidRPr="00B748A4">
              <w:rPr>
                <w:rFonts w:eastAsia="Times New Roman" w:cs="Times New Roman"/>
                <w:color w:val="000000"/>
              </w:rPr>
              <w:t>0.1</w:t>
            </w:r>
          </w:p>
        </w:tc>
      </w:tr>
      <w:tr w:rsidR="00B22315" w:rsidRPr="00B748A4" w:rsidTr="00DD0C61">
        <w:trPr>
          <w:trHeight w:val="300"/>
        </w:trPr>
        <w:tc>
          <w:tcPr>
            <w:tcW w:w="217" w:type="pct"/>
            <w:tcBorders>
              <w:top w:val="nil"/>
              <w:left w:val="nil"/>
              <w:bottom w:val="nil"/>
              <w:right w:val="nil"/>
            </w:tcBorders>
            <w:shd w:val="clear" w:color="auto" w:fill="auto"/>
            <w:noWrap/>
            <w:vAlign w:val="center"/>
            <w:hideMark/>
          </w:tcPr>
          <w:p w:rsidR="00B22315" w:rsidRPr="00B22315" w:rsidRDefault="00B22315" w:rsidP="00DD0C61">
            <w:pPr>
              <w:spacing w:after="0" w:line="240" w:lineRule="auto"/>
              <w:jc w:val="right"/>
              <w:rPr>
                <w:rFonts w:eastAsia="Times New Roman" w:cs="Times New Roman"/>
                <w:color w:val="000000"/>
              </w:rPr>
            </w:pPr>
          </w:p>
        </w:tc>
        <w:tc>
          <w:tcPr>
            <w:tcW w:w="4071" w:type="pct"/>
            <w:tcBorders>
              <w:top w:val="nil"/>
              <w:left w:val="nil"/>
              <w:bottom w:val="nil"/>
              <w:right w:val="nil"/>
            </w:tcBorders>
            <w:shd w:val="clear" w:color="auto" w:fill="auto"/>
            <w:noWrap/>
            <w:vAlign w:val="center"/>
            <w:hideMark/>
          </w:tcPr>
          <w:p w:rsidR="00B22315" w:rsidRPr="00B22315" w:rsidRDefault="00B22315" w:rsidP="00DD0C61">
            <w:pPr>
              <w:spacing w:after="0" w:line="240" w:lineRule="auto"/>
              <w:ind w:firstLineChars="100" w:firstLine="220"/>
              <w:rPr>
                <w:rFonts w:eastAsia="Times New Roman" w:cs="Times New Roman"/>
                <w:color w:val="000000"/>
              </w:rPr>
            </w:pPr>
            <w:r w:rsidRPr="00B22315">
              <w:rPr>
                <w:rFonts w:eastAsia="Times New Roman" w:cs="Times New Roman"/>
                <w:color w:val="000000"/>
              </w:rPr>
              <w:t>Project execution</w:t>
            </w:r>
          </w:p>
        </w:tc>
        <w:tc>
          <w:tcPr>
            <w:tcW w:w="712" w:type="pct"/>
            <w:tcBorders>
              <w:top w:val="nil"/>
              <w:left w:val="nil"/>
              <w:bottom w:val="nil"/>
              <w:right w:val="nil"/>
            </w:tcBorders>
            <w:shd w:val="clear" w:color="auto" w:fill="auto"/>
            <w:noWrap/>
            <w:vAlign w:val="center"/>
            <w:hideMark/>
          </w:tcPr>
          <w:p w:rsidR="00B22315" w:rsidRPr="00B748A4" w:rsidRDefault="00B22315" w:rsidP="00DD0C61">
            <w:pPr>
              <w:spacing w:after="0" w:line="240" w:lineRule="auto"/>
              <w:ind w:firstLineChars="100" w:firstLine="220"/>
              <w:rPr>
                <w:rFonts w:eastAsia="Times New Roman" w:cs="Times New Roman"/>
                <w:color w:val="000000"/>
              </w:rPr>
            </w:pPr>
          </w:p>
        </w:tc>
      </w:tr>
      <w:tr w:rsidR="00B22315" w:rsidRPr="00B748A4" w:rsidTr="00DD0C61">
        <w:trPr>
          <w:trHeight w:val="300"/>
        </w:trPr>
        <w:tc>
          <w:tcPr>
            <w:tcW w:w="217" w:type="pct"/>
            <w:tcBorders>
              <w:top w:val="nil"/>
              <w:left w:val="nil"/>
              <w:bottom w:val="nil"/>
              <w:right w:val="nil"/>
            </w:tcBorders>
            <w:shd w:val="clear" w:color="auto" w:fill="auto"/>
            <w:noWrap/>
            <w:vAlign w:val="center"/>
            <w:hideMark/>
          </w:tcPr>
          <w:p w:rsidR="00B22315" w:rsidRPr="00B22315" w:rsidRDefault="00B22315" w:rsidP="00DD0C61">
            <w:pPr>
              <w:spacing w:after="0" w:line="240" w:lineRule="auto"/>
              <w:rPr>
                <w:rFonts w:eastAsia="Times New Roman" w:cs="Times New Roman"/>
              </w:rPr>
            </w:pPr>
          </w:p>
        </w:tc>
        <w:tc>
          <w:tcPr>
            <w:tcW w:w="4071" w:type="pct"/>
            <w:tcBorders>
              <w:top w:val="nil"/>
              <w:left w:val="nil"/>
              <w:bottom w:val="nil"/>
              <w:right w:val="nil"/>
            </w:tcBorders>
            <w:shd w:val="clear" w:color="auto" w:fill="auto"/>
            <w:noWrap/>
            <w:vAlign w:val="center"/>
            <w:hideMark/>
          </w:tcPr>
          <w:p w:rsidR="00B22315" w:rsidRPr="00B22315" w:rsidRDefault="00B22315" w:rsidP="00DD0C61">
            <w:pPr>
              <w:spacing w:after="0" w:line="240" w:lineRule="auto"/>
              <w:ind w:firstLineChars="300" w:firstLine="660"/>
              <w:rPr>
                <w:rFonts w:eastAsia="Times New Roman" w:cs="Times New Roman"/>
                <w:color w:val="000000"/>
              </w:rPr>
            </w:pPr>
            <w:r w:rsidRPr="00B22315">
              <w:rPr>
                <w:rFonts w:eastAsia="Times New Roman" w:cs="Times New Roman"/>
                <w:color w:val="000000"/>
              </w:rPr>
              <w:t>Evaluation methodology development</w:t>
            </w:r>
          </w:p>
        </w:tc>
        <w:tc>
          <w:tcPr>
            <w:tcW w:w="712" w:type="pct"/>
            <w:tcBorders>
              <w:top w:val="nil"/>
              <w:left w:val="nil"/>
              <w:bottom w:val="nil"/>
              <w:right w:val="nil"/>
            </w:tcBorders>
            <w:shd w:val="clear" w:color="auto" w:fill="auto"/>
            <w:noWrap/>
            <w:vAlign w:val="center"/>
            <w:hideMark/>
          </w:tcPr>
          <w:p w:rsidR="00B22315" w:rsidRPr="00B748A4" w:rsidRDefault="00B22315" w:rsidP="00DD0C61">
            <w:pPr>
              <w:spacing w:after="0" w:line="240" w:lineRule="auto"/>
              <w:jc w:val="right"/>
              <w:rPr>
                <w:rFonts w:eastAsia="Times New Roman" w:cs="Times New Roman"/>
                <w:color w:val="000000"/>
              </w:rPr>
            </w:pPr>
            <w:r w:rsidRPr="00B748A4">
              <w:rPr>
                <w:rFonts w:eastAsia="Times New Roman" w:cs="Times New Roman"/>
                <w:color w:val="000000"/>
              </w:rPr>
              <w:t>0.05</w:t>
            </w:r>
          </w:p>
        </w:tc>
      </w:tr>
      <w:tr w:rsidR="00B22315" w:rsidRPr="00B748A4" w:rsidTr="00DD0C61">
        <w:trPr>
          <w:trHeight w:val="300"/>
        </w:trPr>
        <w:tc>
          <w:tcPr>
            <w:tcW w:w="217" w:type="pct"/>
            <w:tcBorders>
              <w:top w:val="nil"/>
              <w:left w:val="nil"/>
              <w:bottom w:val="nil"/>
              <w:right w:val="nil"/>
            </w:tcBorders>
            <w:shd w:val="clear" w:color="auto" w:fill="auto"/>
            <w:noWrap/>
            <w:vAlign w:val="center"/>
            <w:hideMark/>
          </w:tcPr>
          <w:p w:rsidR="00B22315" w:rsidRPr="00B22315" w:rsidRDefault="00B22315" w:rsidP="00DD0C61">
            <w:pPr>
              <w:spacing w:after="0" w:line="240" w:lineRule="auto"/>
              <w:jc w:val="right"/>
              <w:rPr>
                <w:rFonts w:eastAsia="Times New Roman" w:cs="Times New Roman"/>
                <w:color w:val="000000"/>
              </w:rPr>
            </w:pPr>
          </w:p>
        </w:tc>
        <w:tc>
          <w:tcPr>
            <w:tcW w:w="4071" w:type="pct"/>
            <w:tcBorders>
              <w:top w:val="nil"/>
              <w:left w:val="nil"/>
              <w:bottom w:val="nil"/>
              <w:right w:val="nil"/>
            </w:tcBorders>
            <w:shd w:val="clear" w:color="auto" w:fill="auto"/>
            <w:noWrap/>
            <w:vAlign w:val="center"/>
            <w:hideMark/>
          </w:tcPr>
          <w:p w:rsidR="00B22315" w:rsidRPr="00B22315" w:rsidRDefault="00B22315" w:rsidP="00DD0C61">
            <w:pPr>
              <w:spacing w:after="0" w:line="240" w:lineRule="auto"/>
              <w:ind w:firstLineChars="300" w:firstLine="660"/>
              <w:rPr>
                <w:rFonts w:eastAsia="Times New Roman" w:cs="Times New Roman"/>
                <w:color w:val="000000"/>
              </w:rPr>
            </w:pPr>
            <w:r w:rsidRPr="00B22315">
              <w:rPr>
                <w:rFonts w:eastAsia="Times New Roman" w:cs="Times New Roman"/>
                <w:color w:val="000000"/>
              </w:rPr>
              <w:t>Geospatial data development</w:t>
            </w:r>
          </w:p>
        </w:tc>
        <w:tc>
          <w:tcPr>
            <w:tcW w:w="712" w:type="pct"/>
            <w:tcBorders>
              <w:top w:val="nil"/>
              <w:left w:val="nil"/>
              <w:bottom w:val="nil"/>
              <w:right w:val="nil"/>
            </w:tcBorders>
            <w:shd w:val="clear" w:color="auto" w:fill="auto"/>
            <w:noWrap/>
            <w:vAlign w:val="center"/>
            <w:hideMark/>
          </w:tcPr>
          <w:p w:rsidR="00B22315" w:rsidRPr="00B748A4" w:rsidRDefault="00B22315" w:rsidP="00DD0C61">
            <w:pPr>
              <w:spacing w:after="0" w:line="240" w:lineRule="auto"/>
              <w:jc w:val="right"/>
              <w:rPr>
                <w:rFonts w:eastAsia="Times New Roman" w:cs="Times New Roman"/>
                <w:color w:val="000000"/>
              </w:rPr>
            </w:pPr>
            <w:r w:rsidRPr="00B748A4">
              <w:rPr>
                <w:rFonts w:eastAsia="Times New Roman" w:cs="Times New Roman"/>
                <w:color w:val="000000"/>
              </w:rPr>
              <w:t>2.75</w:t>
            </w:r>
          </w:p>
        </w:tc>
      </w:tr>
      <w:tr w:rsidR="00B22315" w:rsidRPr="00B748A4" w:rsidTr="00DD0C61">
        <w:trPr>
          <w:trHeight w:val="300"/>
        </w:trPr>
        <w:tc>
          <w:tcPr>
            <w:tcW w:w="217" w:type="pct"/>
            <w:tcBorders>
              <w:top w:val="nil"/>
              <w:left w:val="nil"/>
              <w:bottom w:val="dotted" w:sz="4" w:space="0" w:color="auto"/>
              <w:right w:val="nil"/>
            </w:tcBorders>
            <w:shd w:val="clear" w:color="auto" w:fill="auto"/>
            <w:noWrap/>
            <w:vAlign w:val="center"/>
            <w:hideMark/>
          </w:tcPr>
          <w:p w:rsidR="00B22315" w:rsidRPr="00B22315" w:rsidRDefault="00B22315" w:rsidP="00DD0C61">
            <w:pPr>
              <w:spacing w:after="0" w:line="240" w:lineRule="auto"/>
              <w:jc w:val="right"/>
              <w:rPr>
                <w:rFonts w:eastAsia="Times New Roman" w:cs="Times New Roman"/>
                <w:color w:val="000000"/>
              </w:rPr>
            </w:pPr>
          </w:p>
        </w:tc>
        <w:tc>
          <w:tcPr>
            <w:tcW w:w="4071" w:type="pct"/>
            <w:tcBorders>
              <w:top w:val="nil"/>
              <w:left w:val="nil"/>
              <w:bottom w:val="dotted" w:sz="4" w:space="0" w:color="auto"/>
              <w:right w:val="nil"/>
            </w:tcBorders>
            <w:shd w:val="clear" w:color="auto" w:fill="auto"/>
            <w:noWrap/>
            <w:vAlign w:val="center"/>
            <w:hideMark/>
          </w:tcPr>
          <w:p w:rsidR="00B22315" w:rsidRPr="00B22315" w:rsidRDefault="00B22315" w:rsidP="00DD0C61">
            <w:pPr>
              <w:spacing w:after="0" w:line="240" w:lineRule="auto"/>
              <w:ind w:firstLineChars="100" w:firstLine="220"/>
              <w:rPr>
                <w:rFonts w:eastAsia="Times New Roman" w:cs="Times New Roman"/>
                <w:color w:val="000000"/>
              </w:rPr>
            </w:pPr>
            <w:r w:rsidRPr="00B22315">
              <w:rPr>
                <w:rFonts w:eastAsia="Times New Roman" w:cs="Times New Roman"/>
                <w:color w:val="000000"/>
              </w:rPr>
              <w:t>Project evaluation</w:t>
            </w:r>
          </w:p>
        </w:tc>
        <w:tc>
          <w:tcPr>
            <w:tcW w:w="712" w:type="pct"/>
            <w:tcBorders>
              <w:top w:val="nil"/>
              <w:left w:val="nil"/>
              <w:bottom w:val="dotted" w:sz="4" w:space="0" w:color="auto"/>
              <w:right w:val="nil"/>
            </w:tcBorders>
            <w:shd w:val="clear" w:color="auto" w:fill="auto"/>
            <w:noWrap/>
            <w:vAlign w:val="center"/>
            <w:hideMark/>
          </w:tcPr>
          <w:p w:rsidR="00B22315" w:rsidRPr="00B748A4" w:rsidRDefault="00B22315" w:rsidP="00DD0C61">
            <w:pPr>
              <w:spacing w:after="0" w:line="240" w:lineRule="auto"/>
              <w:jc w:val="right"/>
              <w:rPr>
                <w:rFonts w:eastAsia="Times New Roman" w:cs="Times New Roman"/>
                <w:color w:val="000000"/>
              </w:rPr>
            </w:pPr>
            <w:r w:rsidRPr="00B748A4">
              <w:rPr>
                <w:rFonts w:eastAsia="Times New Roman" w:cs="Times New Roman"/>
                <w:color w:val="000000"/>
              </w:rPr>
              <w:t>0.1</w:t>
            </w:r>
          </w:p>
        </w:tc>
      </w:tr>
      <w:tr w:rsidR="00B22315" w:rsidRPr="00B748A4" w:rsidTr="00DD0C61">
        <w:trPr>
          <w:trHeight w:val="300"/>
        </w:trPr>
        <w:tc>
          <w:tcPr>
            <w:tcW w:w="217" w:type="pct"/>
            <w:tcBorders>
              <w:top w:val="nil"/>
              <w:left w:val="nil"/>
              <w:bottom w:val="nil"/>
              <w:right w:val="nil"/>
            </w:tcBorders>
            <w:shd w:val="clear" w:color="auto" w:fill="auto"/>
            <w:noWrap/>
            <w:vAlign w:val="center"/>
            <w:hideMark/>
          </w:tcPr>
          <w:p w:rsidR="00B22315" w:rsidRPr="00B22315" w:rsidRDefault="00B22315" w:rsidP="00DD0C61">
            <w:pPr>
              <w:spacing w:after="0" w:line="240" w:lineRule="auto"/>
              <w:rPr>
                <w:rFonts w:eastAsia="Times New Roman" w:cs="Times New Roman"/>
                <w:b/>
                <w:bCs/>
                <w:color w:val="000000"/>
              </w:rPr>
            </w:pPr>
            <w:r w:rsidRPr="00B22315">
              <w:rPr>
                <w:rFonts w:eastAsia="Times New Roman" w:cs="Times New Roman"/>
                <w:b/>
                <w:bCs/>
                <w:color w:val="000000"/>
              </w:rPr>
              <w:t>C.</w:t>
            </w:r>
          </w:p>
        </w:tc>
        <w:tc>
          <w:tcPr>
            <w:tcW w:w="4071" w:type="pct"/>
            <w:tcBorders>
              <w:top w:val="nil"/>
              <w:left w:val="nil"/>
              <w:bottom w:val="nil"/>
              <w:right w:val="nil"/>
            </w:tcBorders>
            <w:shd w:val="clear" w:color="auto" w:fill="auto"/>
            <w:noWrap/>
            <w:vAlign w:val="center"/>
            <w:hideMark/>
          </w:tcPr>
          <w:p w:rsidR="00B22315" w:rsidRPr="00B22315" w:rsidRDefault="00B22315" w:rsidP="00DD0C61">
            <w:pPr>
              <w:spacing w:after="0" w:line="240" w:lineRule="auto"/>
              <w:rPr>
                <w:rFonts w:eastAsia="Times New Roman" w:cs="Times New Roman"/>
                <w:b/>
                <w:bCs/>
                <w:color w:val="000000"/>
              </w:rPr>
            </w:pPr>
            <w:r w:rsidRPr="00B22315">
              <w:rPr>
                <w:rFonts w:eastAsia="Times New Roman" w:cs="Times New Roman"/>
                <w:b/>
                <w:bCs/>
                <w:color w:val="000000"/>
              </w:rPr>
              <w:t>Data development, statewide</w:t>
            </w:r>
          </w:p>
        </w:tc>
        <w:tc>
          <w:tcPr>
            <w:tcW w:w="712" w:type="pct"/>
            <w:tcBorders>
              <w:top w:val="nil"/>
              <w:left w:val="nil"/>
              <w:bottom w:val="nil"/>
              <w:right w:val="nil"/>
            </w:tcBorders>
            <w:shd w:val="clear" w:color="auto" w:fill="auto"/>
            <w:noWrap/>
            <w:vAlign w:val="center"/>
            <w:hideMark/>
          </w:tcPr>
          <w:p w:rsidR="00B22315" w:rsidRPr="00B748A4" w:rsidRDefault="00B22315" w:rsidP="00DD0C61">
            <w:pPr>
              <w:spacing w:after="0" w:line="240" w:lineRule="auto"/>
              <w:rPr>
                <w:rFonts w:eastAsia="Times New Roman" w:cs="Times New Roman"/>
                <w:b/>
                <w:bCs/>
                <w:color w:val="000000"/>
              </w:rPr>
            </w:pPr>
          </w:p>
        </w:tc>
      </w:tr>
      <w:tr w:rsidR="00B22315" w:rsidRPr="00B748A4" w:rsidTr="00DD0C61">
        <w:trPr>
          <w:trHeight w:val="300"/>
        </w:trPr>
        <w:tc>
          <w:tcPr>
            <w:tcW w:w="217" w:type="pct"/>
            <w:tcBorders>
              <w:top w:val="nil"/>
              <w:left w:val="nil"/>
              <w:bottom w:val="nil"/>
              <w:right w:val="nil"/>
            </w:tcBorders>
            <w:shd w:val="clear" w:color="auto" w:fill="auto"/>
            <w:noWrap/>
            <w:vAlign w:val="center"/>
            <w:hideMark/>
          </w:tcPr>
          <w:p w:rsidR="00B22315" w:rsidRPr="00B22315" w:rsidRDefault="00B22315" w:rsidP="00DD0C61">
            <w:pPr>
              <w:spacing w:after="0" w:line="240" w:lineRule="auto"/>
              <w:rPr>
                <w:rFonts w:eastAsia="Times New Roman" w:cs="Times New Roman"/>
              </w:rPr>
            </w:pPr>
          </w:p>
        </w:tc>
        <w:tc>
          <w:tcPr>
            <w:tcW w:w="4071" w:type="pct"/>
            <w:tcBorders>
              <w:top w:val="nil"/>
              <w:left w:val="nil"/>
              <w:bottom w:val="nil"/>
              <w:right w:val="nil"/>
            </w:tcBorders>
            <w:shd w:val="clear" w:color="auto" w:fill="auto"/>
            <w:noWrap/>
            <w:vAlign w:val="center"/>
            <w:hideMark/>
          </w:tcPr>
          <w:p w:rsidR="00B22315" w:rsidRPr="00B22315" w:rsidRDefault="00B22315" w:rsidP="00DD0C61">
            <w:pPr>
              <w:spacing w:after="0" w:line="240" w:lineRule="auto"/>
              <w:ind w:firstLineChars="100" w:firstLine="220"/>
              <w:rPr>
                <w:rFonts w:eastAsia="Times New Roman" w:cs="Times New Roman"/>
                <w:color w:val="000000"/>
              </w:rPr>
            </w:pPr>
            <w:r w:rsidRPr="00B22315">
              <w:rPr>
                <w:rFonts w:eastAsia="Times New Roman" w:cs="Times New Roman"/>
                <w:color w:val="000000"/>
              </w:rPr>
              <w:t>Data standardization and aggregation (regional)</w:t>
            </w:r>
          </w:p>
        </w:tc>
        <w:tc>
          <w:tcPr>
            <w:tcW w:w="712" w:type="pct"/>
            <w:tcBorders>
              <w:top w:val="nil"/>
              <w:left w:val="nil"/>
              <w:bottom w:val="nil"/>
              <w:right w:val="nil"/>
            </w:tcBorders>
            <w:shd w:val="clear" w:color="auto" w:fill="auto"/>
            <w:noWrap/>
            <w:vAlign w:val="center"/>
            <w:hideMark/>
          </w:tcPr>
          <w:p w:rsidR="00B22315" w:rsidRPr="00B748A4" w:rsidRDefault="00B22315" w:rsidP="00DD0C61">
            <w:pPr>
              <w:spacing w:after="0" w:line="240" w:lineRule="auto"/>
              <w:jc w:val="right"/>
              <w:rPr>
                <w:rFonts w:eastAsia="Times New Roman" w:cs="Times New Roman"/>
                <w:color w:val="000000"/>
              </w:rPr>
            </w:pPr>
            <w:r w:rsidRPr="00B748A4">
              <w:rPr>
                <w:rFonts w:eastAsia="Times New Roman" w:cs="Times New Roman"/>
                <w:color w:val="000000"/>
              </w:rPr>
              <w:t>1.6</w:t>
            </w:r>
          </w:p>
        </w:tc>
      </w:tr>
      <w:tr w:rsidR="00B22315" w:rsidRPr="00B748A4" w:rsidTr="00DD0C61">
        <w:trPr>
          <w:trHeight w:val="300"/>
        </w:trPr>
        <w:tc>
          <w:tcPr>
            <w:tcW w:w="217" w:type="pct"/>
            <w:tcBorders>
              <w:top w:val="nil"/>
              <w:left w:val="nil"/>
              <w:bottom w:val="nil"/>
              <w:right w:val="nil"/>
            </w:tcBorders>
            <w:shd w:val="clear" w:color="auto" w:fill="auto"/>
            <w:noWrap/>
            <w:vAlign w:val="center"/>
            <w:hideMark/>
          </w:tcPr>
          <w:p w:rsidR="00B22315" w:rsidRPr="00B22315" w:rsidRDefault="00B22315" w:rsidP="00DD0C61">
            <w:pPr>
              <w:spacing w:after="0" w:line="240" w:lineRule="auto"/>
              <w:jc w:val="right"/>
              <w:rPr>
                <w:rFonts w:eastAsia="Times New Roman" w:cs="Times New Roman"/>
                <w:color w:val="000000"/>
              </w:rPr>
            </w:pPr>
          </w:p>
        </w:tc>
        <w:tc>
          <w:tcPr>
            <w:tcW w:w="4071" w:type="pct"/>
            <w:tcBorders>
              <w:top w:val="nil"/>
              <w:left w:val="nil"/>
              <w:bottom w:val="nil"/>
              <w:right w:val="nil"/>
            </w:tcBorders>
            <w:shd w:val="clear" w:color="auto" w:fill="auto"/>
            <w:noWrap/>
            <w:vAlign w:val="center"/>
            <w:hideMark/>
          </w:tcPr>
          <w:p w:rsidR="00B22315" w:rsidRPr="00B22315" w:rsidRDefault="00B22315" w:rsidP="00DD0C61">
            <w:pPr>
              <w:spacing w:after="0" w:line="240" w:lineRule="auto"/>
              <w:ind w:firstLineChars="100" w:firstLine="220"/>
              <w:rPr>
                <w:rFonts w:eastAsia="Times New Roman" w:cs="Times New Roman"/>
                <w:color w:val="000000"/>
              </w:rPr>
            </w:pPr>
            <w:r w:rsidRPr="00B22315">
              <w:rPr>
                <w:rFonts w:eastAsia="Times New Roman" w:cs="Times New Roman"/>
                <w:color w:val="000000"/>
              </w:rPr>
              <w:t>Phase 1: Highest priority statewide data development</w:t>
            </w:r>
          </w:p>
        </w:tc>
        <w:tc>
          <w:tcPr>
            <w:tcW w:w="712" w:type="pct"/>
            <w:vMerge w:val="restart"/>
            <w:tcBorders>
              <w:top w:val="nil"/>
              <w:left w:val="nil"/>
              <w:bottom w:val="nil"/>
              <w:right w:val="nil"/>
            </w:tcBorders>
            <w:shd w:val="clear" w:color="auto" w:fill="auto"/>
            <w:noWrap/>
            <w:vAlign w:val="center"/>
            <w:hideMark/>
          </w:tcPr>
          <w:p w:rsidR="00B22315" w:rsidRPr="00B748A4" w:rsidRDefault="00B22315" w:rsidP="00DD0C61">
            <w:pPr>
              <w:spacing w:after="0" w:line="240" w:lineRule="auto"/>
              <w:jc w:val="right"/>
              <w:rPr>
                <w:rFonts w:eastAsia="Times New Roman" w:cs="Times New Roman"/>
                <w:color w:val="000000"/>
              </w:rPr>
            </w:pPr>
            <w:r w:rsidRPr="00B748A4">
              <w:rPr>
                <w:rFonts w:eastAsia="Times New Roman" w:cs="Times New Roman"/>
                <w:color w:val="000000"/>
              </w:rPr>
              <w:t>250</w:t>
            </w:r>
          </w:p>
        </w:tc>
      </w:tr>
      <w:tr w:rsidR="00B22315" w:rsidRPr="00B748A4" w:rsidTr="00DD0C61">
        <w:trPr>
          <w:trHeight w:val="300"/>
        </w:trPr>
        <w:tc>
          <w:tcPr>
            <w:tcW w:w="217" w:type="pct"/>
            <w:tcBorders>
              <w:top w:val="nil"/>
              <w:left w:val="nil"/>
              <w:bottom w:val="nil"/>
              <w:right w:val="nil"/>
            </w:tcBorders>
            <w:shd w:val="clear" w:color="auto" w:fill="auto"/>
            <w:noWrap/>
            <w:vAlign w:val="center"/>
            <w:hideMark/>
          </w:tcPr>
          <w:p w:rsidR="00B22315" w:rsidRPr="00B22315" w:rsidRDefault="00B22315" w:rsidP="00DD0C61">
            <w:pPr>
              <w:spacing w:after="0" w:line="240" w:lineRule="auto"/>
              <w:jc w:val="right"/>
              <w:rPr>
                <w:rFonts w:eastAsia="Times New Roman" w:cs="Times New Roman"/>
                <w:color w:val="000000"/>
              </w:rPr>
            </w:pPr>
          </w:p>
        </w:tc>
        <w:tc>
          <w:tcPr>
            <w:tcW w:w="4071" w:type="pct"/>
            <w:tcBorders>
              <w:top w:val="nil"/>
              <w:left w:val="nil"/>
              <w:bottom w:val="nil"/>
              <w:right w:val="nil"/>
            </w:tcBorders>
            <w:shd w:val="clear" w:color="auto" w:fill="auto"/>
            <w:noWrap/>
            <w:vAlign w:val="center"/>
            <w:hideMark/>
          </w:tcPr>
          <w:p w:rsidR="00B22315" w:rsidRPr="00B22315" w:rsidRDefault="00B22315" w:rsidP="00DD0C61">
            <w:pPr>
              <w:spacing w:after="0" w:line="240" w:lineRule="auto"/>
              <w:ind w:firstLineChars="100" w:firstLine="220"/>
              <w:rPr>
                <w:rFonts w:eastAsia="Times New Roman" w:cs="Times New Roman"/>
                <w:color w:val="000000"/>
              </w:rPr>
            </w:pPr>
            <w:r w:rsidRPr="00B22315">
              <w:rPr>
                <w:rFonts w:eastAsia="Times New Roman" w:cs="Times New Roman"/>
                <w:color w:val="000000"/>
              </w:rPr>
              <w:t>Phase 2: High and medium priority statewide data development</w:t>
            </w:r>
          </w:p>
        </w:tc>
        <w:tc>
          <w:tcPr>
            <w:tcW w:w="712" w:type="pct"/>
            <w:vMerge/>
            <w:tcBorders>
              <w:top w:val="nil"/>
              <w:left w:val="nil"/>
              <w:bottom w:val="nil"/>
              <w:right w:val="nil"/>
            </w:tcBorders>
            <w:vAlign w:val="center"/>
            <w:hideMark/>
          </w:tcPr>
          <w:p w:rsidR="00B22315" w:rsidRPr="00B748A4" w:rsidRDefault="00B22315" w:rsidP="00DD0C61">
            <w:pPr>
              <w:spacing w:after="0" w:line="240" w:lineRule="auto"/>
              <w:rPr>
                <w:rFonts w:eastAsia="Times New Roman" w:cs="Times New Roman"/>
                <w:color w:val="000000"/>
              </w:rPr>
            </w:pPr>
          </w:p>
        </w:tc>
      </w:tr>
      <w:tr w:rsidR="00B22315" w:rsidRPr="00B748A4" w:rsidTr="00DD0C61">
        <w:trPr>
          <w:trHeight w:val="300"/>
        </w:trPr>
        <w:tc>
          <w:tcPr>
            <w:tcW w:w="217" w:type="pct"/>
            <w:tcBorders>
              <w:top w:val="nil"/>
              <w:left w:val="nil"/>
              <w:bottom w:val="nil"/>
              <w:right w:val="nil"/>
            </w:tcBorders>
            <w:shd w:val="clear" w:color="auto" w:fill="auto"/>
            <w:noWrap/>
            <w:vAlign w:val="center"/>
            <w:hideMark/>
          </w:tcPr>
          <w:p w:rsidR="00B22315" w:rsidRPr="00B22315" w:rsidRDefault="00B22315" w:rsidP="00DD0C61">
            <w:pPr>
              <w:spacing w:after="0" w:line="240" w:lineRule="auto"/>
              <w:ind w:firstLineChars="100" w:firstLine="220"/>
              <w:rPr>
                <w:rFonts w:eastAsia="Times New Roman" w:cs="Times New Roman"/>
                <w:color w:val="000000"/>
              </w:rPr>
            </w:pPr>
          </w:p>
        </w:tc>
        <w:tc>
          <w:tcPr>
            <w:tcW w:w="4071" w:type="pct"/>
            <w:tcBorders>
              <w:top w:val="nil"/>
              <w:left w:val="nil"/>
              <w:bottom w:val="nil"/>
              <w:right w:val="nil"/>
            </w:tcBorders>
            <w:shd w:val="clear" w:color="auto" w:fill="auto"/>
            <w:noWrap/>
            <w:vAlign w:val="center"/>
            <w:hideMark/>
          </w:tcPr>
          <w:p w:rsidR="00B22315" w:rsidRPr="00B22315" w:rsidRDefault="00B22315" w:rsidP="00DD0C61">
            <w:pPr>
              <w:spacing w:after="0" w:line="240" w:lineRule="auto"/>
              <w:ind w:firstLineChars="100" w:firstLine="220"/>
              <w:rPr>
                <w:rFonts w:eastAsia="Times New Roman" w:cs="Times New Roman"/>
                <w:color w:val="000000"/>
              </w:rPr>
            </w:pPr>
            <w:r w:rsidRPr="00B22315">
              <w:rPr>
                <w:rFonts w:eastAsia="Times New Roman" w:cs="Times New Roman"/>
                <w:color w:val="000000"/>
              </w:rPr>
              <w:t>Phase 3: Medium priority statewide data development</w:t>
            </w:r>
          </w:p>
        </w:tc>
        <w:tc>
          <w:tcPr>
            <w:tcW w:w="712" w:type="pct"/>
            <w:vMerge/>
            <w:tcBorders>
              <w:top w:val="nil"/>
              <w:left w:val="nil"/>
              <w:bottom w:val="nil"/>
              <w:right w:val="nil"/>
            </w:tcBorders>
            <w:vAlign w:val="center"/>
            <w:hideMark/>
          </w:tcPr>
          <w:p w:rsidR="00B22315" w:rsidRPr="00B748A4" w:rsidRDefault="00B22315" w:rsidP="00DD0C61">
            <w:pPr>
              <w:spacing w:after="0" w:line="240" w:lineRule="auto"/>
              <w:rPr>
                <w:rFonts w:eastAsia="Times New Roman" w:cs="Times New Roman"/>
                <w:color w:val="000000"/>
              </w:rPr>
            </w:pPr>
          </w:p>
        </w:tc>
      </w:tr>
      <w:tr w:rsidR="00B22315" w:rsidRPr="00B748A4" w:rsidTr="00DD0C61">
        <w:trPr>
          <w:trHeight w:val="300"/>
        </w:trPr>
        <w:tc>
          <w:tcPr>
            <w:tcW w:w="217" w:type="pct"/>
            <w:tcBorders>
              <w:top w:val="nil"/>
              <w:left w:val="nil"/>
              <w:bottom w:val="dotted" w:sz="4" w:space="0" w:color="auto"/>
              <w:right w:val="nil"/>
            </w:tcBorders>
            <w:shd w:val="clear" w:color="auto" w:fill="auto"/>
            <w:noWrap/>
            <w:vAlign w:val="center"/>
            <w:hideMark/>
          </w:tcPr>
          <w:p w:rsidR="00B22315" w:rsidRPr="00B22315" w:rsidRDefault="00B22315" w:rsidP="00DD0C61">
            <w:pPr>
              <w:spacing w:after="0" w:line="240" w:lineRule="auto"/>
              <w:ind w:firstLineChars="100" w:firstLine="220"/>
              <w:rPr>
                <w:rFonts w:eastAsia="Times New Roman" w:cs="Times New Roman"/>
                <w:color w:val="000000"/>
              </w:rPr>
            </w:pPr>
          </w:p>
        </w:tc>
        <w:tc>
          <w:tcPr>
            <w:tcW w:w="4071" w:type="pct"/>
            <w:tcBorders>
              <w:top w:val="nil"/>
              <w:left w:val="nil"/>
              <w:bottom w:val="dotted" w:sz="4" w:space="0" w:color="auto"/>
              <w:right w:val="nil"/>
            </w:tcBorders>
            <w:shd w:val="clear" w:color="auto" w:fill="auto"/>
            <w:noWrap/>
            <w:vAlign w:val="center"/>
            <w:hideMark/>
          </w:tcPr>
          <w:p w:rsidR="00B22315" w:rsidRPr="00B22315" w:rsidRDefault="00B22315" w:rsidP="00DD0C61">
            <w:pPr>
              <w:spacing w:after="0" w:line="240" w:lineRule="auto"/>
              <w:ind w:firstLineChars="100" w:firstLine="220"/>
              <w:rPr>
                <w:rFonts w:eastAsia="Times New Roman" w:cs="Times New Roman"/>
                <w:color w:val="000000"/>
              </w:rPr>
            </w:pPr>
            <w:r w:rsidRPr="00B22315">
              <w:rPr>
                <w:rFonts w:eastAsia="Times New Roman" w:cs="Times New Roman"/>
                <w:color w:val="000000"/>
              </w:rPr>
              <w:t>Phase 4: Lower/remaining statewide data development</w:t>
            </w:r>
          </w:p>
        </w:tc>
        <w:tc>
          <w:tcPr>
            <w:tcW w:w="712" w:type="pct"/>
            <w:vMerge/>
            <w:tcBorders>
              <w:top w:val="nil"/>
              <w:left w:val="nil"/>
              <w:bottom w:val="dotted" w:sz="4" w:space="0" w:color="auto"/>
              <w:right w:val="nil"/>
            </w:tcBorders>
            <w:vAlign w:val="center"/>
            <w:hideMark/>
          </w:tcPr>
          <w:p w:rsidR="00B22315" w:rsidRPr="00B748A4" w:rsidRDefault="00B22315" w:rsidP="00DD0C61">
            <w:pPr>
              <w:spacing w:after="0" w:line="240" w:lineRule="auto"/>
              <w:rPr>
                <w:rFonts w:eastAsia="Times New Roman" w:cs="Times New Roman"/>
                <w:color w:val="000000"/>
              </w:rPr>
            </w:pPr>
          </w:p>
        </w:tc>
      </w:tr>
      <w:tr w:rsidR="00B22315" w:rsidRPr="00B748A4" w:rsidTr="00DD0C61">
        <w:trPr>
          <w:trHeight w:val="300"/>
        </w:trPr>
        <w:tc>
          <w:tcPr>
            <w:tcW w:w="217" w:type="pct"/>
            <w:tcBorders>
              <w:top w:val="nil"/>
              <w:left w:val="nil"/>
              <w:bottom w:val="nil"/>
              <w:right w:val="nil"/>
            </w:tcBorders>
            <w:shd w:val="clear" w:color="auto" w:fill="auto"/>
            <w:noWrap/>
            <w:vAlign w:val="center"/>
            <w:hideMark/>
          </w:tcPr>
          <w:p w:rsidR="00B22315" w:rsidRPr="00B22315" w:rsidRDefault="00B22315" w:rsidP="00DD0C61">
            <w:pPr>
              <w:spacing w:after="0" w:line="240" w:lineRule="auto"/>
              <w:rPr>
                <w:rFonts w:eastAsia="Times New Roman" w:cs="Times New Roman"/>
                <w:b/>
                <w:bCs/>
                <w:color w:val="000000"/>
              </w:rPr>
            </w:pPr>
            <w:r w:rsidRPr="00B22315">
              <w:rPr>
                <w:rFonts w:eastAsia="Times New Roman" w:cs="Times New Roman"/>
                <w:b/>
                <w:bCs/>
                <w:color w:val="000000"/>
              </w:rPr>
              <w:t>D.</w:t>
            </w:r>
          </w:p>
        </w:tc>
        <w:tc>
          <w:tcPr>
            <w:tcW w:w="4071" w:type="pct"/>
            <w:tcBorders>
              <w:top w:val="nil"/>
              <w:left w:val="nil"/>
              <w:bottom w:val="nil"/>
              <w:right w:val="nil"/>
            </w:tcBorders>
            <w:shd w:val="clear" w:color="auto" w:fill="auto"/>
            <w:noWrap/>
            <w:vAlign w:val="center"/>
            <w:hideMark/>
          </w:tcPr>
          <w:p w:rsidR="00B22315" w:rsidRPr="00B22315" w:rsidRDefault="00B22315" w:rsidP="00DD0C61">
            <w:pPr>
              <w:spacing w:after="0" w:line="240" w:lineRule="auto"/>
              <w:rPr>
                <w:rFonts w:eastAsia="Times New Roman" w:cs="Times New Roman"/>
                <w:b/>
                <w:bCs/>
                <w:color w:val="000000"/>
              </w:rPr>
            </w:pPr>
            <w:r w:rsidRPr="00B22315">
              <w:rPr>
                <w:rFonts w:eastAsia="Times New Roman" w:cs="Times New Roman"/>
                <w:b/>
                <w:bCs/>
                <w:color w:val="000000"/>
              </w:rPr>
              <w:t>Program development &amp; implementation</w:t>
            </w:r>
          </w:p>
        </w:tc>
        <w:tc>
          <w:tcPr>
            <w:tcW w:w="712" w:type="pct"/>
            <w:tcBorders>
              <w:top w:val="nil"/>
              <w:left w:val="nil"/>
              <w:bottom w:val="nil"/>
              <w:right w:val="nil"/>
            </w:tcBorders>
            <w:shd w:val="clear" w:color="auto" w:fill="auto"/>
            <w:noWrap/>
            <w:vAlign w:val="center"/>
            <w:hideMark/>
          </w:tcPr>
          <w:p w:rsidR="00B22315" w:rsidRPr="00B748A4" w:rsidRDefault="00B22315" w:rsidP="00DD0C61">
            <w:pPr>
              <w:spacing w:after="0" w:line="240" w:lineRule="auto"/>
              <w:rPr>
                <w:rFonts w:eastAsia="Times New Roman" w:cs="Times New Roman"/>
                <w:b/>
                <w:bCs/>
                <w:color w:val="000000"/>
              </w:rPr>
            </w:pPr>
          </w:p>
        </w:tc>
      </w:tr>
      <w:tr w:rsidR="00B22315" w:rsidRPr="00B748A4" w:rsidTr="00DD0C61">
        <w:trPr>
          <w:trHeight w:val="300"/>
        </w:trPr>
        <w:tc>
          <w:tcPr>
            <w:tcW w:w="217" w:type="pct"/>
            <w:tcBorders>
              <w:top w:val="nil"/>
              <w:left w:val="nil"/>
              <w:bottom w:val="nil"/>
              <w:right w:val="nil"/>
            </w:tcBorders>
            <w:shd w:val="clear" w:color="auto" w:fill="auto"/>
            <w:noWrap/>
            <w:vAlign w:val="center"/>
            <w:hideMark/>
          </w:tcPr>
          <w:p w:rsidR="00B22315" w:rsidRPr="00B22315" w:rsidRDefault="00B22315" w:rsidP="00DD0C61">
            <w:pPr>
              <w:spacing w:after="0" w:line="240" w:lineRule="auto"/>
              <w:rPr>
                <w:rFonts w:eastAsia="Times New Roman" w:cs="Times New Roman"/>
              </w:rPr>
            </w:pPr>
          </w:p>
        </w:tc>
        <w:tc>
          <w:tcPr>
            <w:tcW w:w="4071" w:type="pct"/>
            <w:tcBorders>
              <w:top w:val="nil"/>
              <w:left w:val="nil"/>
              <w:bottom w:val="nil"/>
              <w:right w:val="nil"/>
            </w:tcBorders>
            <w:shd w:val="clear" w:color="auto" w:fill="auto"/>
            <w:noWrap/>
            <w:vAlign w:val="center"/>
            <w:hideMark/>
          </w:tcPr>
          <w:p w:rsidR="00B22315" w:rsidRPr="00B22315" w:rsidRDefault="00B22315" w:rsidP="00DD0C61">
            <w:pPr>
              <w:spacing w:after="0" w:line="240" w:lineRule="auto"/>
              <w:ind w:firstLineChars="100" w:firstLine="220"/>
              <w:rPr>
                <w:rFonts w:eastAsia="Times New Roman" w:cs="Times New Roman"/>
                <w:color w:val="000000"/>
              </w:rPr>
            </w:pPr>
            <w:r w:rsidRPr="00B22315">
              <w:rPr>
                <w:rFonts w:eastAsia="Times New Roman" w:cs="Times New Roman"/>
                <w:color w:val="000000"/>
              </w:rPr>
              <w:t>Capacity building - local &amp; regional</w:t>
            </w:r>
          </w:p>
        </w:tc>
        <w:tc>
          <w:tcPr>
            <w:tcW w:w="712" w:type="pct"/>
            <w:tcBorders>
              <w:top w:val="nil"/>
              <w:left w:val="nil"/>
              <w:bottom w:val="nil"/>
              <w:right w:val="nil"/>
            </w:tcBorders>
            <w:shd w:val="clear" w:color="auto" w:fill="auto"/>
            <w:noWrap/>
            <w:vAlign w:val="center"/>
            <w:hideMark/>
          </w:tcPr>
          <w:p w:rsidR="00B22315" w:rsidRPr="00B748A4" w:rsidRDefault="00B22315" w:rsidP="00DD0C61">
            <w:pPr>
              <w:spacing w:after="0" w:line="240" w:lineRule="auto"/>
              <w:jc w:val="right"/>
              <w:rPr>
                <w:rFonts w:eastAsia="Times New Roman" w:cs="Times New Roman"/>
                <w:color w:val="000000"/>
              </w:rPr>
            </w:pPr>
            <w:r w:rsidRPr="00B748A4">
              <w:rPr>
                <w:rFonts w:eastAsia="Times New Roman" w:cs="Times New Roman"/>
                <w:color w:val="000000"/>
              </w:rPr>
              <w:t>5.9</w:t>
            </w:r>
          </w:p>
        </w:tc>
      </w:tr>
      <w:tr w:rsidR="00B22315" w:rsidRPr="00B748A4" w:rsidTr="00DD0C61">
        <w:trPr>
          <w:trHeight w:val="300"/>
        </w:trPr>
        <w:tc>
          <w:tcPr>
            <w:tcW w:w="217" w:type="pct"/>
            <w:tcBorders>
              <w:top w:val="nil"/>
              <w:left w:val="nil"/>
              <w:bottom w:val="dotted" w:sz="4" w:space="0" w:color="auto"/>
              <w:right w:val="nil"/>
            </w:tcBorders>
            <w:shd w:val="clear" w:color="auto" w:fill="auto"/>
            <w:noWrap/>
            <w:vAlign w:val="center"/>
            <w:hideMark/>
          </w:tcPr>
          <w:p w:rsidR="00B22315" w:rsidRPr="00B22315" w:rsidRDefault="00B22315" w:rsidP="00DD0C61">
            <w:pPr>
              <w:spacing w:after="0" w:line="240" w:lineRule="auto"/>
              <w:jc w:val="right"/>
              <w:rPr>
                <w:rFonts w:eastAsia="Times New Roman" w:cs="Times New Roman"/>
                <w:color w:val="000000"/>
              </w:rPr>
            </w:pPr>
          </w:p>
        </w:tc>
        <w:tc>
          <w:tcPr>
            <w:tcW w:w="4071" w:type="pct"/>
            <w:tcBorders>
              <w:top w:val="nil"/>
              <w:left w:val="nil"/>
              <w:bottom w:val="dotted" w:sz="4" w:space="0" w:color="auto"/>
              <w:right w:val="nil"/>
            </w:tcBorders>
            <w:shd w:val="clear" w:color="auto" w:fill="auto"/>
            <w:noWrap/>
            <w:vAlign w:val="center"/>
            <w:hideMark/>
          </w:tcPr>
          <w:p w:rsidR="00B22315" w:rsidRPr="00B22315" w:rsidRDefault="00B22315" w:rsidP="00DD0C61">
            <w:pPr>
              <w:spacing w:after="0" w:line="240" w:lineRule="auto"/>
              <w:ind w:firstLineChars="100" w:firstLine="220"/>
              <w:rPr>
                <w:rFonts w:eastAsia="Times New Roman" w:cs="Times New Roman"/>
                <w:color w:val="000000"/>
              </w:rPr>
            </w:pPr>
            <w:r w:rsidRPr="00B22315">
              <w:rPr>
                <w:rFonts w:eastAsia="Times New Roman" w:cs="Times New Roman"/>
                <w:color w:val="000000"/>
              </w:rPr>
              <w:t>Software procurement and provisioning</w:t>
            </w:r>
          </w:p>
        </w:tc>
        <w:tc>
          <w:tcPr>
            <w:tcW w:w="712" w:type="pct"/>
            <w:tcBorders>
              <w:top w:val="nil"/>
              <w:left w:val="nil"/>
              <w:bottom w:val="dotted" w:sz="4" w:space="0" w:color="auto"/>
              <w:right w:val="nil"/>
            </w:tcBorders>
            <w:shd w:val="clear" w:color="auto" w:fill="auto"/>
            <w:noWrap/>
            <w:vAlign w:val="center"/>
            <w:hideMark/>
          </w:tcPr>
          <w:p w:rsidR="00B22315" w:rsidRPr="00B748A4" w:rsidRDefault="00B22315" w:rsidP="00DD0C61">
            <w:pPr>
              <w:spacing w:after="0" w:line="240" w:lineRule="auto"/>
              <w:jc w:val="right"/>
              <w:rPr>
                <w:rFonts w:eastAsia="Times New Roman" w:cs="Times New Roman"/>
                <w:color w:val="000000"/>
              </w:rPr>
            </w:pPr>
            <w:r w:rsidRPr="00B748A4">
              <w:rPr>
                <w:rFonts w:eastAsia="Times New Roman" w:cs="Times New Roman"/>
                <w:color w:val="000000"/>
              </w:rPr>
              <w:t>4.5</w:t>
            </w:r>
          </w:p>
        </w:tc>
      </w:tr>
      <w:tr w:rsidR="00B22315" w:rsidRPr="00B748A4" w:rsidTr="00DD0C61">
        <w:trPr>
          <w:trHeight w:val="300"/>
        </w:trPr>
        <w:tc>
          <w:tcPr>
            <w:tcW w:w="217" w:type="pct"/>
            <w:tcBorders>
              <w:top w:val="nil"/>
              <w:left w:val="nil"/>
              <w:bottom w:val="nil"/>
              <w:right w:val="nil"/>
            </w:tcBorders>
            <w:shd w:val="clear" w:color="auto" w:fill="auto"/>
            <w:noWrap/>
            <w:vAlign w:val="center"/>
            <w:hideMark/>
          </w:tcPr>
          <w:p w:rsidR="00B22315" w:rsidRPr="00B22315" w:rsidRDefault="00B22315" w:rsidP="00DD0C61">
            <w:pPr>
              <w:spacing w:after="0" w:line="240" w:lineRule="auto"/>
              <w:rPr>
                <w:rFonts w:eastAsia="Times New Roman" w:cs="Times New Roman"/>
                <w:b/>
                <w:bCs/>
                <w:color w:val="000000"/>
              </w:rPr>
            </w:pPr>
            <w:r w:rsidRPr="00B22315">
              <w:rPr>
                <w:rFonts w:eastAsia="Times New Roman" w:cs="Times New Roman"/>
                <w:b/>
                <w:bCs/>
                <w:color w:val="000000"/>
              </w:rPr>
              <w:t>E.</w:t>
            </w:r>
          </w:p>
        </w:tc>
        <w:tc>
          <w:tcPr>
            <w:tcW w:w="4071" w:type="pct"/>
            <w:tcBorders>
              <w:top w:val="nil"/>
              <w:left w:val="nil"/>
              <w:bottom w:val="nil"/>
              <w:right w:val="nil"/>
            </w:tcBorders>
            <w:shd w:val="clear" w:color="auto" w:fill="auto"/>
            <w:noWrap/>
            <w:vAlign w:val="center"/>
            <w:hideMark/>
          </w:tcPr>
          <w:p w:rsidR="00B22315" w:rsidRPr="00B22315" w:rsidRDefault="00B22315" w:rsidP="00DD0C61">
            <w:pPr>
              <w:spacing w:after="0" w:line="240" w:lineRule="auto"/>
              <w:rPr>
                <w:rFonts w:eastAsia="Times New Roman" w:cs="Times New Roman"/>
                <w:b/>
                <w:bCs/>
                <w:color w:val="000000"/>
              </w:rPr>
            </w:pPr>
            <w:r w:rsidRPr="00B22315">
              <w:rPr>
                <w:rFonts w:eastAsia="Times New Roman" w:cs="Times New Roman"/>
                <w:b/>
                <w:bCs/>
                <w:color w:val="000000"/>
              </w:rPr>
              <w:t>Program management &amp; administration</w:t>
            </w:r>
          </w:p>
        </w:tc>
        <w:tc>
          <w:tcPr>
            <w:tcW w:w="712" w:type="pct"/>
            <w:tcBorders>
              <w:top w:val="nil"/>
              <w:left w:val="nil"/>
              <w:bottom w:val="nil"/>
              <w:right w:val="nil"/>
            </w:tcBorders>
            <w:shd w:val="clear" w:color="auto" w:fill="auto"/>
            <w:noWrap/>
            <w:vAlign w:val="center"/>
            <w:hideMark/>
          </w:tcPr>
          <w:p w:rsidR="00B22315" w:rsidRPr="00B748A4" w:rsidRDefault="00B22315" w:rsidP="00DD0C61">
            <w:pPr>
              <w:spacing w:after="0" w:line="240" w:lineRule="auto"/>
              <w:rPr>
                <w:rFonts w:eastAsia="Times New Roman" w:cs="Times New Roman"/>
                <w:b/>
                <w:bCs/>
                <w:color w:val="000000"/>
              </w:rPr>
            </w:pPr>
          </w:p>
        </w:tc>
      </w:tr>
      <w:tr w:rsidR="00B22315" w:rsidRPr="00B748A4" w:rsidTr="00DD0C61">
        <w:trPr>
          <w:trHeight w:val="747"/>
        </w:trPr>
        <w:tc>
          <w:tcPr>
            <w:tcW w:w="217" w:type="pct"/>
            <w:tcBorders>
              <w:top w:val="nil"/>
              <w:left w:val="nil"/>
              <w:bottom w:val="nil"/>
              <w:right w:val="nil"/>
            </w:tcBorders>
            <w:shd w:val="clear" w:color="auto" w:fill="auto"/>
            <w:noWrap/>
            <w:vAlign w:val="center"/>
            <w:hideMark/>
          </w:tcPr>
          <w:p w:rsidR="00B22315" w:rsidRPr="00B22315" w:rsidRDefault="00B22315" w:rsidP="00DD0C61">
            <w:pPr>
              <w:spacing w:after="0" w:line="240" w:lineRule="auto"/>
              <w:rPr>
                <w:rFonts w:eastAsia="Times New Roman" w:cs="Times New Roman"/>
              </w:rPr>
            </w:pPr>
          </w:p>
        </w:tc>
        <w:tc>
          <w:tcPr>
            <w:tcW w:w="4071" w:type="pct"/>
            <w:tcBorders>
              <w:top w:val="nil"/>
              <w:left w:val="nil"/>
              <w:bottom w:val="nil"/>
              <w:right w:val="nil"/>
            </w:tcBorders>
            <w:shd w:val="clear" w:color="auto" w:fill="auto"/>
            <w:vAlign w:val="center"/>
            <w:hideMark/>
          </w:tcPr>
          <w:p w:rsidR="00B22315" w:rsidRPr="00B22315" w:rsidRDefault="00B22315" w:rsidP="00DD0C61">
            <w:pPr>
              <w:spacing w:after="0" w:line="240" w:lineRule="auto"/>
              <w:ind w:left="221"/>
              <w:rPr>
                <w:rFonts w:eastAsia="Times New Roman" w:cs="Times New Roman"/>
                <w:color w:val="000000"/>
              </w:rPr>
            </w:pPr>
            <w:r w:rsidRPr="00B22315">
              <w:rPr>
                <w:rFonts w:eastAsia="Times New Roman" w:cs="Times New Roman"/>
                <w:color w:val="000000"/>
              </w:rPr>
              <w:t>Program planning &amp; establishment of work flows for program evaluation, data dev. project management, procurement, and contracting</w:t>
            </w:r>
          </w:p>
        </w:tc>
        <w:tc>
          <w:tcPr>
            <w:tcW w:w="712" w:type="pct"/>
            <w:tcBorders>
              <w:top w:val="nil"/>
              <w:left w:val="nil"/>
              <w:bottom w:val="nil"/>
              <w:right w:val="nil"/>
            </w:tcBorders>
            <w:shd w:val="clear" w:color="auto" w:fill="auto"/>
            <w:noWrap/>
            <w:vAlign w:val="center"/>
            <w:hideMark/>
          </w:tcPr>
          <w:p w:rsidR="00B22315" w:rsidRPr="00B748A4" w:rsidRDefault="00B22315" w:rsidP="00DD0C61">
            <w:pPr>
              <w:spacing w:after="0" w:line="240" w:lineRule="auto"/>
              <w:jc w:val="right"/>
              <w:rPr>
                <w:rFonts w:eastAsia="Times New Roman" w:cs="Times New Roman"/>
                <w:color w:val="000000"/>
              </w:rPr>
            </w:pPr>
            <w:r w:rsidRPr="00B748A4">
              <w:rPr>
                <w:rFonts w:eastAsia="Times New Roman" w:cs="Times New Roman"/>
                <w:color w:val="000000"/>
              </w:rPr>
              <w:t>2</w:t>
            </w:r>
          </w:p>
        </w:tc>
      </w:tr>
      <w:tr w:rsidR="00B22315" w:rsidRPr="00B748A4" w:rsidTr="00DD0C61">
        <w:trPr>
          <w:trHeight w:val="300"/>
        </w:trPr>
        <w:tc>
          <w:tcPr>
            <w:tcW w:w="217" w:type="pct"/>
            <w:tcBorders>
              <w:top w:val="nil"/>
              <w:left w:val="nil"/>
              <w:bottom w:val="nil"/>
              <w:right w:val="nil"/>
            </w:tcBorders>
            <w:shd w:val="clear" w:color="auto" w:fill="auto"/>
            <w:noWrap/>
            <w:vAlign w:val="center"/>
            <w:hideMark/>
          </w:tcPr>
          <w:p w:rsidR="00B22315" w:rsidRPr="00B22315" w:rsidRDefault="00B22315" w:rsidP="00DD0C61">
            <w:pPr>
              <w:spacing w:after="0" w:line="240" w:lineRule="auto"/>
              <w:jc w:val="right"/>
              <w:rPr>
                <w:rFonts w:eastAsia="Times New Roman" w:cs="Times New Roman"/>
                <w:color w:val="000000"/>
              </w:rPr>
            </w:pPr>
          </w:p>
        </w:tc>
        <w:tc>
          <w:tcPr>
            <w:tcW w:w="4071" w:type="pct"/>
            <w:tcBorders>
              <w:top w:val="nil"/>
              <w:left w:val="nil"/>
              <w:bottom w:val="nil"/>
              <w:right w:val="nil"/>
            </w:tcBorders>
            <w:shd w:val="clear" w:color="auto" w:fill="auto"/>
            <w:noWrap/>
            <w:vAlign w:val="center"/>
            <w:hideMark/>
          </w:tcPr>
          <w:p w:rsidR="00B22315" w:rsidRPr="00B22315" w:rsidRDefault="00B22315" w:rsidP="00DD0C61">
            <w:pPr>
              <w:spacing w:after="0" w:line="240" w:lineRule="auto"/>
              <w:ind w:firstLineChars="100" w:firstLine="220"/>
              <w:rPr>
                <w:rFonts w:eastAsia="Times New Roman" w:cs="Times New Roman"/>
                <w:color w:val="000000"/>
              </w:rPr>
            </w:pPr>
            <w:r w:rsidRPr="00B22315">
              <w:rPr>
                <w:rFonts w:eastAsia="Times New Roman" w:cs="Times New Roman"/>
                <w:color w:val="000000"/>
              </w:rPr>
              <w:t>Debt service management &amp; administration</w:t>
            </w:r>
          </w:p>
        </w:tc>
        <w:tc>
          <w:tcPr>
            <w:tcW w:w="712" w:type="pct"/>
            <w:tcBorders>
              <w:top w:val="nil"/>
              <w:left w:val="nil"/>
              <w:bottom w:val="nil"/>
              <w:right w:val="nil"/>
            </w:tcBorders>
            <w:shd w:val="clear" w:color="auto" w:fill="auto"/>
            <w:noWrap/>
            <w:vAlign w:val="center"/>
            <w:hideMark/>
          </w:tcPr>
          <w:p w:rsidR="00B22315" w:rsidRPr="00B748A4" w:rsidRDefault="00B22315" w:rsidP="00DD0C61">
            <w:pPr>
              <w:spacing w:after="0" w:line="240" w:lineRule="auto"/>
              <w:jc w:val="right"/>
              <w:rPr>
                <w:rFonts w:eastAsia="Times New Roman" w:cs="Times New Roman"/>
                <w:i/>
                <w:iCs/>
                <w:color w:val="000000"/>
              </w:rPr>
            </w:pPr>
            <w:r w:rsidRPr="00B748A4">
              <w:rPr>
                <w:rFonts w:eastAsia="Times New Roman" w:cs="Times New Roman"/>
                <w:i/>
                <w:iCs/>
                <w:color w:val="000000"/>
              </w:rPr>
              <w:t>TBD</w:t>
            </w:r>
          </w:p>
        </w:tc>
      </w:tr>
      <w:tr w:rsidR="00B22315" w:rsidRPr="00B748A4" w:rsidTr="00DD0C61">
        <w:trPr>
          <w:trHeight w:val="300"/>
        </w:trPr>
        <w:tc>
          <w:tcPr>
            <w:tcW w:w="217" w:type="pct"/>
            <w:tcBorders>
              <w:top w:val="single" w:sz="8" w:space="0" w:color="auto"/>
              <w:left w:val="nil"/>
              <w:bottom w:val="thickThinLargeGap" w:sz="24" w:space="0" w:color="auto"/>
              <w:right w:val="nil"/>
            </w:tcBorders>
            <w:shd w:val="clear" w:color="auto" w:fill="auto"/>
            <w:noWrap/>
            <w:vAlign w:val="center"/>
            <w:hideMark/>
          </w:tcPr>
          <w:p w:rsidR="00B22315" w:rsidRPr="00B22315" w:rsidRDefault="00B22315" w:rsidP="00DD0C61">
            <w:pPr>
              <w:spacing w:after="0" w:line="240" w:lineRule="auto"/>
              <w:jc w:val="right"/>
              <w:rPr>
                <w:rFonts w:eastAsia="Times New Roman" w:cs="Times New Roman"/>
              </w:rPr>
            </w:pPr>
          </w:p>
        </w:tc>
        <w:tc>
          <w:tcPr>
            <w:tcW w:w="4071" w:type="pct"/>
            <w:tcBorders>
              <w:top w:val="single" w:sz="8" w:space="0" w:color="auto"/>
              <w:left w:val="nil"/>
              <w:bottom w:val="thickThinLargeGap" w:sz="24" w:space="0" w:color="auto"/>
              <w:right w:val="nil"/>
            </w:tcBorders>
            <w:shd w:val="clear" w:color="auto" w:fill="auto"/>
            <w:noWrap/>
            <w:vAlign w:val="center"/>
            <w:hideMark/>
          </w:tcPr>
          <w:p w:rsidR="00B22315" w:rsidRPr="00B22315" w:rsidRDefault="00B22315" w:rsidP="00DD0C61">
            <w:pPr>
              <w:spacing w:after="0" w:line="240" w:lineRule="auto"/>
              <w:jc w:val="right"/>
              <w:rPr>
                <w:rFonts w:eastAsia="Times New Roman" w:cs="Times New Roman"/>
                <w:b/>
                <w:bCs/>
                <w:color w:val="000000"/>
              </w:rPr>
            </w:pPr>
            <w:r w:rsidRPr="00B22315">
              <w:rPr>
                <w:rFonts w:eastAsia="Times New Roman" w:cs="Times New Roman"/>
                <w:b/>
                <w:bCs/>
                <w:color w:val="000000"/>
              </w:rPr>
              <w:t>Total cost (millions)</w:t>
            </w:r>
          </w:p>
        </w:tc>
        <w:tc>
          <w:tcPr>
            <w:tcW w:w="712" w:type="pct"/>
            <w:tcBorders>
              <w:top w:val="single" w:sz="8" w:space="0" w:color="auto"/>
              <w:left w:val="nil"/>
              <w:bottom w:val="thickThinLargeGap" w:sz="24" w:space="0" w:color="auto"/>
              <w:right w:val="nil"/>
            </w:tcBorders>
            <w:shd w:val="clear" w:color="auto" w:fill="auto"/>
            <w:noWrap/>
            <w:vAlign w:val="center"/>
            <w:hideMark/>
          </w:tcPr>
          <w:p w:rsidR="00B22315" w:rsidRPr="00B748A4" w:rsidRDefault="00B22315" w:rsidP="00DD0C61">
            <w:pPr>
              <w:spacing w:after="0" w:line="240" w:lineRule="auto"/>
              <w:rPr>
                <w:rFonts w:eastAsia="Times New Roman" w:cs="Times New Roman"/>
                <w:b/>
                <w:bCs/>
                <w:color w:val="000000"/>
              </w:rPr>
            </w:pPr>
            <w:r w:rsidRPr="00B748A4">
              <w:rPr>
                <w:rFonts w:eastAsia="Times New Roman" w:cs="Times New Roman"/>
                <w:b/>
                <w:bCs/>
                <w:color w:val="000000"/>
              </w:rPr>
              <w:t xml:space="preserve"> $             268 </w:t>
            </w:r>
          </w:p>
        </w:tc>
      </w:tr>
    </w:tbl>
    <w:p w:rsidR="00B22315" w:rsidRPr="00B22315" w:rsidRDefault="00B22315" w:rsidP="00B22315">
      <w:pPr>
        <w:spacing w:after="120"/>
        <w:rPr>
          <w:i/>
          <w:sz w:val="16"/>
          <w:szCs w:val="16"/>
          <w:u w:val="single"/>
        </w:rPr>
      </w:pPr>
    </w:p>
    <w:p w:rsidR="00B22315" w:rsidRPr="001576B1" w:rsidRDefault="00B22315" w:rsidP="00B22315">
      <w:pPr>
        <w:spacing w:after="120"/>
        <w:rPr>
          <w:i/>
          <w:u w:val="single"/>
        </w:rPr>
      </w:pPr>
      <w:r w:rsidRPr="001576B1">
        <w:rPr>
          <w:i/>
          <w:u w:val="single"/>
        </w:rPr>
        <w:t>Ongoing Tasks (annual)</w:t>
      </w:r>
    </w:p>
    <w:p w:rsidR="00B22315" w:rsidRDefault="00B22315" w:rsidP="00B22315">
      <w:pPr>
        <w:pStyle w:val="ListParagraph"/>
        <w:numPr>
          <w:ilvl w:val="0"/>
          <w:numId w:val="33"/>
        </w:numPr>
      </w:pPr>
      <w:r>
        <w:t>Software Licensing</w:t>
      </w:r>
    </w:p>
    <w:p w:rsidR="00B22315" w:rsidRDefault="00B22315" w:rsidP="00B22315">
      <w:pPr>
        <w:pStyle w:val="ListParagraph"/>
        <w:numPr>
          <w:ilvl w:val="1"/>
          <w:numId w:val="33"/>
        </w:numPr>
      </w:pPr>
      <w:r>
        <w:t>The software provisioned for data sharing and data management will need to be maintained and supported on an ongoing basis to support the Framework data investment.</w:t>
      </w:r>
    </w:p>
    <w:p w:rsidR="00B22315" w:rsidRDefault="00B22315" w:rsidP="00B22315">
      <w:pPr>
        <w:pStyle w:val="ListParagraph"/>
        <w:numPr>
          <w:ilvl w:val="0"/>
          <w:numId w:val="33"/>
        </w:numPr>
      </w:pPr>
      <w:r w:rsidRPr="000D7132">
        <w:t xml:space="preserve">Data </w:t>
      </w:r>
      <w:r>
        <w:t>m</w:t>
      </w:r>
      <w:r w:rsidRPr="000D7132">
        <w:t>aintenance</w:t>
      </w:r>
    </w:p>
    <w:p w:rsidR="00B22315" w:rsidRDefault="00B22315" w:rsidP="00B22315">
      <w:pPr>
        <w:pStyle w:val="ListParagraph"/>
        <w:numPr>
          <w:ilvl w:val="1"/>
          <w:numId w:val="33"/>
        </w:numPr>
      </w:pPr>
      <w:r>
        <w:t>Public bodies will continue to incur costs over and above existing funding availability to maintain the Framework data in which the state is investing as a strategic asset.</w:t>
      </w:r>
    </w:p>
    <w:p w:rsidR="00B22315" w:rsidRDefault="00B22315" w:rsidP="00B22315">
      <w:pPr>
        <w:pStyle w:val="ListParagraph"/>
        <w:keepNext/>
        <w:numPr>
          <w:ilvl w:val="0"/>
          <w:numId w:val="33"/>
        </w:numPr>
      </w:pPr>
      <w:r w:rsidRPr="00E07CAE">
        <w:t>Data sharing</w:t>
      </w:r>
    </w:p>
    <w:p w:rsidR="00B22315" w:rsidRPr="00E07CAE" w:rsidRDefault="00B22315" w:rsidP="00B22315">
      <w:pPr>
        <w:pStyle w:val="ListParagraph"/>
        <w:numPr>
          <w:ilvl w:val="1"/>
          <w:numId w:val="33"/>
        </w:numPr>
      </w:pPr>
      <w:r>
        <w:t>The technology to enable secure Framework data sharing among and between all public bodies will require ongoing maintenance and support.  In addition, the regional bodies will incur costs to standardize and aggregate Framework data on an ongoing basis.</w:t>
      </w:r>
    </w:p>
    <w:p w:rsidR="00B22315" w:rsidRDefault="00B22315" w:rsidP="00B22315">
      <w:pPr>
        <w:pStyle w:val="ListParagraph"/>
        <w:numPr>
          <w:ilvl w:val="0"/>
          <w:numId w:val="33"/>
        </w:numPr>
      </w:pPr>
      <w:r w:rsidRPr="000D7132">
        <w:t xml:space="preserve">GEO </w:t>
      </w:r>
      <w:r>
        <w:t>new and existing p</w:t>
      </w:r>
      <w:r w:rsidRPr="000D7132">
        <w:t>erm</w:t>
      </w:r>
      <w:r>
        <w:t>anent s</w:t>
      </w:r>
      <w:r w:rsidRPr="000D7132">
        <w:t>taff</w:t>
      </w:r>
    </w:p>
    <w:p w:rsidR="00B22315" w:rsidRDefault="00B22315" w:rsidP="00B22315">
      <w:pPr>
        <w:pStyle w:val="ListParagraph"/>
        <w:numPr>
          <w:ilvl w:val="1"/>
          <w:numId w:val="33"/>
        </w:numPr>
      </w:pPr>
      <w:r>
        <w:t>To support the ongoing needs of this program, GEO will need to increase its staffing levels.  The policy option package includes three new staff and an increase in classification for one existing staff.</w:t>
      </w:r>
    </w:p>
    <w:p w:rsidR="00B22315" w:rsidRDefault="00B22315" w:rsidP="00B22315">
      <w:pPr>
        <w:pStyle w:val="ListParagraph"/>
        <w:numPr>
          <w:ilvl w:val="0"/>
          <w:numId w:val="33"/>
        </w:numPr>
      </w:pPr>
      <w:r>
        <w:t>Other (future program enhancements)</w:t>
      </w:r>
    </w:p>
    <w:p w:rsidR="00B22315" w:rsidRDefault="00B22315" w:rsidP="00B22315">
      <w:pPr>
        <w:pStyle w:val="ListParagraph"/>
        <w:numPr>
          <w:ilvl w:val="0"/>
          <w:numId w:val="33"/>
        </w:numPr>
      </w:pPr>
      <w:r w:rsidRPr="000D7132">
        <w:t xml:space="preserve">Debt </w:t>
      </w:r>
      <w:r>
        <w:t>s</w:t>
      </w:r>
      <w:r w:rsidRPr="000D7132">
        <w:t>ervice</w:t>
      </w:r>
    </w:p>
    <w:p w:rsidR="00B22315" w:rsidRDefault="00B22315" w:rsidP="00B22315">
      <w:pPr>
        <w:pStyle w:val="ListParagraph"/>
        <w:numPr>
          <w:ilvl w:val="1"/>
          <w:numId w:val="33"/>
        </w:numPr>
        <w:spacing w:after="120"/>
      </w:pPr>
      <w:r>
        <w:t>This may not be necessary after the initial start-up period.  If it is, the cost for repayment of bonds will be determined at a later time.</w:t>
      </w:r>
    </w:p>
    <w:p w:rsidR="00B22315" w:rsidRDefault="00B22315" w:rsidP="00B22315">
      <w:pPr>
        <w:pStyle w:val="Caption"/>
        <w:keepNext/>
        <w:spacing w:before="160" w:after="40"/>
      </w:pPr>
      <w:r>
        <w:t xml:space="preserve">Table </w:t>
      </w:r>
      <w:r>
        <w:t>6</w:t>
      </w:r>
      <w:r>
        <w:t>. Ongoing activities and their associated annual costs.</w:t>
      </w:r>
    </w:p>
    <w:tbl>
      <w:tblPr>
        <w:tblW w:w="0" w:type="auto"/>
        <w:tblLook w:val="04A0" w:firstRow="1" w:lastRow="0" w:firstColumn="1" w:lastColumn="0" w:noHBand="0" w:noVBand="1"/>
      </w:tblPr>
      <w:tblGrid>
        <w:gridCol w:w="635"/>
        <w:gridCol w:w="3739"/>
        <w:gridCol w:w="2197"/>
      </w:tblGrid>
      <w:tr w:rsidR="00B22315" w:rsidRPr="003B5C90" w:rsidTr="00DD0C61">
        <w:trPr>
          <w:trHeight w:val="372"/>
        </w:trPr>
        <w:tc>
          <w:tcPr>
            <w:tcW w:w="0" w:type="auto"/>
            <w:tcBorders>
              <w:top w:val="thinThickLargeGap" w:sz="24" w:space="0" w:color="auto"/>
              <w:left w:val="nil"/>
              <w:bottom w:val="single" w:sz="8" w:space="0" w:color="auto"/>
              <w:right w:val="nil"/>
            </w:tcBorders>
            <w:shd w:val="clear" w:color="auto" w:fill="auto"/>
            <w:noWrap/>
            <w:vAlign w:val="bottom"/>
            <w:hideMark/>
          </w:tcPr>
          <w:p w:rsidR="00B22315" w:rsidRPr="003B5C90" w:rsidRDefault="00B22315" w:rsidP="00DD0C61">
            <w:pPr>
              <w:spacing w:after="0" w:line="240" w:lineRule="auto"/>
              <w:rPr>
                <w:rFonts w:ascii="Times New Roman" w:eastAsia="Times New Roman" w:hAnsi="Times New Roman" w:cs="Times New Roman"/>
              </w:rPr>
            </w:pPr>
          </w:p>
        </w:tc>
        <w:tc>
          <w:tcPr>
            <w:tcW w:w="0" w:type="auto"/>
            <w:tcBorders>
              <w:top w:val="thinThickLargeGap" w:sz="24" w:space="0" w:color="auto"/>
              <w:left w:val="nil"/>
              <w:bottom w:val="single" w:sz="8" w:space="0" w:color="auto"/>
              <w:right w:val="nil"/>
            </w:tcBorders>
            <w:shd w:val="clear" w:color="auto" w:fill="auto"/>
            <w:noWrap/>
            <w:vAlign w:val="bottom"/>
            <w:hideMark/>
          </w:tcPr>
          <w:p w:rsidR="00B22315" w:rsidRPr="003B5C90" w:rsidRDefault="00B22315" w:rsidP="00DD0C61">
            <w:pPr>
              <w:spacing w:after="0" w:line="240" w:lineRule="auto"/>
              <w:rPr>
                <w:rFonts w:eastAsia="Times New Roman" w:cs="Times New Roman"/>
                <w:b/>
              </w:rPr>
            </w:pPr>
            <w:r w:rsidRPr="00323BFC">
              <w:rPr>
                <w:rFonts w:eastAsia="Times New Roman" w:cs="Times New Roman"/>
                <w:b/>
              </w:rPr>
              <w:t>Ongoing activities</w:t>
            </w:r>
          </w:p>
        </w:tc>
        <w:tc>
          <w:tcPr>
            <w:tcW w:w="0" w:type="auto"/>
            <w:tcBorders>
              <w:top w:val="thinThickLargeGap" w:sz="24" w:space="0" w:color="auto"/>
              <w:left w:val="nil"/>
              <w:bottom w:val="single" w:sz="8" w:space="0" w:color="auto"/>
              <w:right w:val="nil"/>
            </w:tcBorders>
            <w:shd w:val="clear" w:color="auto" w:fill="auto"/>
            <w:vAlign w:val="bottom"/>
            <w:hideMark/>
          </w:tcPr>
          <w:p w:rsidR="00B22315" w:rsidRPr="003B5C90" w:rsidRDefault="00B22315" w:rsidP="00DD0C61">
            <w:pPr>
              <w:spacing w:after="0" w:line="240" w:lineRule="auto"/>
              <w:jc w:val="center"/>
              <w:rPr>
                <w:rFonts w:ascii="Calibri" w:eastAsia="Times New Roman" w:hAnsi="Calibri" w:cs="Times New Roman"/>
                <w:b/>
                <w:bCs/>
                <w:color w:val="000000"/>
              </w:rPr>
            </w:pPr>
            <w:r w:rsidRPr="003B5C90">
              <w:rPr>
                <w:rFonts w:ascii="Calibri" w:eastAsia="Times New Roman" w:hAnsi="Calibri" w:cs="Times New Roman"/>
                <w:b/>
                <w:bCs/>
                <w:color w:val="000000"/>
              </w:rPr>
              <w:t>Annual cost (millions)</w:t>
            </w:r>
          </w:p>
        </w:tc>
      </w:tr>
      <w:tr w:rsidR="00B22315" w:rsidRPr="003B5C90" w:rsidTr="00DD0C61">
        <w:trPr>
          <w:trHeight w:val="300"/>
        </w:trPr>
        <w:tc>
          <w:tcPr>
            <w:tcW w:w="0" w:type="auto"/>
            <w:tcBorders>
              <w:top w:val="single" w:sz="8" w:space="0" w:color="auto"/>
              <w:left w:val="nil"/>
              <w:bottom w:val="dotted" w:sz="4" w:space="0" w:color="auto"/>
              <w:right w:val="nil"/>
            </w:tcBorders>
            <w:shd w:val="clear" w:color="auto" w:fill="auto"/>
            <w:noWrap/>
            <w:vAlign w:val="bottom"/>
            <w:hideMark/>
          </w:tcPr>
          <w:p w:rsidR="00B22315" w:rsidRPr="003B5C90" w:rsidRDefault="00B22315" w:rsidP="00DD0C61">
            <w:pPr>
              <w:spacing w:after="0" w:line="240" w:lineRule="auto"/>
              <w:ind w:firstLineChars="100" w:firstLine="221"/>
              <w:rPr>
                <w:rFonts w:ascii="Calibri" w:eastAsia="Times New Roman" w:hAnsi="Calibri" w:cs="Times New Roman"/>
                <w:b/>
                <w:bCs/>
                <w:color w:val="000000"/>
              </w:rPr>
            </w:pPr>
            <w:r w:rsidRPr="003B5C90">
              <w:rPr>
                <w:rFonts w:ascii="Calibri" w:eastAsia="Times New Roman" w:hAnsi="Calibri" w:cs="Times New Roman"/>
                <w:b/>
                <w:bCs/>
                <w:color w:val="000000"/>
              </w:rPr>
              <w:t>A.</w:t>
            </w:r>
          </w:p>
        </w:tc>
        <w:tc>
          <w:tcPr>
            <w:tcW w:w="0" w:type="auto"/>
            <w:tcBorders>
              <w:top w:val="single" w:sz="8" w:space="0" w:color="auto"/>
              <w:left w:val="nil"/>
              <w:bottom w:val="dotted" w:sz="4" w:space="0" w:color="auto"/>
              <w:right w:val="nil"/>
            </w:tcBorders>
            <w:shd w:val="clear" w:color="auto" w:fill="auto"/>
            <w:noWrap/>
            <w:vAlign w:val="bottom"/>
            <w:hideMark/>
          </w:tcPr>
          <w:p w:rsidR="00B22315" w:rsidRPr="003B5C90" w:rsidRDefault="00B22315" w:rsidP="00DD0C61">
            <w:pPr>
              <w:spacing w:after="0" w:line="240" w:lineRule="auto"/>
              <w:rPr>
                <w:rFonts w:ascii="Calibri" w:eastAsia="Times New Roman" w:hAnsi="Calibri" w:cs="Times New Roman"/>
                <w:b/>
                <w:bCs/>
                <w:color w:val="000000"/>
              </w:rPr>
            </w:pPr>
            <w:r w:rsidRPr="003B5C90">
              <w:rPr>
                <w:rFonts w:ascii="Calibri" w:eastAsia="Times New Roman" w:hAnsi="Calibri" w:cs="Times New Roman"/>
                <w:b/>
                <w:bCs/>
                <w:color w:val="000000"/>
              </w:rPr>
              <w:t>Software licensing</w:t>
            </w:r>
          </w:p>
        </w:tc>
        <w:tc>
          <w:tcPr>
            <w:tcW w:w="0" w:type="auto"/>
            <w:tcBorders>
              <w:top w:val="single" w:sz="8" w:space="0" w:color="auto"/>
              <w:left w:val="nil"/>
              <w:bottom w:val="dotted" w:sz="4" w:space="0" w:color="auto"/>
              <w:right w:val="nil"/>
            </w:tcBorders>
            <w:shd w:val="clear" w:color="auto" w:fill="auto"/>
            <w:noWrap/>
            <w:vAlign w:val="bottom"/>
            <w:hideMark/>
          </w:tcPr>
          <w:p w:rsidR="00B22315" w:rsidRPr="003B5C90" w:rsidRDefault="00B22315" w:rsidP="00DD0C61">
            <w:pPr>
              <w:spacing w:after="0" w:line="240" w:lineRule="auto"/>
              <w:jc w:val="right"/>
              <w:rPr>
                <w:rFonts w:ascii="Calibri" w:eastAsia="Times New Roman" w:hAnsi="Calibri" w:cs="Times New Roman"/>
                <w:color w:val="000000"/>
              </w:rPr>
            </w:pPr>
            <w:r w:rsidRPr="003B5C90">
              <w:rPr>
                <w:rFonts w:ascii="Calibri" w:eastAsia="Times New Roman" w:hAnsi="Calibri" w:cs="Times New Roman"/>
                <w:color w:val="000000"/>
              </w:rPr>
              <w:t>2.5</w:t>
            </w:r>
          </w:p>
        </w:tc>
      </w:tr>
      <w:tr w:rsidR="00B22315" w:rsidRPr="003B5C90" w:rsidTr="00DD0C61">
        <w:trPr>
          <w:trHeight w:val="300"/>
        </w:trPr>
        <w:tc>
          <w:tcPr>
            <w:tcW w:w="0" w:type="auto"/>
            <w:tcBorders>
              <w:top w:val="dotted" w:sz="4" w:space="0" w:color="auto"/>
              <w:left w:val="nil"/>
              <w:bottom w:val="dotted" w:sz="4" w:space="0" w:color="auto"/>
              <w:right w:val="nil"/>
            </w:tcBorders>
            <w:shd w:val="clear" w:color="auto" w:fill="auto"/>
            <w:noWrap/>
            <w:vAlign w:val="bottom"/>
            <w:hideMark/>
          </w:tcPr>
          <w:p w:rsidR="00B22315" w:rsidRPr="003B5C90" w:rsidRDefault="00B22315" w:rsidP="00DD0C61">
            <w:pPr>
              <w:spacing w:after="0" w:line="240" w:lineRule="auto"/>
              <w:ind w:firstLineChars="100" w:firstLine="221"/>
              <w:rPr>
                <w:rFonts w:ascii="Calibri" w:eastAsia="Times New Roman" w:hAnsi="Calibri" w:cs="Times New Roman"/>
                <w:b/>
                <w:bCs/>
                <w:color w:val="000000"/>
              </w:rPr>
            </w:pPr>
            <w:r w:rsidRPr="003B5C90">
              <w:rPr>
                <w:rFonts w:ascii="Calibri" w:eastAsia="Times New Roman" w:hAnsi="Calibri" w:cs="Times New Roman"/>
                <w:b/>
                <w:bCs/>
                <w:color w:val="000000"/>
              </w:rPr>
              <w:t>B.</w:t>
            </w:r>
          </w:p>
        </w:tc>
        <w:tc>
          <w:tcPr>
            <w:tcW w:w="0" w:type="auto"/>
            <w:tcBorders>
              <w:top w:val="dotted" w:sz="4" w:space="0" w:color="auto"/>
              <w:left w:val="nil"/>
              <w:bottom w:val="dotted" w:sz="4" w:space="0" w:color="auto"/>
              <w:right w:val="nil"/>
            </w:tcBorders>
            <w:shd w:val="clear" w:color="auto" w:fill="auto"/>
            <w:noWrap/>
            <w:vAlign w:val="bottom"/>
            <w:hideMark/>
          </w:tcPr>
          <w:p w:rsidR="00B22315" w:rsidRPr="003B5C90" w:rsidRDefault="00B22315" w:rsidP="00DD0C61">
            <w:pPr>
              <w:spacing w:after="0" w:line="240" w:lineRule="auto"/>
              <w:rPr>
                <w:rFonts w:ascii="Calibri" w:eastAsia="Times New Roman" w:hAnsi="Calibri" w:cs="Times New Roman"/>
                <w:b/>
                <w:bCs/>
                <w:color w:val="000000"/>
              </w:rPr>
            </w:pPr>
            <w:r w:rsidRPr="003B5C90">
              <w:rPr>
                <w:rFonts w:ascii="Calibri" w:eastAsia="Times New Roman" w:hAnsi="Calibri" w:cs="Times New Roman"/>
                <w:b/>
                <w:bCs/>
                <w:color w:val="000000"/>
              </w:rPr>
              <w:t>Data maintenance</w:t>
            </w:r>
          </w:p>
        </w:tc>
        <w:tc>
          <w:tcPr>
            <w:tcW w:w="0" w:type="auto"/>
            <w:tcBorders>
              <w:top w:val="dotted" w:sz="4" w:space="0" w:color="auto"/>
              <w:left w:val="nil"/>
              <w:bottom w:val="dotted" w:sz="4" w:space="0" w:color="auto"/>
              <w:right w:val="nil"/>
            </w:tcBorders>
            <w:shd w:val="clear" w:color="auto" w:fill="auto"/>
            <w:noWrap/>
            <w:vAlign w:val="bottom"/>
            <w:hideMark/>
          </w:tcPr>
          <w:p w:rsidR="00B22315" w:rsidRPr="003B5C90" w:rsidRDefault="00B22315" w:rsidP="00DD0C61">
            <w:pPr>
              <w:spacing w:after="0" w:line="240" w:lineRule="auto"/>
              <w:jc w:val="right"/>
              <w:rPr>
                <w:rFonts w:ascii="Calibri" w:eastAsia="Times New Roman" w:hAnsi="Calibri" w:cs="Times New Roman"/>
                <w:color w:val="000000"/>
              </w:rPr>
            </w:pPr>
            <w:r w:rsidRPr="003B5C90">
              <w:rPr>
                <w:rFonts w:ascii="Calibri" w:eastAsia="Times New Roman" w:hAnsi="Calibri" w:cs="Times New Roman"/>
                <w:color w:val="000000"/>
              </w:rPr>
              <w:t>7.5</w:t>
            </w:r>
          </w:p>
        </w:tc>
      </w:tr>
      <w:tr w:rsidR="00B22315" w:rsidRPr="003B5C90" w:rsidTr="00DD0C61">
        <w:trPr>
          <w:trHeight w:val="300"/>
        </w:trPr>
        <w:tc>
          <w:tcPr>
            <w:tcW w:w="0" w:type="auto"/>
            <w:tcBorders>
              <w:top w:val="dotted" w:sz="4" w:space="0" w:color="auto"/>
              <w:left w:val="nil"/>
              <w:bottom w:val="dotted" w:sz="4" w:space="0" w:color="auto"/>
              <w:right w:val="nil"/>
            </w:tcBorders>
            <w:shd w:val="clear" w:color="auto" w:fill="auto"/>
            <w:noWrap/>
            <w:vAlign w:val="bottom"/>
            <w:hideMark/>
          </w:tcPr>
          <w:p w:rsidR="00B22315" w:rsidRPr="003B5C90" w:rsidRDefault="00B22315" w:rsidP="00DD0C61">
            <w:pPr>
              <w:spacing w:after="0" w:line="240" w:lineRule="auto"/>
              <w:ind w:firstLineChars="100" w:firstLine="221"/>
              <w:rPr>
                <w:rFonts w:ascii="Calibri" w:eastAsia="Times New Roman" w:hAnsi="Calibri" w:cs="Times New Roman"/>
                <w:b/>
                <w:bCs/>
                <w:color w:val="000000"/>
              </w:rPr>
            </w:pPr>
            <w:r w:rsidRPr="003B5C90">
              <w:rPr>
                <w:rFonts w:ascii="Calibri" w:eastAsia="Times New Roman" w:hAnsi="Calibri" w:cs="Times New Roman"/>
                <w:b/>
                <w:bCs/>
                <w:color w:val="000000"/>
              </w:rPr>
              <w:t>C.</w:t>
            </w:r>
          </w:p>
        </w:tc>
        <w:tc>
          <w:tcPr>
            <w:tcW w:w="0" w:type="auto"/>
            <w:tcBorders>
              <w:top w:val="dotted" w:sz="4" w:space="0" w:color="auto"/>
              <w:left w:val="nil"/>
              <w:bottom w:val="dotted" w:sz="4" w:space="0" w:color="auto"/>
              <w:right w:val="nil"/>
            </w:tcBorders>
            <w:shd w:val="clear" w:color="auto" w:fill="auto"/>
            <w:noWrap/>
            <w:vAlign w:val="bottom"/>
            <w:hideMark/>
          </w:tcPr>
          <w:p w:rsidR="00B22315" w:rsidRPr="003B5C90" w:rsidRDefault="00B22315" w:rsidP="00DD0C61">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Data sharing (portal maintenance)</w:t>
            </w:r>
          </w:p>
        </w:tc>
        <w:tc>
          <w:tcPr>
            <w:tcW w:w="0" w:type="auto"/>
            <w:tcBorders>
              <w:top w:val="dotted" w:sz="4" w:space="0" w:color="auto"/>
              <w:left w:val="nil"/>
              <w:bottom w:val="dotted" w:sz="4" w:space="0" w:color="auto"/>
              <w:right w:val="nil"/>
            </w:tcBorders>
            <w:shd w:val="clear" w:color="auto" w:fill="auto"/>
            <w:noWrap/>
            <w:vAlign w:val="bottom"/>
            <w:hideMark/>
          </w:tcPr>
          <w:p w:rsidR="00B22315" w:rsidRPr="003B5C90" w:rsidRDefault="00B22315" w:rsidP="00DD0C61">
            <w:pPr>
              <w:spacing w:after="0" w:line="240" w:lineRule="auto"/>
              <w:jc w:val="right"/>
              <w:rPr>
                <w:rFonts w:ascii="Calibri" w:eastAsia="Times New Roman" w:hAnsi="Calibri" w:cs="Times New Roman"/>
                <w:color w:val="000000"/>
              </w:rPr>
            </w:pPr>
            <w:r w:rsidRPr="003B5C90">
              <w:rPr>
                <w:rFonts w:ascii="Calibri" w:eastAsia="Times New Roman" w:hAnsi="Calibri" w:cs="Times New Roman"/>
                <w:color w:val="000000"/>
              </w:rPr>
              <w:t>2</w:t>
            </w:r>
          </w:p>
        </w:tc>
      </w:tr>
      <w:tr w:rsidR="00B22315" w:rsidRPr="003B5C90" w:rsidTr="00DD0C61">
        <w:trPr>
          <w:trHeight w:val="300"/>
        </w:trPr>
        <w:tc>
          <w:tcPr>
            <w:tcW w:w="0" w:type="auto"/>
            <w:tcBorders>
              <w:top w:val="dotted" w:sz="4" w:space="0" w:color="auto"/>
              <w:left w:val="nil"/>
              <w:bottom w:val="dotted" w:sz="4" w:space="0" w:color="auto"/>
              <w:right w:val="nil"/>
            </w:tcBorders>
            <w:shd w:val="clear" w:color="auto" w:fill="auto"/>
            <w:noWrap/>
            <w:vAlign w:val="bottom"/>
            <w:hideMark/>
          </w:tcPr>
          <w:p w:rsidR="00B22315" w:rsidRPr="003B5C90" w:rsidRDefault="00B22315" w:rsidP="00DD0C61">
            <w:pPr>
              <w:spacing w:after="0" w:line="240" w:lineRule="auto"/>
              <w:ind w:firstLineChars="100" w:firstLine="221"/>
              <w:rPr>
                <w:rFonts w:ascii="Calibri" w:eastAsia="Times New Roman" w:hAnsi="Calibri" w:cs="Times New Roman"/>
                <w:b/>
                <w:bCs/>
                <w:color w:val="000000"/>
              </w:rPr>
            </w:pPr>
            <w:r w:rsidRPr="003B5C90">
              <w:rPr>
                <w:rFonts w:ascii="Calibri" w:eastAsia="Times New Roman" w:hAnsi="Calibri" w:cs="Times New Roman"/>
                <w:b/>
                <w:bCs/>
                <w:color w:val="000000"/>
              </w:rPr>
              <w:t>D.</w:t>
            </w:r>
          </w:p>
        </w:tc>
        <w:tc>
          <w:tcPr>
            <w:tcW w:w="0" w:type="auto"/>
            <w:tcBorders>
              <w:top w:val="dotted" w:sz="4" w:space="0" w:color="auto"/>
              <w:left w:val="nil"/>
              <w:bottom w:val="dotted" w:sz="4" w:space="0" w:color="auto"/>
              <w:right w:val="nil"/>
            </w:tcBorders>
            <w:shd w:val="clear" w:color="auto" w:fill="auto"/>
            <w:noWrap/>
            <w:vAlign w:val="bottom"/>
            <w:hideMark/>
          </w:tcPr>
          <w:p w:rsidR="00B22315" w:rsidRPr="003B5C90" w:rsidRDefault="00B22315" w:rsidP="00DD0C61">
            <w:pPr>
              <w:spacing w:after="0" w:line="240" w:lineRule="auto"/>
              <w:rPr>
                <w:rFonts w:ascii="Calibri" w:eastAsia="Times New Roman" w:hAnsi="Calibri" w:cs="Times New Roman"/>
                <w:b/>
                <w:bCs/>
                <w:color w:val="000000"/>
              </w:rPr>
            </w:pPr>
            <w:r w:rsidRPr="003B5C90">
              <w:rPr>
                <w:rFonts w:ascii="Calibri" w:eastAsia="Times New Roman" w:hAnsi="Calibri" w:cs="Times New Roman"/>
                <w:b/>
                <w:bCs/>
                <w:color w:val="000000"/>
              </w:rPr>
              <w:t>GEO new and existing staff</w:t>
            </w:r>
          </w:p>
        </w:tc>
        <w:tc>
          <w:tcPr>
            <w:tcW w:w="0" w:type="auto"/>
            <w:tcBorders>
              <w:top w:val="dotted" w:sz="4" w:space="0" w:color="auto"/>
              <w:left w:val="nil"/>
              <w:bottom w:val="dotted" w:sz="4" w:space="0" w:color="auto"/>
              <w:right w:val="nil"/>
            </w:tcBorders>
            <w:shd w:val="clear" w:color="auto" w:fill="auto"/>
            <w:noWrap/>
            <w:vAlign w:val="bottom"/>
            <w:hideMark/>
          </w:tcPr>
          <w:p w:rsidR="00B22315" w:rsidRPr="003B5C90" w:rsidRDefault="00B22315" w:rsidP="00DD0C61">
            <w:pPr>
              <w:spacing w:after="0" w:line="240" w:lineRule="auto"/>
              <w:jc w:val="right"/>
              <w:rPr>
                <w:rFonts w:ascii="Calibri" w:eastAsia="Times New Roman" w:hAnsi="Calibri" w:cs="Times New Roman"/>
                <w:color w:val="000000"/>
              </w:rPr>
            </w:pPr>
            <w:r w:rsidRPr="003B5C90">
              <w:rPr>
                <w:rFonts w:ascii="Calibri" w:eastAsia="Times New Roman" w:hAnsi="Calibri" w:cs="Times New Roman"/>
                <w:color w:val="000000"/>
              </w:rPr>
              <w:t>0.9</w:t>
            </w:r>
          </w:p>
        </w:tc>
      </w:tr>
      <w:tr w:rsidR="00B22315" w:rsidRPr="003B5C90" w:rsidTr="00DD0C61">
        <w:trPr>
          <w:trHeight w:val="300"/>
        </w:trPr>
        <w:tc>
          <w:tcPr>
            <w:tcW w:w="0" w:type="auto"/>
            <w:tcBorders>
              <w:top w:val="dotted" w:sz="4" w:space="0" w:color="auto"/>
              <w:left w:val="nil"/>
              <w:bottom w:val="dotted" w:sz="4" w:space="0" w:color="auto"/>
              <w:right w:val="nil"/>
            </w:tcBorders>
            <w:shd w:val="clear" w:color="auto" w:fill="auto"/>
            <w:noWrap/>
            <w:vAlign w:val="bottom"/>
            <w:hideMark/>
          </w:tcPr>
          <w:p w:rsidR="00B22315" w:rsidRPr="003B5C90" w:rsidRDefault="00B22315" w:rsidP="00DD0C61">
            <w:pPr>
              <w:spacing w:after="0" w:line="240" w:lineRule="auto"/>
              <w:ind w:firstLineChars="100" w:firstLine="221"/>
              <w:rPr>
                <w:rFonts w:ascii="Calibri" w:eastAsia="Times New Roman" w:hAnsi="Calibri" w:cs="Times New Roman"/>
                <w:b/>
                <w:bCs/>
                <w:color w:val="000000"/>
              </w:rPr>
            </w:pPr>
            <w:r w:rsidRPr="003B5C90">
              <w:rPr>
                <w:rFonts w:ascii="Calibri" w:eastAsia="Times New Roman" w:hAnsi="Calibri" w:cs="Times New Roman"/>
                <w:b/>
                <w:bCs/>
                <w:color w:val="000000"/>
              </w:rPr>
              <w:t>E.</w:t>
            </w:r>
          </w:p>
        </w:tc>
        <w:tc>
          <w:tcPr>
            <w:tcW w:w="0" w:type="auto"/>
            <w:tcBorders>
              <w:top w:val="dotted" w:sz="4" w:space="0" w:color="auto"/>
              <w:left w:val="nil"/>
              <w:bottom w:val="dotted" w:sz="4" w:space="0" w:color="auto"/>
              <w:right w:val="nil"/>
            </w:tcBorders>
            <w:shd w:val="clear" w:color="auto" w:fill="auto"/>
            <w:noWrap/>
            <w:vAlign w:val="bottom"/>
            <w:hideMark/>
          </w:tcPr>
          <w:p w:rsidR="00B22315" w:rsidRPr="003B5C90" w:rsidRDefault="00B22315" w:rsidP="00DD0C61">
            <w:pPr>
              <w:spacing w:after="0" w:line="240" w:lineRule="auto"/>
              <w:rPr>
                <w:rFonts w:ascii="Calibri" w:eastAsia="Times New Roman" w:hAnsi="Calibri" w:cs="Times New Roman"/>
                <w:b/>
                <w:bCs/>
                <w:color w:val="000000"/>
              </w:rPr>
            </w:pPr>
            <w:r w:rsidRPr="003B5C90">
              <w:rPr>
                <w:rFonts w:ascii="Calibri" w:eastAsia="Times New Roman" w:hAnsi="Calibri" w:cs="Times New Roman"/>
                <w:b/>
                <w:bCs/>
                <w:color w:val="000000"/>
              </w:rPr>
              <w:t>Other (future program enhancements)</w:t>
            </w:r>
          </w:p>
        </w:tc>
        <w:tc>
          <w:tcPr>
            <w:tcW w:w="0" w:type="auto"/>
            <w:tcBorders>
              <w:top w:val="dotted" w:sz="4" w:space="0" w:color="auto"/>
              <w:left w:val="nil"/>
              <w:bottom w:val="dotted" w:sz="4" w:space="0" w:color="auto"/>
              <w:right w:val="nil"/>
            </w:tcBorders>
            <w:shd w:val="clear" w:color="auto" w:fill="auto"/>
            <w:noWrap/>
            <w:vAlign w:val="bottom"/>
            <w:hideMark/>
          </w:tcPr>
          <w:p w:rsidR="00B22315" w:rsidRPr="003B5C90" w:rsidRDefault="00B22315" w:rsidP="00DD0C61">
            <w:pPr>
              <w:spacing w:after="0" w:line="240" w:lineRule="auto"/>
              <w:jc w:val="right"/>
              <w:rPr>
                <w:rFonts w:ascii="Calibri" w:eastAsia="Times New Roman" w:hAnsi="Calibri" w:cs="Times New Roman"/>
                <w:color w:val="000000"/>
              </w:rPr>
            </w:pPr>
            <w:r w:rsidRPr="003B5C90">
              <w:rPr>
                <w:rFonts w:ascii="Calibri" w:eastAsia="Times New Roman" w:hAnsi="Calibri" w:cs="Times New Roman"/>
                <w:color w:val="000000"/>
              </w:rPr>
              <w:t>0.2</w:t>
            </w:r>
          </w:p>
        </w:tc>
      </w:tr>
      <w:tr w:rsidR="00B22315" w:rsidRPr="003B5C90" w:rsidTr="00DD0C61">
        <w:trPr>
          <w:trHeight w:val="300"/>
        </w:trPr>
        <w:tc>
          <w:tcPr>
            <w:tcW w:w="0" w:type="auto"/>
            <w:tcBorders>
              <w:top w:val="dotted" w:sz="4" w:space="0" w:color="auto"/>
              <w:left w:val="nil"/>
              <w:bottom w:val="single" w:sz="8" w:space="0" w:color="auto"/>
              <w:right w:val="nil"/>
            </w:tcBorders>
            <w:shd w:val="clear" w:color="auto" w:fill="auto"/>
            <w:noWrap/>
            <w:vAlign w:val="bottom"/>
            <w:hideMark/>
          </w:tcPr>
          <w:p w:rsidR="00B22315" w:rsidRPr="003B5C90" w:rsidRDefault="00B22315" w:rsidP="00DD0C61">
            <w:pPr>
              <w:spacing w:after="0" w:line="240" w:lineRule="auto"/>
              <w:ind w:firstLineChars="100" w:firstLine="221"/>
              <w:rPr>
                <w:rFonts w:ascii="Calibri" w:eastAsia="Times New Roman" w:hAnsi="Calibri" w:cs="Times New Roman"/>
                <w:b/>
                <w:bCs/>
                <w:color w:val="000000"/>
              </w:rPr>
            </w:pPr>
            <w:r w:rsidRPr="003B5C90">
              <w:rPr>
                <w:rFonts w:ascii="Calibri" w:eastAsia="Times New Roman" w:hAnsi="Calibri" w:cs="Times New Roman"/>
                <w:b/>
                <w:bCs/>
                <w:color w:val="000000"/>
              </w:rPr>
              <w:t>F.</w:t>
            </w:r>
          </w:p>
        </w:tc>
        <w:tc>
          <w:tcPr>
            <w:tcW w:w="0" w:type="auto"/>
            <w:tcBorders>
              <w:top w:val="dotted" w:sz="4" w:space="0" w:color="auto"/>
              <w:left w:val="nil"/>
              <w:bottom w:val="single" w:sz="8" w:space="0" w:color="auto"/>
              <w:right w:val="nil"/>
            </w:tcBorders>
            <w:shd w:val="clear" w:color="auto" w:fill="auto"/>
            <w:noWrap/>
            <w:vAlign w:val="bottom"/>
            <w:hideMark/>
          </w:tcPr>
          <w:p w:rsidR="00B22315" w:rsidRPr="003B5C90" w:rsidRDefault="00B22315" w:rsidP="00DD0C61">
            <w:pPr>
              <w:spacing w:after="0" w:line="240" w:lineRule="auto"/>
              <w:rPr>
                <w:rFonts w:ascii="Calibri" w:eastAsia="Times New Roman" w:hAnsi="Calibri" w:cs="Times New Roman"/>
                <w:b/>
                <w:bCs/>
                <w:color w:val="000000"/>
              </w:rPr>
            </w:pPr>
            <w:r w:rsidRPr="003B5C90">
              <w:rPr>
                <w:rFonts w:ascii="Calibri" w:eastAsia="Times New Roman" w:hAnsi="Calibri" w:cs="Times New Roman"/>
                <w:b/>
                <w:bCs/>
                <w:color w:val="000000"/>
              </w:rPr>
              <w:t>Debt service</w:t>
            </w:r>
          </w:p>
        </w:tc>
        <w:tc>
          <w:tcPr>
            <w:tcW w:w="0" w:type="auto"/>
            <w:tcBorders>
              <w:top w:val="dotted" w:sz="4" w:space="0" w:color="auto"/>
              <w:left w:val="nil"/>
              <w:bottom w:val="single" w:sz="8" w:space="0" w:color="auto"/>
              <w:right w:val="nil"/>
            </w:tcBorders>
            <w:shd w:val="clear" w:color="auto" w:fill="auto"/>
            <w:noWrap/>
            <w:vAlign w:val="bottom"/>
            <w:hideMark/>
          </w:tcPr>
          <w:p w:rsidR="00B22315" w:rsidRPr="003B5C90" w:rsidRDefault="00B22315" w:rsidP="00DD0C61">
            <w:pPr>
              <w:spacing w:after="0" w:line="240" w:lineRule="auto"/>
              <w:jc w:val="right"/>
              <w:rPr>
                <w:rFonts w:ascii="Calibri" w:eastAsia="Times New Roman" w:hAnsi="Calibri" w:cs="Times New Roman"/>
                <w:i/>
                <w:iCs/>
                <w:color w:val="000000"/>
              </w:rPr>
            </w:pPr>
            <w:r w:rsidRPr="003B5C90">
              <w:rPr>
                <w:rFonts w:ascii="Calibri" w:eastAsia="Times New Roman" w:hAnsi="Calibri" w:cs="Times New Roman"/>
                <w:i/>
                <w:iCs/>
                <w:color w:val="000000"/>
              </w:rPr>
              <w:t>TBD</w:t>
            </w:r>
          </w:p>
        </w:tc>
      </w:tr>
      <w:tr w:rsidR="00B22315" w:rsidRPr="003B5C90" w:rsidTr="00DD0C61">
        <w:trPr>
          <w:trHeight w:val="300"/>
        </w:trPr>
        <w:tc>
          <w:tcPr>
            <w:tcW w:w="0" w:type="auto"/>
            <w:tcBorders>
              <w:top w:val="single" w:sz="8" w:space="0" w:color="auto"/>
              <w:left w:val="nil"/>
              <w:bottom w:val="thickThinLargeGap" w:sz="24" w:space="0" w:color="auto"/>
              <w:right w:val="nil"/>
            </w:tcBorders>
            <w:shd w:val="clear" w:color="auto" w:fill="auto"/>
            <w:noWrap/>
            <w:vAlign w:val="bottom"/>
            <w:hideMark/>
          </w:tcPr>
          <w:p w:rsidR="00B22315" w:rsidRPr="003B5C90" w:rsidRDefault="00B22315" w:rsidP="00DD0C61">
            <w:pPr>
              <w:spacing w:after="0" w:line="240" w:lineRule="auto"/>
              <w:rPr>
                <w:rFonts w:ascii="Times New Roman" w:eastAsia="Times New Roman" w:hAnsi="Times New Roman" w:cs="Times New Roman"/>
                <w:sz w:val="20"/>
                <w:szCs w:val="20"/>
              </w:rPr>
            </w:pPr>
          </w:p>
        </w:tc>
        <w:tc>
          <w:tcPr>
            <w:tcW w:w="0" w:type="auto"/>
            <w:tcBorders>
              <w:top w:val="single" w:sz="8" w:space="0" w:color="auto"/>
              <w:left w:val="nil"/>
              <w:bottom w:val="thickThinLargeGap" w:sz="24" w:space="0" w:color="auto"/>
              <w:right w:val="nil"/>
            </w:tcBorders>
            <w:shd w:val="clear" w:color="auto" w:fill="auto"/>
            <w:noWrap/>
            <w:vAlign w:val="center"/>
            <w:hideMark/>
          </w:tcPr>
          <w:p w:rsidR="00B22315" w:rsidRPr="003B5C90" w:rsidRDefault="00B22315" w:rsidP="00DD0C61">
            <w:pPr>
              <w:spacing w:after="0" w:line="240" w:lineRule="auto"/>
              <w:jc w:val="right"/>
              <w:rPr>
                <w:rFonts w:ascii="Calibri" w:eastAsia="Times New Roman" w:hAnsi="Calibri" w:cs="Times New Roman"/>
                <w:b/>
                <w:bCs/>
                <w:color w:val="000000"/>
              </w:rPr>
            </w:pPr>
            <w:r w:rsidRPr="003B5C90">
              <w:rPr>
                <w:rFonts w:ascii="Calibri" w:eastAsia="Times New Roman" w:hAnsi="Calibri" w:cs="Times New Roman"/>
                <w:b/>
                <w:bCs/>
                <w:color w:val="000000"/>
              </w:rPr>
              <w:t>Total cost (millions)</w:t>
            </w:r>
          </w:p>
        </w:tc>
        <w:tc>
          <w:tcPr>
            <w:tcW w:w="0" w:type="auto"/>
            <w:tcBorders>
              <w:top w:val="single" w:sz="8" w:space="0" w:color="auto"/>
              <w:left w:val="nil"/>
              <w:bottom w:val="thickThinLargeGap" w:sz="24" w:space="0" w:color="auto"/>
              <w:right w:val="nil"/>
            </w:tcBorders>
            <w:shd w:val="clear" w:color="auto" w:fill="auto"/>
            <w:noWrap/>
            <w:vAlign w:val="bottom"/>
            <w:hideMark/>
          </w:tcPr>
          <w:p w:rsidR="00B22315" w:rsidRPr="003B5C90" w:rsidRDefault="00B22315" w:rsidP="00DD0C61">
            <w:pPr>
              <w:spacing w:after="0" w:line="240" w:lineRule="auto"/>
              <w:jc w:val="right"/>
              <w:rPr>
                <w:rFonts w:ascii="Calibri" w:eastAsia="Times New Roman" w:hAnsi="Calibri" w:cs="Times New Roman"/>
                <w:b/>
                <w:bCs/>
                <w:color w:val="000000"/>
              </w:rPr>
            </w:pPr>
            <w:r w:rsidRPr="003B5C90">
              <w:rPr>
                <w:rFonts w:ascii="Calibri" w:eastAsia="Times New Roman" w:hAnsi="Calibri" w:cs="Times New Roman"/>
                <w:b/>
                <w:bCs/>
                <w:color w:val="000000"/>
              </w:rPr>
              <w:t xml:space="preserve"> $              13.1 </w:t>
            </w:r>
          </w:p>
        </w:tc>
      </w:tr>
    </w:tbl>
    <w:p w:rsidR="00B22315" w:rsidRDefault="00B22315" w:rsidP="00B22315"/>
    <w:p w:rsidR="00F01165" w:rsidRDefault="00C578A2" w:rsidP="00A07B4D">
      <w:pPr>
        <w:pStyle w:val="Heading1"/>
        <w:spacing w:before="120"/>
      </w:pPr>
      <w:r>
        <w:t>Governance</w:t>
      </w:r>
      <w:r w:rsidR="009B6E0A">
        <w:t xml:space="preserve">, </w:t>
      </w:r>
      <w:r>
        <w:t>Accountability Mechanisms</w:t>
      </w:r>
      <w:r w:rsidR="009B6E0A">
        <w:t>, and Performance Measures</w:t>
      </w:r>
    </w:p>
    <w:p w:rsidR="00BE616B" w:rsidRDefault="00BE616B">
      <w:r>
        <w:t xml:space="preserve">Any significant use of public revenue requires accountability and oversight.  </w:t>
      </w:r>
      <w:r w:rsidRPr="004A141A">
        <w:t>ORS276A.500</w:t>
      </w:r>
      <w:r>
        <w:t xml:space="preserve"> </w:t>
      </w:r>
      <w:r w:rsidR="007F7EE1">
        <w:t>authorizes</w:t>
      </w:r>
      <w:r>
        <w:t xml:space="preserve"> </w:t>
      </w:r>
      <w:r w:rsidR="007F7EE1">
        <w:t>the Council as</w:t>
      </w:r>
      <w:r>
        <w:t xml:space="preserve"> the main overseer</w:t>
      </w:r>
      <w:r w:rsidR="007F7EE1">
        <w:t xml:space="preserve"> </w:t>
      </w:r>
      <w:r>
        <w:t xml:space="preserve">of Framework data revenues and expenditures.  </w:t>
      </w:r>
      <w:r w:rsidR="007F7EE1">
        <w:t>The Council</w:t>
      </w:r>
      <w:r>
        <w:t xml:space="preserve"> </w:t>
      </w:r>
      <w:r w:rsidR="007F7EE1">
        <w:t xml:space="preserve">will </w:t>
      </w:r>
      <w:r>
        <w:t>ensure accountability and effective use of the proposed state revenues through a number of mechanisms:</w:t>
      </w:r>
    </w:p>
    <w:p w:rsidR="00BE616B" w:rsidRDefault="007F7EE1" w:rsidP="007F7EE1">
      <w:pPr>
        <w:pStyle w:val="ListParagraph"/>
        <w:numPr>
          <w:ilvl w:val="0"/>
          <w:numId w:val="5"/>
        </w:numPr>
      </w:pPr>
      <w:r>
        <w:t>Council</w:t>
      </w:r>
      <w:r w:rsidR="00BE616B">
        <w:t xml:space="preserve"> programs will use Oregon’s already-established “</w:t>
      </w:r>
      <w:r>
        <w:t>S</w:t>
      </w:r>
      <w:r w:rsidR="00BE616B">
        <w:t xml:space="preserve">tage </w:t>
      </w:r>
      <w:r>
        <w:t>G</w:t>
      </w:r>
      <w:r w:rsidR="00BE616B">
        <w:t xml:space="preserve">ate” </w:t>
      </w:r>
      <w:r>
        <w:t>oversight in the State CIO’s office</w:t>
      </w:r>
      <w:r w:rsidR="00BE616B">
        <w:t xml:space="preserve"> to ensure </w:t>
      </w:r>
      <w:r w:rsidR="0006724A">
        <w:t>effective decision-making and expenditure control;</w:t>
      </w:r>
    </w:p>
    <w:p w:rsidR="00C578A2" w:rsidRPr="00AF61A2" w:rsidRDefault="007F7EE1" w:rsidP="00DD4972">
      <w:pPr>
        <w:pStyle w:val="ListParagraph"/>
        <w:numPr>
          <w:ilvl w:val="0"/>
          <w:numId w:val="5"/>
        </w:numPr>
      </w:pPr>
      <w:r>
        <w:t>Council</w:t>
      </w:r>
      <w:r w:rsidR="0006724A">
        <w:t xml:space="preserve"> and GEO will distribute Framework funds to </w:t>
      </w:r>
      <w:r w:rsidR="0002681F">
        <w:t>public bodies</w:t>
      </w:r>
      <w:r w:rsidR="0006724A">
        <w:t xml:space="preserve"> under the auspices of grant programs, contracts, and Inter</w:t>
      </w:r>
      <w:r>
        <w:t>g</w:t>
      </w:r>
      <w:r w:rsidR="0006724A">
        <w:t>overnmental</w:t>
      </w:r>
      <w:r>
        <w:t xml:space="preserve"> or Interagency </w:t>
      </w:r>
      <w:r w:rsidR="0006724A">
        <w:t>Agreements;</w:t>
      </w:r>
    </w:p>
    <w:p w:rsidR="00C578A2" w:rsidRPr="00AF61A2" w:rsidRDefault="007F7EE1" w:rsidP="00BE616B">
      <w:pPr>
        <w:pStyle w:val="ListParagraph"/>
        <w:numPr>
          <w:ilvl w:val="0"/>
          <w:numId w:val="5"/>
        </w:numPr>
      </w:pPr>
      <w:r>
        <w:t>Council</w:t>
      </w:r>
      <w:r w:rsidR="0006724A">
        <w:t xml:space="preserve"> will develop performance measures </w:t>
      </w:r>
      <w:r>
        <w:t>for</w:t>
      </w:r>
      <w:r w:rsidR="0006724A">
        <w:t xml:space="preserve"> its activities, including activities it funds;</w:t>
      </w:r>
    </w:p>
    <w:p w:rsidR="00BE616B" w:rsidRDefault="007F7EE1" w:rsidP="00BE616B">
      <w:pPr>
        <w:pStyle w:val="ListParagraph"/>
        <w:numPr>
          <w:ilvl w:val="0"/>
          <w:numId w:val="5"/>
        </w:numPr>
      </w:pPr>
      <w:r>
        <w:t>Council</w:t>
      </w:r>
      <w:r w:rsidR="0006724A">
        <w:t xml:space="preserve"> will report regularly to the </w:t>
      </w:r>
      <w:r w:rsidR="00057CB7">
        <w:t>Legislature</w:t>
      </w:r>
      <w:r w:rsidR="0006724A">
        <w:t xml:space="preserve"> per </w:t>
      </w:r>
      <w:r w:rsidR="0006724A" w:rsidRPr="004A141A">
        <w:t>ORS276A.500</w:t>
      </w:r>
      <w:r w:rsidR="0006724A">
        <w:t>.</w:t>
      </w:r>
    </w:p>
    <w:p w:rsidR="00FC3A7D" w:rsidRDefault="007F7EE1">
      <w:r>
        <w:t xml:space="preserve">Furthermore, the Council will formalize appropriate advisory committees under statutory authority to help govern the use of state revenues for the purpose of Framework development, maintenance, and management.  The Council </w:t>
      </w:r>
      <w:r w:rsidR="00A767A1">
        <w:t>is working to secure</w:t>
      </w:r>
      <w:r>
        <w:t xml:space="preserve"> Stage Gate 1 endorsement for the Framework program and will continue using that oversight process for planning and project management going forward.</w:t>
      </w:r>
    </w:p>
    <w:p w:rsidR="007F7EE1" w:rsidRDefault="007F7EE1"/>
    <w:p w:rsidR="00882843" w:rsidRDefault="00882843"/>
    <w:p w:rsidR="00882843" w:rsidRDefault="00882843"/>
    <w:p w:rsidR="005177B6" w:rsidRDefault="005177B6"/>
    <w:p w:rsidR="005177B6" w:rsidRDefault="005177B6"/>
    <w:p w:rsidR="005177B6" w:rsidRDefault="005177B6"/>
    <w:p w:rsidR="00216E17" w:rsidRDefault="00FC3A7D" w:rsidP="00882843">
      <w:pPr>
        <w:pStyle w:val="Heading1"/>
        <w:spacing w:before="0"/>
        <w:jc w:val="center"/>
      </w:pPr>
      <w:r>
        <w:t xml:space="preserve">Attachment A: </w:t>
      </w:r>
      <w:r w:rsidR="00216E17">
        <w:t xml:space="preserve">Research and </w:t>
      </w:r>
      <w:r>
        <w:t>M</w:t>
      </w:r>
      <w:r w:rsidR="00216E17">
        <w:t xml:space="preserve">ethodology </w:t>
      </w:r>
    </w:p>
    <w:p w:rsidR="00EC6E59" w:rsidRDefault="00F24738" w:rsidP="00E63358">
      <w:pPr>
        <w:spacing w:after="0"/>
      </w:pPr>
      <w:r>
        <w:t xml:space="preserve">The </w:t>
      </w:r>
      <w:r w:rsidR="00B44FB7">
        <w:t>Council</w:t>
      </w:r>
      <w:r>
        <w:t xml:space="preserve"> examined </w:t>
      </w:r>
      <w:r w:rsidR="00743F0F">
        <w:t>three</w:t>
      </w:r>
      <w:r w:rsidR="0074010C">
        <w:t xml:space="preserve"> options</w:t>
      </w:r>
      <w:r w:rsidR="00743F0F">
        <w:t xml:space="preserve"> for existing fees</w:t>
      </w:r>
      <w:r w:rsidR="0074010C">
        <w:t>, as noted in t</w:t>
      </w:r>
      <w:r>
        <w:t xml:space="preserve">he following table.  </w:t>
      </w:r>
    </w:p>
    <w:tbl>
      <w:tblPr>
        <w:tblStyle w:val="TableGrid"/>
        <w:tblW w:w="0" w:type="auto"/>
        <w:tblLook w:val="04A0" w:firstRow="1" w:lastRow="0" w:firstColumn="1" w:lastColumn="0" w:noHBand="0" w:noVBand="1"/>
      </w:tblPr>
      <w:tblGrid>
        <w:gridCol w:w="2337"/>
        <w:gridCol w:w="2337"/>
        <w:gridCol w:w="2611"/>
        <w:gridCol w:w="1980"/>
      </w:tblGrid>
      <w:tr w:rsidR="00EC6E59" w:rsidTr="00E63358">
        <w:tc>
          <w:tcPr>
            <w:tcW w:w="2337" w:type="dxa"/>
          </w:tcPr>
          <w:p w:rsidR="00EC6E59" w:rsidRPr="00EC6E59" w:rsidRDefault="00EC6E59" w:rsidP="00E63358">
            <w:pPr>
              <w:jc w:val="center"/>
              <w:rPr>
                <w:b/>
              </w:rPr>
            </w:pPr>
            <w:r w:rsidRPr="00EC6E59">
              <w:rPr>
                <w:b/>
              </w:rPr>
              <w:t>Fee Option</w:t>
            </w:r>
          </w:p>
        </w:tc>
        <w:tc>
          <w:tcPr>
            <w:tcW w:w="2337" w:type="dxa"/>
          </w:tcPr>
          <w:p w:rsidR="00EC6E59" w:rsidRPr="00EC6E59" w:rsidRDefault="00EC6E59" w:rsidP="00E63358">
            <w:pPr>
              <w:jc w:val="center"/>
              <w:rPr>
                <w:b/>
              </w:rPr>
            </w:pPr>
            <w:r w:rsidRPr="00EC6E59">
              <w:rPr>
                <w:b/>
              </w:rPr>
              <w:t xml:space="preserve">Legislative </w:t>
            </w:r>
            <w:r w:rsidR="008A56D4">
              <w:rPr>
                <w:b/>
              </w:rPr>
              <w:t>Effort Required</w:t>
            </w:r>
          </w:p>
        </w:tc>
        <w:tc>
          <w:tcPr>
            <w:tcW w:w="2611" w:type="dxa"/>
          </w:tcPr>
          <w:p w:rsidR="00EC6E59" w:rsidRPr="00EC6E59" w:rsidRDefault="00EC6E59" w:rsidP="00E63358">
            <w:pPr>
              <w:jc w:val="center"/>
              <w:rPr>
                <w:b/>
              </w:rPr>
            </w:pPr>
            <w:r w:rsidRPr="00EC6E59">
              <w:rPr>
                <w:b/>
              </w:rPr>
              <w:t xml:space="preserve">Stakeholder </w:t>
            </w:r>
            <w:r w:rsidR="008A56D4">
              <w:rPr>
                <w:b/>
              </w:rPr>
              <w:t>Outreach Required</w:t>
            </w:r>
          </w:p>
        </w:tc>
        <w:tc>
          <w:tcPr>
            <w:tcW w:w="1980" w:type="dxa"/>
          </w:tcPr>
          <w:p w:rsidR="00EC6E59" w:rsidRPr="00EC6E59" w:rsidRDefault="008A56D4" w:rsidP="00E63358">
            <w:pPr>
              <w:jc w:val="center"/>
              <w:rPr>
                <w:b/>
              </w:rPr>
            </w:pPr>
            <w:r>
              <w:rPr>
                <w:b/>
              </w:rPr>
              <w:t xml:space="preserve">Potential </w:t>
            </w:r>
            <w:r w:rsidR="00EC6E59" w:rsidRPr="00EC6E59">
              <w:rPr>
                <w:b/>
              </w:rPr>
              <w:t>Issues</w:t>
            </w:r>
          </w:p>
        </w:tc>
      </w:tr>
      <w:tr w:rsidR="00EC6E59" w:rsidTr="00E63358">
        <w:tc>
          <w:tcPr>
            <w:tcW w:w="2337" w:type="dxa"/>
          </w:tcPr>
          <w:p w:rsidR="00EC6E59" w:rsidRDefault="00EC6E59" w:rsidP="00EC6E59">
            <w:r>
              <w:t>Tap All Fees</w:t>
            </w:r>
          </w:p>
        </w:tc>
        <w:tc>
          <w:tcPr>
            <w:tcW w:w="2337" w:type="dxa"/>
          </w:tcPr>
          <w:p w:rsidR="00EC6E59" w:rsidRDefault="0059736A">
            <w:r>
              <w:t>Large – may require</w:t>
            </w:r>
            <w:r w:rsidR="00EC6E59">
              <w:t xml:space="preserve"> 3/5 vote of </w:t>
            </w:r>
            <w:r w:rsidR="00057CB7">
              <w:t>Legislature</w:t>
            </w:r>
          </w:p>
        </w:tc>
        <w:tc>
          <w:tcPr>
            <w:tcW w:w="2611" w:type="dxa"/>
          </w:tcPr>
          <w:p w:rsidR="00EC6E59" w:rsidRDefault="00EC6E59">
            <w:r>
              <w:t xml:space="preserve">Large – need to persuade </w:t>
            </w:r>
            <w:r w:rsidR="008A56D4">
              <w:t xml:space="preserve">all fee authorities </w:t>
            </w:r>
            <w:r>
              <w:t>of value</w:t>
            </w:r>
          </w:p>
        </w:tc>
        <w:tc>
          <w:tcPr>
            <w:tcW w:w="1980" w:type="dxa"/>
          </w:tcPr>
          <w:p w:rsidR="00EC6E59" w:rsidRDefault="00EC6E59">
            <w:r>
              <w:t>Is a 3/5 vote feasible?</w:t>
            </w:r>
          </w:p>
        </w:tc>
      </w:tr>
      <w:tr w:rsidR="00EC6E59" w:rsidTr="00E63358">
        <w:tc>
          <w:tcPr>
            <w:tcW w:w="2337" w:type="dxa"/>
          </w:tcPr>
          <w:p w:rsidR="00EC6E59" w:rsidRDefault="00EC6E59">
            <w:r>
              <w:t>Tap Mission-Al</w:t>
            </w:r>
            <w:r w:rsidR="0059736A">
              <w:t>igned Fees – require Framework data</w:t>
            </w:r>
          </w:p>
        </w:tc>
        <w:tc>
          <w:tcPr>
            <w:tcW w:w="2337" w:type="dxa"/>
          </w:tcPr>
          <w:p w:rsidR="00EC6E59" w:rsidRDefault="00EC6E59">
            <w:r>
              <w:t xml:space="preserve">Large – requires changes to </w:t>
            </w:r>
            <w:r w:rsidR="00743F0F">
              <w:t>many</w:t>
            </w:r>
            <w:r>
              <w:t xml:space="preserve"> laws and rules </w:t>
            </w:r>
            <w:r w:rsidR="00743F0F">
              <w:t>(1 per fee?)</w:t>
            </w:r>
          </w:p>
        </w:tc>
        <w:tc>
          <w:tcPr>
            <w:tcW w:w="2611" w:type="dxa"/>
          </w:tcPr>
          <w:p w:rsidR="00EC6E59" w:rsidRDefault="00EC6E59">
            <w:r>
              <w:t xml:space="preserve">Medium – need to persuade </w:t>
            </w:r>
            <w:r w:rsidR="0059736A">
              <w:t>only some fee administrators</w:t>
            </w:r>
          </w:p>
        </w:tc>
        <w:tc>
          <w:tcPr>
            <w:tcW w:w="1980" w:type="dxa"/>
          </w:tcPr>
          <w:p w:rsidR="00EC6E59" w:rsidRDefault="0059736A">
            <w:r>
              <w:t>Is data needed? Is amount reasonable?</w:t>
            </w:r>
          </w:p>
        </w:tc>
      </w:tr>
      <w:tr w:rsidR="00EC6E59" w:rsidTr="00E63358">
        <w:tc>
          <w:tcPr>
            <w:tcW w:w="2337" w:type="dxa"/>
          </w:tcPr>
          <w:p w:rsidR="00EC6E59" w:rsidRDefault="0059736A">
            <w:r>
              <w:t>Tap a Few Mission-Aligned Fees – revenue high, controversy low</w:t>
            </w:r>
          </w:p>
        </w:tc>
        <w:tc>
          <w:tcPr>
            <w:tcW w:w="2337" w:type="dxa"/>
          </w:tcPr>
          <w:p w:rsidR="00EC6E59" w:rsidRDefault="0059736A">
            <w:r>
              <w:t>Minimal – fewer fees to change</w:t>
            </w:r>
          </w:p>
        </w:tc>
        <w:tc>
          <w:tcPr>
            <w:tcW w:w="2611" w:type="dxa"/>
          </w:tcPr>
          <w:p w:rsidR="00EC6E59" w:rsidRDefault="0059736A" w:rsidP="0059736A">
            <w:r>
              <w:t>Smaller</w:t>
            </w:r>
            <w:r w:rsidR="00EC6E59">
              <w:t xml:space="preserve"> – </w:t>
            </w:r>
            <w:r>
              <w:t>even fewer fee administrators to convince</w:t>
            </w:r>
          </w:p>
        </w:tc>
        <w:tc>
          <w:tcPr>
            <w:tcW w:w="1980" w:type="dxa"/>
          </w:tcPr>
          <w:p w:rsidR="00EC6E59" w:rsidRDefault="0059736A">
            <w:r>
              <w:t>Perception of fairness</w:t>
            </w:r>
            <w:r w:rsidR="00EC6E59">
              <w:t xml:space="preserve"> </w:t>
            </w:r>
          </w:p>
        </w:tc>
      </w:tr>
    </w:tbl>
    <w:p w:rsidR="00F24738" w:rsidRDefault="00F24738" w:rsidP="00A767A1">
      <w:pPr>
        <w:pStyle w:val="Heading2"/>
        <w:spacing w:before="240"/>
      </w:pPr>
      <w:r>
        <w:t>Data Research</w:t>
      </w:r>
    </w:p>
    <w:p w:rsidR="00F24738" w:rsidRDefault="00F24738" w:rsidP="00882843">
      <w:pPr>
        <w:spacing w:after="80"/>
      </w:pPr>
      <w:r>
        <w:t xml:space="preserve">Considerable effort was expended by the OGIC Resource Work Group </w:t>
      </w:r>
      <w:r w:rsidR="00B44FB7">
        <w:t xml:space="preserve">(RWG) </w:t>
      </w:r>
      <w:r>
        <w:t xml:space="preserve">and the OGIC Framework Implementation Team (FIT) to compile the information and cost estimates that were necessary to complete this report.  The RWG reached out to the regional governments, county governments, city governments, and other public bodies around the state seeking information on costs related to Framework data development.  That cost information was extrapolated to develop a comprehensive cost estimate for the amount of money being expended on Framework data development and maintenance from existing funding sources.  </w:t>
      </w:r>
    </w:p>
    <w:p w:rsidR="0074010C" w:rsidRDefault="00F24738" w:rsidP="00E63358">
      <w:pPr>
        <w:spacing w:after="0"/>
        <w:rPr>
          <w:rFonts w:ascii="Arial" w:hAnsi="Arial" w:cs="Arial"/>
          <w:color w:val="44546A"/>
          <w:sz w:val="20"/>
          <w:szCs w:val="20"/>
        </w:rPr>
      </w:pPr>
      <w:r>
        <w:t>The FIT developed an estimate of the status of each Framework data element and the estimated cost for statewide completion of each Framework element, along with an estimate of the ongoing maintenance costs for each element.  The combination of the work by the RWG and the FIT</w:t>
      </w:r>
      <w:r w:rsidR="0074010C">
        <w:t>, summarized in the table below,</w:t>
      </w:r>
      <w:r>
        <w:t xml:space="preserve"> provides a relatively clear picture of the amount being expended now and the amount needed going forward, thus providing an understanding of the funding gap.</w:t>
      </w:r>
      <w:r w:rsidR="00262C53">
        <w:t>*</w:t>
      </w:r>
      <w:r w:rsidR="0074010C" w:rsidRPr="0074010C">
        <w:rPr>
          <w:rFonts w:ascii="Arial" w:hAnsi="Arial" w:cs="Arial"/>
          <w:color w:val="44546A"/>
          <w:sz w:val="20"/>
          <w:szCs w:val="20"/>
        </w:rPr>
        <w:t xml:space="preserve"> </w:t>
      </w:r>
    </w:p>
    <w:p w:rsidR="00E57CDF" w:rsidRDefault="00E57CDF" w:rsidP="00E63358">
      <w:pPr>
        <w:spacing w:after="0"/>
        <w:rPr>
          <w:rFonts w:ascii="Arial" w:hAnsi="Arial" w:cs="Arial"/>
          <w:color w:val="44546A"/>
          <w:sz w:val="20"/>
          <w:szCs w:val="20"/>
        </w:rPr>
      </w:pPr>
    </w:p>
    <w:tbl>
      <w:tblPr>
        <w:tblW w:w="8025" w:type="dxa"/>
        <w:tblCellMar>
          <w:left w:w="0" w:type="dxa"/>
          <w:right w:w="0" w:type="dxa"/>
        </w:tblCellMar>
        <w:tblLook w:val="04A0" w:firstRow="1" w:lastRow="0" w:firstColumn="1" w:lastColumn="0" w:noHBand="0" w:noVBand="1"/>
      </w:tblPr>
      <w:tblGrid>
        <w:gridCol w:w="1577"/>
        <w:gridCol w:w="3993"/>
        <w:gridCol w:w="1061"/>
        <w:gridCol w:w="1394"/>
      </w:tblGrid>
      <w:tr w:rsidR="0074010C" w:rsidRPr="00882843" w:rsidTr="00A767A1">
        <w:trPr>
          <w:trHeight w:val="20"/>
        </w:trPr>
        <w:tc>
          <w:tcPr>
            <w:tcW w:w="0" w:type="auto"/>
            <w:tcBorders>
              <w:top w:val="single" w:sz="8" w:space="0" w:color="CCCCCC"/>
              <w:left w:val="single" w:sz="8" w:space="0" w:color="CCCCCC"/>
              <w:bottom w:val="single" w:sz="8" w:space="0" w:color="000000"/>
              <w:right w:val="single" w:sz="8" w:space="0" w:color="CCCCCC"/>
            </w:tcBorders>
            <w:tcMar>
              <w:top w:w="29" w:type="dxa"/>
              <w:left w:w="43" w:type="dxa"/>
              <w:bottom w:w="29" w:type="dxa"/>
              <w:right w:w="43" w:type="dxa"/>
            </w:tcMar>
            <w:vAlign w:val="bottom"/>
            <w:hideMark/>
          </w:tcPr>
          <w:p w:rsidR="0074010C" w:rsidRPr="00882843" w:rsidRDefault="0074010C" w:rsidP="00A767A1">
            <w:pPr>
              <w:spacing w:after="0"/>
              <w:rPr>
                <w:rFonts w:cs="Arial"/>
                <w:color w:val="44546A"/>
                <w:sz w:val="17"/>
                <w:szCs w:val="17"/>
              </w:rPr>
            </w:pPr>
          </w:p>
        </w:tc>
        <w:tc>
          <w:tcPr>
            <w:tcW w:w="0" w:type="auto"/>
            <w:tcBorders>
              <w:top w:val="single" w:sz="8" w:space="0" w:color="CCCCCC"/>
              <w:left w:val="nil"/>
              <w:bottom w:val="single" w:sz="8" w:space="0" w:color="000000"/>
              <w:right w:val="single" w:sz="8" w:space="0" w:color="000000"/>
            </w:tcBorders>
            <w:tcMar>
              <w:top w:w="29" w:type="dxa"/>
              <w:left w:w="43" w:type="dxa"/>
              <w:bottom w:w="29" w:type="dxa"/>
              <w:right w:w="43" w:type="dxa"/>
            </w:tcMar>
            <w:vAlign w:val="bottom"/>
            <w:hideMark/>
          </w:tcPr>
          <w:p w:rsidR="0074010C" w:rsidRPr="00882843" w:rsidRDefault="0074010C" w:rsidP="00A767A1">
            <w:pPr>
              <w:spacing w:after="0"/>
              <w:rPr>
                <w:rFonts w:eastAsia="Times New Roman"/>
                <w:sz w:val="17"/>
                <w:szCs w:val="17"/>
              </w:rPr>
            </w:pPr>
          </w:p>
        </w:tc>
        <w:tc>
          <w:tcPr>
            <w:tcW w:w="0" w:type="auto"/>
            <w:tcBorders>
              <w:top w:val="single" w:sz="8" w:space="0" w:color="000000"/>
              <w:left w:val="nil"/>
              <w:bottom w:val="single" w:sz="8" w:space="0" w:color="000000"/>
              <w:right w:val="single" w:sz="8" w:space="0" w:color="000000"/>
            </w:tcBorders>
            <w:tcMar>
              <w:top w:w="29" w:type="dxa"/>
              <w:left w:w="43" w:type="dxa"/>
              <w:bottom w:w="29" w:type="dxa"/>
              <w:right w:w="43" w:type="dxa"/>
            </w:tcMar>
            <w:vAlign w:val="bottom"/>
            <w:hideMark/>
          </w:tcPr>
          <w:p w:rsidR="0074010C" w:rsidRPr="00882843" w:rsidRDefault="0074010C" w:rsidP="00A767A1">
            <w:pPr>
              <w:spacing w:after="0"/>
              <w:jc w:val="center"/>
              <w:rPr>
                <w:b/>
                <w:bCs/>
                <w:sz w:val="17"/>
                <w:szCs w:val="17"/>
              </w:rPr>
            </w:pPr>
            <w:r w:rsidRPr="00882843">
              <w:rPr>
                <w:b/>
                <w:bCs/>
                <w:sz w:val="17"/>
                <w:szCs w:val="17"/>
              </w:rPr>
              <w:t>2005 Baseline</w:t>
            </w:r>
          </w:p>
        </w:tc>
        <w:tc>
          <w:tcPr>
            <w:tcW w:w="0" w:type="auto"/>
            <w:tcBorders>
              <w:top w:val="single" w:sz="8" w:space="0" w:color="000000"/>
              <w:left w:val="nil"/>
              <w:bottom w:val="single" w:sz="8" w:space="0" w:color="000000"/>
              <w:right w:val="single" w:sz="8" w:space="0" w:color="000000"/>
            </w:tcBorders>
            <w:tcMar>
              <w:top w:w="29" w:type="dxa"/>
              <w:left w:w="43" w:type="dxa"/>
              <w:bottom w:w="29" w:type="dxa"/>
              <w:right w:w="43" w:type="dxa"/>
            </w:tcMar>
            <w:vAlign w:val="bottom"/>
            <w:hideMark/>
          </w:tcPr>
          <w:p w:rsidR="0074010C" w:rsidRPr="00882843" w:rsidRDefault="0074010C" w:rsidP="00A767A1">
            <w:pPr>
              <w:spacing w:after="0"/>
              <w:jc w:val="center"/>
              <w:rPr>
                <w:b/>
                <w:bCs/>
                <w:sz w:val="17"/>
                <w:szCs w:val="17"/>
              </w:rPr>
            </w:pPr>
            <w:r w:rsidRPr="00882843">
              <w:rPr>
                <w:b/>
                <w:bCs/>
                <w:sz w:val="17"/>
                <w:szCs w:val="17"/>
              </w:rPr>
              <w:t>September 7, 2018</w:t>
            </w:r>
          </w:p>
        </w:tc>
      </w:tr>
      <w:tr w:rsidR="0074010C" w:rsidRPr="00882843" w:rsidTr="00A767A1">
        <w:trPr>
          <w:trHeight w:val="20"/>
        </w:trPr>
        <w:tc>
          <w:tcPr>
            <w:tcW w:w="0" w:type="auto"/>
            <w:vMerge w:val="restart"/>
            <w:tcBorders>
              <w:top w:val="nil"/>
              <w:left w:val="single" w:sz="8" w:space="0" w:color="000000"/>
              <w:bottom w:val="single" w:sz="8" w:space="0" w:color="000000"/>
              <w:right w:val="single" w:sz="8" w:space="0" w:color="000000"/>
            </w:tcBorders>
            <w:shd w:val="clear" w:color="auto" w:fill="FFFFFF"/>
            <w:tcMar>
              <w:top w:w="29" w:type="dxa"/>
              <w:left w:w="43" w:type="dxa"/>
              <w:bottom w:w="29" w:type="dxa"/>
              <w:right w:w="43" w:type="dxa"/>
            </w:tcMar>
            <w:vAlign w:val="center"/>
            <w:hideMark/>
          </w:tcPr>
          <w:p w:rsidR="0074010C" w:rsidRPr="00882843" w:rsidRDefault="0074010C" w:rsidP="00A767A1">
            <w:pPr>
              <w:spacing w:after="0"/>
              <w:jc w:val="center"/>
              <w:rPr>
                <w:rFonts w:cs="Arial"/>
                <w:b/>
                <w:bCs/>
                <w:sz w:val="17"/>
                <w:szCs w:val="17"/>
              </w:rPr>
            </w:pPr>
            <w:r w:rsidRPr="00882843">
              <w:rPr>
                <w:rFonts w:cs="Arial"/>
                <w:b/>
                <w:bCs/>
                <w:sz w:val="17"/>
                <w:szCs w:val="17"/>
              </w:rPr>
              <w:t>DATA DEVELOPMENT</w:t>
            </w:r>
          </w:p>
        </w:tc>
        <w:tc>
          <w:tcPr>
            <w:tcW w:w="0" w:type="auto"/>
            <w:tcBorders>
              <w:top w:val="nil"/>
              <w:left w:val="nil"/>
              <w:bottom w:val="single" w:sz="8" w:space="0" w:color="000000"/>
              <w:right w:val="single" w:sz="8" w:space="0" w:color="000000"/>
            </w:tcBorders>
            <w:shd w:val="clear" w:color="auto" w:fill="FFFFFF"/>
            <w:tcMar>
              <w:top w:w="29" w:type="dxa"/>
              <w:left w:w="43" w:type="dxa"/>
              <w:bottom w:w="29" w:type="dxa"/>
              <w:right w:w="43" w:type="dxa"/>
            </w:tcMar>
            <w:vAlign w:val="bottom"/>
            <w:hideMark/>
          </w:tcPr>
          <w:p w:rsidR="0074010C" w:rsidRPr="00882843" w:rsidRDefault="0074010C" w:rsidP="00A767A1">
            <w:pPr>
              <w:spacing w:after="0"/>
              <w:rPr>
                <w:rFonts w:cs="Arial"/>
                <w:b/>
                <w:bCs/>
                <w:sz w:val="17"/>
                <w:szCs w:val="17"/>
              </w:rPr>
            </w:pPr>
            <w:r w:rsidRPr="00882843">
              <w:rPr>
                <w:rFonts w:cs="Arial"/>
                <w:b/>
                <w:bCs/>
                <w:sz w:val="17"/>
                <w:szCs w:val="17"/>
              </w:rPr>
              <w:t>Total development cost</w:t>
            </w:r>
          </w:p>
        </w:tc>
        <w:tc>
          <w:tcPr>
            <w:tcW w:w="0" w:type="auto"/>
            <w:tcBorders>
              <w:top w:val="nil"/>
              <w:left w:val="nil"/>
              <w:bottom w:val="single" w:sz="8" w:space="0" w:color="000000"/>
              <w:right w:val="single" w:sz="8" w:space="0" w:color="000000"/>
            </w:tcBorders>
            <w:tcMar>
              <w:top w:w="29" w:type="dxa"/>
              <w:left w:w="43" w:type="dxa"/>
              <w:bottom w:w="29" w:type="dxa"/>
              <w:right w:w="43" w:type="dxa"/>
            </w:tcMar>
            <w:vAlign w:val="bottom"/>
            <w:hideMark/>
          </w:tcPr>
          <w:p w:rsidR="0074010C" w:rsidRPr="00882843" w:rsidRDefault="0074010C" w:rsidP="00A767A1">
            <w:pPr>
              <w:spacing w:after="0"/>
              <w:rPr>
                <w:rFonts w:cs="Arial"/>
                <w:b/>
                <w:bCs/>
                <w:sz w:val="17"/>
                <w:szCs w:val="17"/>
              </w:rPr>
            </w:pPr>
          </w:p>
        </w:tc>
        <w:tc>
          <w:tcPr>
            <w:tcW w:w="0" w:type="auto"/>
            <w:tcBorders>
              <w:top w:val="nil"/>
              <w:left w:val="nil"/>
              <w:bottom w:val="single" w:sz="8" w:space="0" w:color="000000"/>
              <w:right w:val="single" w:sz="8" w:space="0" w:color="000000"/>
            </w:tcBorders>
            <w:tcMar>
              <w:top w:w="29" w:type="dxa"/>
              <w:left w:w="43" w:type="dxa"/>
              <w:bottom w:w="29" w:type="dxa"/>
              <w:right w:w="43" w:type="dxa"/>
            </w:tcMar>
            <w:vAlign w:val="bottom"/>
            <w:hideMark/>
          </w:tcPr>
          <w:p w:rsidR="0074010C" w:rsidRPr="00882843" w:rsidRDefault="0074010C" w:rsidP="00A767A1">
            <w:pPr>
              <w:spacing w:after="0"/>
              <w:jc w:val="right"/>
              <w:rPr>
                <w:sz w:val="17"/>
                <w:szCs w:val="17"/>
              </w:rPr>
            </w:pPr>
            <w:r w:rsidRPr="00882843">
              <w:rPr>
                <w:sz w:val="17"/>
                <w:szCs w:val="17"/>
              </w:rPr>
              <w:t>$376,235,500</w:t>
            </w:r>
          </w:p>
        </w:tc>
      </w:tr>
      <w:tr w:rsidR="0074010C" w:rsidRPr="00882843" w:rsidTr="00A767A1">
        <w:trPr>
          <w:trHeight w:val="20"/>
        </w:trPr>
        <w:tc>
          <w:tcPr>
            <w:tcW w:w="0" w:type="auto"/>
            <w:vMerge/>
            <w:tcBorders>
              <w:top w:val="nil"/>
              <w:left w:val="single" w:sz="8" w:space="0" w:color="000000"/>
              <w:bottom w:val="single" w:sz="8" w:space="0" w:color="000000"/>
              <w:right w:val="single" w:sz="8" w:space="0" w:color="000000"/>
            </w:tcBorders>
            <w:tcMar>
              <w:top w:w="29" w:type="dxa"/>
              <w:left w:w="43" w:type="dxa"/>
              <w:bottom w:w="29" w:type="dxa"/>
              <w:right w:w="43" w:type="dxa"/>
            </w:tcMar>
            <w:vAlign w:val="center"/>
            <w:hideMark/>
          </w:tcPr>
          <w:p w:rsidR="0074010C" w:rsidRPr="00882843" w:rsidRDefault="0074010C" w:rsidP="00A767A1">
            <w:pPr>
              <w:spacing w:after="0"/>
              <w:rPr>
                <w:rFonts w:cs="Arial"/>
                <w:b/>
                <w:bCs/>
                <w:sz w:val="17"/>
                <w:szCs w:val="17"/>
              </w:rPr>
            </w:pPr>
          </w:p>
        </w:tc>
        <w:tc>
          <w:tcPr>
            <w:tcW w:w="0" w:type="auto"/>
            <w:tcBorders>
              <w:top w:val="nil"/>
              <w:left w:val="nil"/>
              <w:bottom w:val="single" w:sz="8" w:space="0" w:color="000000"/>
              <w:right w:val="single" w:sz="8" w:space="0" w:color="000000"/>
            </w:tcBorders>
            <w:shd w:val="clear" w:color="auto" w:fill="FFFFFF"/>
            <w:tcMar>
              <w:top w:w="29" w:type="dxa"/>
              <w:left w:w="43" w:type="dxa"/>
              <w:bottom w:w="29" w:type="dxa"/>
              <w:right w:w="43" w:type="dxa"/>
            </w:tcMar>
            <w:vAlign w:val="bottom"/>
            <w:hideMark/>
          </w:tcPr>
          <w:p w:rsidR="0074010C" w:rsidRPr="00882843" w:rsidRDefault="0074010C" w:rsidP="00A767A1">
            <w:pPr>
              <w:spacing w:after="0"/>
              <w:rPr>
                <w:rFonts w:cs="Arial"/>
                <w:b/>
                <w:bCs/>
                <w:sz w:val="17"/>
                <w:szCs w:val="17"/>
              </w:rPr>
            </w:pPr>
            <w:r w:rsidRPr="00882843">
              <w:rPr>
                <w:rFonts w:cs="Arial"/>
                <w:b/>
                <w:bCs/>
                <w:sz w:val="17"/>
                <w:szCs w:val="17"/>
              </w:rPr>
              <w:t>Cost remaining</w:t>
            </w:r>
          </w:p>
        </w:tc>
        <w:tc>
          <w:tcPr>
            <w:tcW w:w="0" w:type="auto"/>
            <w:tcBorders>
              <w:top w:val="nil"/>
              <w:left w:val="nil"/>
              <w:bottom w:val="single" w:sz="8" w:space="0" w:color="000000"/>
              <w:right w:val="single" w:sz="8" w:space="0" w:color="000000"/>
            </w:tcBorders>
            <w:tcMar>
              <w:top w:w="29" w:type="dxa"/>
              <w:left w:w="43" w:type="dxa"/>
              <w:bottom w:w="29" w:type="dxa"/>
              <w:right w:w="43" w:type="dxa"/>
            </w:tcMar>
            <w:vAlign w:val="bottom"/>
            <w:hideMark/>
          </w:tcPr>
          <w:p w:rsidR="0074010C" w:rsidRPr="00882843" w:rsidRDefault="0074010C" w:rsidP="00A767A1">
            <w:pPr>
              <w:spacing w:after="0"/>
              <w:jc w:val="right"/>
              <w:rPr>
                <w:rFonts w:cs="Times New Roman"/>
                <w:sz w:val="17"/>
                <w:szCs w:val="17"/>
              </w:rPr>
            </w:pPr>
            <w:r w:rsidRPr="00882843">
              <w:rPr>
                <w:sz w:val="17"/>
                <w:szCs w:val="17"/>
              </w:rPr>
              <w:t>$163,297,965</w:t>
            </w:r>
          </w:p>
        </w:tc>
        <w:tc>
          <w:tcPr>
            <w:tcW w:w="0" w:type="auto"/>
            <w:tcBorders>
              <w:top w:val="nil"/>
              <w:left w:val="nil"/>
              <w:bottom w:val="single" w:sz="8" w:space="0" w:color="000000"/>
              <w:right w:val="single" w:sz="8" w:space="0" w:color="000000"/>
            </w:tcBorders>
            <w:tcMar>
              <w:top w:w="29" w:type="dxa"/>
              <w:left w:w="43" w:type="dxa"/>
              <w:bottom w:w="29" w:type="dxa"/>
              <w:right w:w="43" w:type="dxa"/>
            </w:tcMar>
            <w:vAlign w:val="bottom"/>
            <w:hideMark/>
          </w:tcPr>
          <w:p w:rsidR="0074010C" w:rsidRPr="00882843" w:rsidRDefault="0074010C" w:rsidP="00A767A1">
            <w:pPr>
              <w:spacing w:after="0"/>
              <w:jc w:val="right"/>
              <w:rPr>
                <w:sz w:val="17"/>
                <w:szCs w:val="17"/>
              </w:rPr>
            </w:pPr>
            <w:r w:rsidRPr="00882843">
              <w:rPr>
                <w:sz w:val="17"/>
                <w:szCs w:val="17"/>
              </w:rPr>
              <w:t>$254,271,750</w:t>
            </w:r>
          </w:p>
        </w:tc>
      </w:tr>
      <w:tr w:rsidR="0074010C" w:rsidRPr="00882843" w:rsidTr="00A767A1">
        <w:trPr>
          <w:trHeight w:val="20"/>
        </w:trPr>
        <w:tc>
          <w:tcPr>
            <w:tcW w:w="0" w:type="auto"/>
            <w:vMerge/>
            <w:tcBorders>
              <w:top w:val="nil"/>
              <w:left w:val="single" w:sz="8" w:space="0" w:color="000000"/>
              <w:bottom w:val="single" w:sz="8" w:space="0" w:color="000000"/>
              <w:right w:val="single" w:sz="8" w:space="0" w:color="000000"/>
            </w:tcBorders>
            <w:tcMar>
              <w:top w:w="29" w:type="dxa"/>
              <w:left w:w="43" w:type="dxa"/>
              <w:bottom w:w="29" w:type="dxa"/>
              <w:right w:w="43" w:type="dxa"/>
            </w:tcMar>
            <w:vAlign w:val="center"/>
            <w:hideMark/>
          </w:tcPr>
          <w:p w:rsidR="0074010C" w:rsidRPr="00882843" w:rsidRDefault="0074010C" w:rsidP="00A767A1">
            <w:pPr>
              <w:spacing w:after="0"/>
              <w:rPr>
                <w:rFonts w:cs="Arial"/>
                <w:b/>
                <w:bCs/>
                <w:sz w:val="17"/>
                <w:szCs w:val="17"/>
              </w:rPr>
            </w:pPr>
          </w:p>
        </w:tc>
        <w:tc>
          <w:tcPr>
            <w:tcW w:w="0" w:type="auto"/>
            <w:tcBorders>
              <w:top w:val="nil"/>
              <w:left w:val="nil"/>
              <w:bottom w:val="single" w:sz="8" w:space="0" w:color="000000"/>
              <w:right w:val="single" w:sz="8" w:space="0" w:color="000000"/>
            </w:tcBorders>
            <w:shd w:val="clear" w:color="auto" w:fill="FFFFFF"/>
            <w:tcMar>
              <w:top w:w="29" w:type="dxa"/>
              <w:left w:w="43" w:type="dxa"/>
              <w:bottom w:w="29" w:type="dxa"/>
              <w:right w:w="43" w:type="dxa"/>
            </w:tcMar>
            <w:vAlign w:val="bottom"/>
            <w:hideMark/>
          </w:tcPr>
          <w:p w:rsidR="0074010C" w:rsidRPr="00882843" w:rsidRDefault="0074010C" w:rsidP="00A767A1">
            <w:pPr>
              <w:spacing w:after="0"/>
              <w:rPr>
                <w:rFonts w:cs="Arial"/>
                <w:b/>
                <w:bCs/>
                <w:sz w:val="17"/>
                <w:szCs w:val="17"/>
              </w:rPr>
            </w:pPr>
            <w:r w:rsidRPr="00882843">
              <w:rPr>
                <w:rFonts w:cs="Arial"/>
                <w:b/>
                <w:bCs/>
                <w:sz w:val="17"/>
                <w:szCs w:val="17"/>
              </w:rPr>
              <w:t>Cost covered by stewards/custodians</w:t>
            </w:r>
          </w:p>
        </w:tc>
        <w:tc>
          <w:tcPr>
            <w:tcW w:w="0" w:type="auto"/>
            <w:tcBorders>
              <w:top w:val="nil"/>
              <w:left w:val="nil"/>
              <w:bottom w:val="single" w:sz="8" w:space="0" w:color="000000"/>
              <w:right w:val="single" w:sz="8" w:space="0" w:color="000000"/>
            </w:tcBorders>
            <w:tcMar>
              <w:top w:w="29" w:type="dxa"/>
              <w:left w:w="43" w:type="dxa"/>
              <w:bottom w:w="29" w:type="dxa"/>
              <w:right w:w="43" w:type="dxa"/>
            </w:tcMar>
            <w:vAlign w:val="bottom"/>
            <w:hideMark/>
          </w:tcPr>
          <w:p w:rsidR="0074010C" w:rsidRPr="00882843" w:rsidRDefault="0074010C" w:rsidP="00A767A1">
            <w:pPr>
              <w:spacing w:after="0"/>
              <w:rPr>
                <w:rFonts w:cs="Arial"/>
                <w:b/>
                <w:bCs/>
                <w:sz w:val="17"/>
                <w:szCs w:val="17"/>
              </w:rPr>
            </w:pPr>
          </w:p>
        </w:tc>
        <w:tc>
          <w:tcPr>
            <w:tcW w:w="0" w:type="auto"/>
            <w:tcBorders>
              <w:top w:val="nil"/>
              <w:left w:val="nil"/>
              <w:bottom w:val="single" w:sz="8" w:space="0" w:color="000000"/>
              <w:right w:val="single" w:sz="8" w:space="0" w:color="000000"/>
            </w:tcBorders>
            <w:tcMar>
              <w:top w:w="29" w:type="dxa"/>
              <w:left w:w="43" w:type="dxa"/>
              <w:bottom w:w="29" w:type="dxa"/>
              <w:right w:w="43" w:type="dxa"/>
            </w:tcMar>
            <w:vAlign w:val="bottom"/>
            <w:hideMark/>
          </w:tcPr>
          <w:p w:rsidR="0074010C" w:rsidRPr="00882843" w:rsidRDefault="0074010C" w:rsidP="00A767A1">
            <w:pPr>
              <w:spacing w:after="0"/>
              <w:jc w:val="right"/>
              <w:rPr>
                <w:sz w:val="17"/>
                <w:szCs w:val="17"/>
              </w:rPr>
            </w:pPr>
            <w:r w:rsidRPr="00882843">
              <w:rPr>
                <w:sz w:val="17"/>
                <w:szCs w:val="17"/>
              </w:rPr>
              <w:t>$7,620,000</w:t>
            </w:r>
          </w:p>
        </w:tc>
      </w:tr>
      <w:tr w:rsidR="0074010C" w:rsidRPr="00882843" w:rsidTr="00A767A1">
        <w:trPr>
          <w:trHeight w:val="20"/>
        </w:trPr>
        <w:tc>
          <w:tcPr>
            <w:tcW w:w="0" w:type="auto"/>
            <w:vMerge/>
            <w:tcBorders>
              <w:top w:val="nil"/>
              <w:left w:val="single" w:sz="8" w:space="0" w:color="000000"/>
              <w:bottom w:val="single" w:sz="8" w:space="0" w:color="000000"/>
              <w:right w:val="single" w:sz="8" w:space="0" w:color="000000"/>
            </w:tcBorders>
            <w:tcMar>
              <w:top w:w="29" w:type="dxa"/>
              <w:left w:w="43" w:type="dxa"/>
              <w:bottom w:w="29" w:type="dxa"/>
              <w:right w:w="43" w:type="dxa"/>
            </w:tcMar>
            <w:vAlign w:val="center"/>
            <w:hideMark/>
          </w:tcPr>
          <w:p w:rsidR="0074010C" w:rsidRPr="00882843" w:rsidRDefault="0074010C" w:rsidP="00A767A1">
            <w:pPr>
              <w:spacing w:after="0"/>
              <w:rPr>
                <w:rFonts w:cs="Arial"/>
                <w:b/>
                <w:bCs/>
                <w:sz w:val="17"/>
                <w:szCs w:val="17"/>
              </w:rPr>
            </w:pPr>
          </w:p>
        </w:tc>
        <w:tc>
          <w:tcPr>
            <w:tcW w:w="0" w:type="auto"/>
            <w:tcBorders>
              <w:top w:val="nil"/>
              <w:left w:val="nil"/>
              <w:bottom w:val="single" w:sz="8" w:space="0" w:color="000000"/>
              <w:right w:val="single" w:sz="8" w:space="0" w:color="000000"/>
            </w:tcBorders>
            <w:shd w:val="clear" w:color="auto" w:fill="FFFFFF"/>
            <w:tcMar>
              <w:top w:w="29" w:type="dxa"/>
              <w:left w:w="43" w:type="dxa"/>
              <w:bottom w:w="29" w:type="dxa"/>
              <w:right w:w="43" w:type="dxa"/>
            </w:tcMar>
            <w:vAlign w:val="bottom"/>
            <w:hideMark/>
          </w:tcPr>
          <w:p w:rsidR="0074010C" w:rsidRPr="00882843" w:rsidRDefault="0074010C" w:rsidP="00A767A1">
            <w:pPr>
              <w:spacing w:after="0"/>
              <w:rPr>
                <w:rFonts w:cs="Arial"/>
                <w:b/>
                <w:bCs/>
                <w:sz w:val="17"/>
                <w:szCs w:val="17"/>
              </w:rPr>
            </w:pPr>
            <w:r w:rsidRPr="00882843">
              <w:rPr>
                <w:rFonts w:cs="Arial"/>
                <w:b/>
                <w:bCs/>
                <w:sz w:val="17"/>
                <w:szCs w:val="17"/>
              </w:rPr>
              <w:t>Cost to be covered by new funds</w:t>
            </w:r>
          </w:p>
        </w:tc>
        <w:tc>
          <w:tcPr>
            <w:tcW w:w="0" w:type="auto"/>
            <w:tcBorders>
              <w:top w:val="nil"/>
              <w:left w:val="nil"/>
              <w:bottom w:val="single" w:sz="8" w:space="0" w:color="000000"/>
              <w:right w:val="single" w:sz="8" w:space="0" w:color="000000"/>
            </w:tcBorders>
            <w:tcMar>
              <w:top w:w="29" w:type="dxa"/>
              <w:left w:w="43" w:type="dxa"/>
              <w:bottom w:w="29" w:type="dxa"/>
              <w:right w:w="43" w:type="dxa"/>
            </w:tcMar>
            <w:vAlign w:val="bottom"/>
            <w:hideMark/>
          </w:tcPr>
          <w:p w:rsidR="0074010C" w:rsidRPr="00882843" w:rsidRDefault="0074010C" w:rsidP="00A767A1">
            <w:pPr>
              <w:spacing w:after="0"/>
              <w:rPr>
                <w:rFonts w:cs="Arial"/>
                <w:b/>
                <w:bCs/>
                <w:sz w:val="17"/>
                <w:szCs w:val="17"/>
              </w:rPr>
            </w:pPr>
          </w:p>
        </w:tc>
        <w:tc>
          <w:tcPr>
            <w:tcW w:w="0" w:type="auto"/>
            <w:tcBorders>
              <w:top w:val="nil"/>
              <w:left w:val="nil"/>
              <w:bottom w:val="single" w:sz="8" w:space="0" w:color="000000"/>
              <w:right w:val="single" w:sz="8" w:space="0" w:color="000000"/>
            </w:tcBorders>
            <w:tcMar>
              <w:top w:w="29" w:type="dxa"/>
              <w:left w:w="43" w:type="dxa"/>
              <w:bottom w:w="29" w:type="dxa"/>
              <w:right w:w="43" w:type="dxa"/>
            </w:tcMar>
            <w:vAlign w:val="bottom"/>
            <w:hideMark/>
          </w:tcPr>
          <w:p w:rsidR="0074010C" w:rsidRPr="00882843" w:rsidRDefault="00254799" w:rsidP="00A767A1">
            <w:pPr>
              <w:spacing w:after="0"/>
              <w:jc w:val="right"/>
              <w:rPr>
                <w:b/>
                <w:sz w:val="17"/>
                <w:szCs w:val="17"/>
              </w:rPr>
            </w:pPr>
            <w:r w:rsidRPr="00882843">
              <w:rPr>
                <w:b/>
                <w:sz w:val="17"/>
                <w:szCs w:val="17"/>
              </w:rPr>
              <w:t>$246,651</w:t>
            </w:r>
            <w:r w:rsidR="0074010C" w:rsidRPr="00882843">
              <w:rPr>
                <w:b/>
                <w:sz w:val="17"/>
                <w:szCs w:val="17"/>
              </w:rPr>
              <w:t>,750</w:t>
            </w:r>
          </w:p>
        </w:tc>
      </w:tr>
      <w:tr w:rsidR="0074010C" w:rsidRPr="00882843" w:rsidTr="00A767A1">
        <w:trPr>
          <w:trHeight w:val="20"/>
        </w:trPr>
        <w:tc>
          <w:tcPr>
            <w:tcW w:w="0" w:type="auto"/>
            <w:vMerge/>
            <w:tcBorders>
              <w:top w:val="nil"/>
              <w:left w:val="single" w:sz="8" w:space="0" w:color="000000"/>
              <w:bottom w:val="single" w:sz="8" w:space="0" w:color="000000"/>
              <w:right w:val="single" w:sz="8" w:space="0" w:color="000000"/>
            </w:tcBorders>
            <w:tcMar>
              <w:top w:w="29" w:type="dxa"/>
              <w:left w:w="43" w:type="dxa"/>
              <w:bottom w:w="29" w:type="dxa"/>
              <w:right w:w="43" w:type="dxa"/>
            </w:tcMar>
            <w:vAlign w:val="center"/>
            <w:hideMark/>
          </w:tcPr>
          <w:p w:rsidR="0074010C" w:rsidRPr="00882843" w:rsidRDefault="0074010C" w:rsidP="00A767A1">
            <w:pPr>
              <w:spacing w:after="0"/>
              <w:rPr>
                <w:rFonts w:cs="Arial"/>
                <w:b/>
                <w:bCs/>
                <w:sz w:val="17"/>
                <w:szCs w:val="17"/>
              </w:rPr>
            </w:pPr>
          </w:p>
        </w:tc>
        <w:tc>
          <w:tcPr>
            <w:tcW w:w="0" w:type="auto"/>
            <w:tcBorders>
              <w:top w:val="nil"/>
              <w:left w:val="nil"/>
              <w:bottom w:val="single" w:sz="8" w:space="0" w:color="000000"/>
              <w:right w:val="single" w:sz="8" w:space="0" w:color="000000"/>
            </w:tcBorders>
            <w:shd w:val="clear" w:color="auto" w:fill="FFFFFF"/>
            <w:tcMar>
              <w:top w:w="29" w:type="dxa"/>
              <w:left w:w="43" w:type="dxa"/>
              <w:bottom w:w="29" w:type="dxa"/>
              <w:right w:w="43" w:type="dxa"/>
            </w:tcMar>
            <w:vAlign w:val="bottom"/>
            <w:hideMark/>
          </w:tcPr>
          <w:p w:rsidR="0074010C" w:rsidRPr="00882843" w:rsidRDefault="0074010C" w:rsidP="00A767A1">
            <w:pPr>
              <w:spacing w:after="0"/>
              <w:rPr>
                <w:rFonts w:cs="Arial"/>
                <w:b/>
                <w:bCs/>
                <w:sz w:val="17"/>
                <w:szCs w:val="17"/>
              </w:rPr>
            </w:pPr>
            <w:r w:rsidRPr="00882843">
              <w:rPr>
                <w:rFonts w:cs="Arial"/>
                <w:b/>
                <w:bCs/>
                <w:sz w:val="17"/>
                <w:szCs w:val="17"/>
              </w:rPr>
              <w:t>Low Estimate</w:t>
            </w:r>
          </w:p>
        </w:tc>
        <w:tc>
          <w:tcPr>
            <w:tcW w:w="0" w:type="auto"/>
            <w:tcBorders>
              <w:top w:val="nil"/>
              <w:left w:val="nil"/>
              <w:bottom w:val="single" w:sz="8" w:space="0" w:color="000000"/>
              <w:right w:val="single" w:sz="8" w:space="0" w:color="000000"/>
            </w:tcBorders>
            <w:tcMar>
              <w:top w:w="29" w:type="dxa"/>
              <w:left w:w="43" w:type="dxa"/>
              <w:bottom w:w="29" w:type="dxa"/>
              <w:right w:w="43" w:type="dxa"/>
            </w:tcMar>
            <w:vAlign w:val="bottom"/>
            <w:hideMark/>
          </w:tcPr>
          <w:p w:rsidR="0074010C" w:rsidRPr="00882843" w:rsidRDefault="0074010C" w:rsidP="00A767A1">
            <w:pPr>
              <w:spacing w:after="0"/>
              <w:rPr>
                <w:rFonts w:cs="Arial"/>
                <w:b/>
                <w:bCs/>
                <w:sz w:val="17"/>
                <w:szCs w:val="17"/>
              </w:rPr>
            </w:pPr>
          </w:p>
        </w:tc>
        <w:tc>
          <w:tcPr>
            <w:tcW w:w="0" w:type="auto"/>
            <w:tcBorders>
              <w:top w:val="nil"/>
              <w:left w:val="nil"/>
              <w:bottom w:val="single" w:sz="8" w:space="0" w:color="000000"/>
              <w:right w:val="single" w:sz="8" w:space="0" w:color="000000"/>
            </w:tcBorders>
            <w:tcMar>
              <w:top w:w="29" w:type="dxa"/>
              <w:left w:w="43" w:type="dxa"/>
              <w:bottom w:w="29" w:type="dxa"/>
              <w:right w:w="43" w:type="dxa"/>
            </w:tcMar>
            <w:vAlign w:val="bottom"/>
            <w:hideMark/>
          </w:tcPr>
          <w:p w:rsidR="0074010C" w:rsidRPr="00882843" w:rsidRDefault="00254799" w:rsidP="00A767A1">
            <w:pPr>
              <w:spacing w:after="0"/>
              <w:jc w:val="right"/>
              <w:rPr>
                <w:sz w:val="17"/>
                <w:szCs w:val="17"/>
              </w:rPr>
            </w:pPr>
            <w:r w:rsidRPr="00882843">
              <w:rPr>
                <w:sz w:val="17"/>
                <w:szCs w:val="17"/>
              </w:rPr>
              <w:t>$160,323,6</w:t>
            </w:r>
            <w:r w:rsidR="0074010C" w:rsidRPr="00882843">
              <w:rPr>
                <w:sz w:val="17"/>
                <w:szCs w:val="17"/>
              </w:rPr>
              <w:t>38</w:t>
            </w:r>
          </w:p>
        </w:tc>
      </w:tr>
      <w:tr w:rsidR="0074010C" w:rsidRPr="00882843" w:rsidTr="00A767A1">
        <w:trPr>
          <w:trHeight w:val="20"/>
        </w:trPr>
        <w:tc>
          <w:tcPr>
            <w:tcW w:w="0" w:type="auto"/>
            <w:vMerge/>
            <w:tcBorders>
              <w:top w:val="nil"/>
              <w:left w:val="single" w:sz="8" w:space="0" w:color="000000"/>
              <w:bottom w:val="single" w:sz="8" w:space="0" w:color="000000"/>
              <w:right w:val="single" w:sz="8" w:space="0" w:color="000000"/>
            </w:tcBorders>
            <w:tcMar>
              <w:top w:w="29" w:type="dxa"/>
              <w:left w:w="43" w:type="dxa"/>
              <w:bottom w:w="29" w:type="dxa"/>
              <w:right w:w="43" w:type="dxa"/>
            </w:tcMar>
            <w:vAlign w:val="center"/>
            <w:hideMark/>
          </w:tcPr>
          <w:p w:rsidR="0074010C" w:rsidRPr="00882843" w:rsidRDefault="0074010C" w:rsidP="00A767A1">
            <w:pPr>
              <w:spacing w:after="0"/>
              <w:rPr>
                <w:rFonts w:cs="Arial"/>
                <w:b/>
                <w:bCs/>
                <w:sz w:val="17"/>
                <w:szCs w:val="17"/>
              </w:rPr>
            </w:pPr>
          </w:p>
        </w:tc>
        <w:tc>
          <w:tcPr>
            <w:tcW w:w="0" w:type="auto"/>
            <w:tcBorders>
              <w:top w:val="nil"/>
              <w:left w:val="nil"/>
              <w:bottom w:val="single" w:sz="8" w:space="0" w:color="000000"/>
              <w:right w:val="single" w:sz="8" w:space="0" w:color="000000"/>
            </w:tcBorders>
            <w:shd w:val="clear" w:color="auto" w:fill="FFFFFF"/>
            <w:tcMar>
              <w:top w:w="29" w:type="dxa"/>
              <w:left w:w="43" w:type="dxa"/>
              <w:bottom w:w="29" w:type="dxa"/>
              <w:right w:w="43" w:type="dxa"/>
            </w:tcMar>
            <w:vAlign w:val="bottom"/>
            <w:hideMark/>
          </w:tcPr>
          <w:p w:rsidR="0074010C" w:rsidRPr="00882843" w:rsidRDefault="0074010C" w:rsidP="00A767A1">
            <w:pPr>
              <w:spacing w:after="0"/>
              <w:rPr>
                <w:rFonts w:cs="Arial"/>
                <w:b/>
                <w:bCs/>
                <w:sz w:val="17"/>
                <w:szCs w:val="17"/>
              </w:rPr>
            </w:pPr>
            <w:r w:rsidRPr="00882843">
              <w:rPr>
                <w:rFonts w:cs="Arial"/>
                <w:b/>
                <w:bCs/>
                <w:sz w:val="17"/>
                <w:szCs w:val="17"/>
              </w:rPr>
              <w:t>Hi Estimate</w:t>
            </w:r>
          </w:p>
        </w:tc>
        <w:tc>
          <w:tcPr>
            <w:tcW w:w="0" w:type="auto"/>
            <w:tcBorders>
              <w:top w:val="nil"/>
              <w:left w:val="nil"/>
              <w:bottom w:val="single" w:sz="8" w:space="0" w:color="000000"/>
              <w:right w:val="single" w:sz="8" w:space="0" w:color="000000"/>
            </w:tcBorders>
            <w:tcMar>
              <w:top w:w="29" w:type="dxa"/>
              <w:left w:w="43" w:type="dxa"/>
              <w:bottom w:w="29" w:type="dxa"/>
              <w:right w:w="43" w:type="dxa"/>
            </w:tcMar>
            <w:vAlign w:val="bottom"/>
            <w:hideMark/>
          </w:tcPr>
          <w:p w:rsidR="0074010C" w:rsidRPr="00882843" w:rsidRDefault="0074010C" w:rsidP="00A767A1">
            <w:pPr>
              <w:spacing w:after="0"/>
              <w:rPr>
                <w:rFonts w:cs="Arial"/>
                <w:b/>
                <w:bCs/>
                <w:sz w:val="17"/>
                <w:szCs w:val="17"/>
              </w:rPr>
            </w:pPr>
          </w:p>
        </w:tc>
        <w:tc>
          <w:tcPr>
            <w:tcW w:w="0" w:type="auto"/>
            <w:tcBorders>
              <w:top w:val="nil"/>
              <w:left w:val="nil"/>
              <w:bottom w:val="single" w:sz="8" w:space="0" w:color="000000"/>
              <w:right w:val="single" w:sz="8" w:space="0" w:color="000000"/>
            </w:tcBorders>
            <w:tcMar>
              <w:top w:w="29" w:type="dxa"/>
              <w:left w:w="43" w:type="dxa"/>
              <w:bottom w:w="29" w:type="dxa"/>
              <w:right w:w="43" w:type="dxa"/>
            </w:tcMar>
            <w:vAlign w:val="bottom"/>
            <w:hideMark/>
          </w:tcPr>
          <w:p w:rsidR="0074010C" w:rsidRPr="00882843" w:rsidRDefault="007D5676" w:rsidP="00A767A1">
            <w:pPr>
              <w:spacing w:after="0"/>
              <w:jc w:val="right"/>
              <w:rPr>
                <w:sz w:val="17"/>
                <w:szCs w:val="17"/>
              </w:rPr>
            </w:pPr>
            <w:r w:rsidRPr="00882843">
              <w:rPr>
                <w:sz w:val="17"/>
                <w:szCs w:val="17"/>
              </w:rPr>
              <w:t>$332,979,863</w:t>
            </w:r>
          </w:p>
        </w:tc>
      </w:tr>
      <w:tr w:rsidR="0074010C" w:rsidRPr="00882843" w:rsidTr="00A767A1">
        <w:trPr>
          <w:trHeight w:val="20"/>
        </w:trPr>
        <w:tc>
          <w:tcPr>
            <w:tcW w:w="0" w:type="auto"/>
            <w:vMerge w:val="restart"/>
            <w:tcBorders>
              <w:top w:val="nil"/>
              <w:left w:val="single" w:sz="8" w:space="0" w:color="000000"/>
              <w:bottom w:val="single" w:sz="8" w:space="0" w:color="000000"/>
              <w:right w:val="single" w:sz="8" w:space="0" w:color="000000"/>
            </w:tcBorders>
            <w:shd w:val="clear" w:color="auto" w:fill="FFFFFF"/>
            <w:tcMar>
              <w:top w:w="29" w:type="dxa"/>
              <w:left w:w="43" w:type="dxa"/>
              <w:bottom w:w="29" w:type="dxa"/>
              <w:right w:w="43" w:type="dxa"/>
            </w:tcMar>
            <w:vAlign w:val="center"/>
            <w:hideMark/>
          </w:tcPr>
          <w:p w:rsidR="0074010C" w:rsidRPr="00882843" w:rsidRDefault="0074010C" w:rsidP="00A767A1">
            <w:pPr>
              <w:spacing w:after="0"/>
              <w:jc w:val="center"/>
              <w:rPr>
                <w:rFonts w:cs="Arial"/>
                <w:b/>
                <w:bCs/>
                <w:sz w:val="17"/>
                <w:szCs w:val="17"/>
              </w:rPr>
            </w:pPr>
            <w:r w:rsidRPr="00882843">
              <w:rPr>
                <w:rFonts w:cs="Arial"/>
                <w:b/>
                <w:bCs/>
                <w:sz w:val="17"/>
                <w:szCs w:val="17"/>
              </w:rPr>
              <w:t>DATA MAINTENANCE</w:t>
            </w:r>
          </w:p>
        </w:tc>
        <w:tc>
          <w:tcPr>
            <w:tcW w:w="0" w:type="auto"/>
            <w:tcBorders>
              <w:top w:val="nil"/>
              <w:left w:val="nil"/>
              <w:bottom w:val="single" w:sz="8" w:space="0" w:color="000000"/>
              <w:right w:val="single" w:sz="8" w:space="0" w:color="000000"/>
            </w:tcBorders>
            <w:shd w:val="clear" w:color="auto" w:fill="FFFFFF"/>
            <w:tcMar>
              <w:top w:w="29" w:type="dxa"/>
              <w:left w:w="43" w:type="dxa"/>
              <w:bottom w:w="29" w:type="dxa"/>
              <w:right w:w="43" w:type="dxa"/>
            </w:tcMar>
            <w:vAlign w:val="bottom"/>
            <w:hideMark/>
          </w:tcPr>
          <w:p w:rsidR="0074010C" w:rsidRPr="00882843" w:rsidRDefault="0074010C" w:rsidP="00A767A1">
            <w:pPr>
              <w:spacing w:after="0"/>
              <w:rPr>
                <w:rFonts w:cs="Arial"/>
                <w:b/>
                <w:bCs/>
                <w:sz w:val="17"/>
                <w:szCs w:val="17"/>
              </w:rPr>
            </w:pPr>
            <w:r w:rsidRPr="00882843">
              <w:rPr>
                <w:rFonts w:cs="Arial"/>
                <w:b/>
                <w:bCs/>
                <w:sz w:val="17"/>
                <w:szCs w:val="17"/>
              </w:rPr>
              <w:t>Total annual maintenance cost</w:t>
            </w:r>
          </w:p>
        </w:tc>
        <w:tc>
          <w:tcPr>
            <w:tcW w:w="0" w:type="auto"/>
            <w:tcBorders>
              <w:top w:val="nil"/>
              <w:left w:val="nil"/>
              <w:bottom w:val="single" w:sz="8" w:space="0" w:color="000000"/>
              <w:right w:val="single" w:sz="8" w:space="0" w:color="000000"/>
            </w:tcBorders>
            <w:tcMar>
              <w:top w:w="29" w:type="dxa"/>
              <w:left w:w="43" w:type="dxa"/>
              <w:bottom w:w="29" w:type="dxa"/>
              <w:right w:w="43" w:type="dxa"/>
            </w:tcMar>
            <w:vAlign w:val="bottom"/>
            <w:hideMark/>
          </w:tcPr>
          <w:p w:rsidR="0074010C" w:rsidRPr="00882843" w:rsidRDefault="0074010C" w:rsidP="00A767A1">
            <w:pPr>
              <w:spacing w:after="0"/>
              <w:rPr>
                <w:rFonts w:cs="Arial"/>
                <w:b/>
                <w:bCs/>
                <w:sz w:val="17"/>
                <w:szCs w:val="17"/>
              </w:rPr>
            </w:pPr>
          </w:p>
        </w:tc>
        <w:tc>
          <w:tcPr>
            <w:tcW w:w="0" w:type="auto"/>
            <w:tcBorders>
              <w:top w:val="nil"/>
              <w:left w:val="nil"/>
              <w:bottom w:val="single" w:sz="8" w:space="0" w:color="000000"/>
              <w:right w:val="single" w:sz="8" w:space="0" w:color="000000"/>
            </w:tcBorders>
            <w:tcMar>
              <w:top w:w="29" w:type="dxa"/>
              <w:left w:w="43" w:type="dxa"/>
              <w:bottom w:w="29" w:type="dxa"/>
              <w:right w:w="43" w:type="dxa"/>
            </w:tcMar>
            <w:vAlign w:val="bottom"/>
            <w:hideMark/>
          </w:tcPr>
          <w:p w:rsidR="0074010C" w:rsidRPr="00882843" w:rsidRDefault="0074010C" w:rsidP="00A767A1">
            <w:pPr>
              <w:spacing w:after="0"/>
              <w:jc w:val="right"/>
              <w:rPr>
                <w:sz w:val="17"/>
                <w:szCs w:val="17"/>
              </w:rPr>
            </w:pPr>
            <w:r w:rsidRPr="00882843">
              <w:rPr>
                <w:sz w:val="17"/>
                <w:szCs w:val="17"/>
              </w:rPr>
              <w:t>$17,895,300</w:t>
            </w:r>
          </w:p>
        </w:tc>
      </w:tr>
      <w:tr w:rsidR="0074010C" w:rsidRPr="00882843" w:rsidTr="00A767A1">
        <w:trPr>
          <w:trHeight w:val="20"/>
        </w:trPr>
        <w:tc>
          <w:tcPr>
            <w:tcW w:w="0" w:type="auto"/>
            <w:vMerge/>
            <w:tcBorders>
              <w:top w:val="nil"/>
              <w:left w:val="single" w:sz="8" w:space="0" w:color="000000"/>
              <w:bottom w:val="single" w:sz="8" w:space="0" w:color="000000"/>
              <w:right w:val="single" w:sz="8" w:space="0" w:color="000000"/>
            </w:tcBorders>
            <w:tcMar>
              <w:top w:w="29" w:type="dxa"/>
              <w:left w:w="43" w:type="dxa"/>
              <w:bottom w:w="29" w:type="dxa"/>
              <w:right w:w="43" w:type="dxa"/>
            </w:tcMar>
            <w:vAlign w:val="center"/>
            <w:hideMark/>
          </w:tcPr>
          <w:p w:rsidR="0074010C" w:rsidRPr="00882843" w:rsidRDefault="0074010C" w:rsidP="00A767A1">
            <w:pPr>
              <w:spacing w:after="0"/>
              <w:rPr>
                <w:rFonts w:cs="Arial"/>
                <w:b/>
                <w:bCs/>
                <w:sz w:val="17"/>
                <w:szCs w:val="17"/>
              </w:rPr>
            </w:pPr>
          </w:p>
        </w:tc>
        <w:tc>
          <w:tcPr>
            <w:tcW w:w="0" w:type="auto"/>
            <w:tcBorders>
              <w:top w:val="nil"/>
              <w:left w:val="nil"/>
              <w:bottom w:val="single" w:sz="8" w:space="0" w:color="000000"/>
              <w:right w:val="single" w:sz="8" w:space="0" w:color="000000"/>
            </w:tcBorders>
            <w:shd w:val="clear" w:color="auto" w:fill="FFFFFF"/>
            <w:tcMar>
              <w:top w:w="29" w:type="dxa"/>
              <w:left w:w="43" w:type="dxa"/>
              <w:bottom w:w="29" w:type="dxa"/>
              <w:right w:w="43" w:type="dxa"/>
            </w:tcMar>
            <w:vAlign w:val="bottom"/>
            <w:hideMark/>
          </w:tcPr>
          <w:p w:rsidR="0074010C" w:rsidRPr="00882843" w:rsidRDefault="0074010C" w:rsidP="00A767A1">
            <w:pPr>
              <w:spacing w:after="0"/>
              <w:rPr>
                <w:rFonts w:cs="Arial"/>
                <w:b/>
                <w:bCs/>
                <w:sz w:val="17"/>
                <w:szCs w:val="17"/>
              </w:rPr>
            </w:pPr>
            <w:r w:rsidRPr="00882843">
              <w:rPr>
                <w:rFonts w:cs="Arial"/>
                <w:b/>
                <w:bCs/>
                <w:sz w:val="17"/>
                <w:szCs w:val="17"/>
              </w:rPr>
              <w:t>Annual maintenance cost covered by steward/custodians</w:t>
            </w:r>
          </w:p>
        </w:tc>
        <w:tc>
          <w:tcPr>
            <w:tcW w:w="0" w:type="auto"/>
            <w:tcBorders>
              <w:top w:val="nil"/>
              <w:left w:val="nil"/>
              <w:bottom w:val="single" w:sz="8" w:space="0" w:color="000000"/>
              <w:right w:val="single" w:sz="8" w:space="0" w:color="000000"/>
            </w:tcBorders>
            <w:tcMar>
              <w:top w:w="29" w:type="dxa"/>
              <w:left w:w="43" w:type="dxa"/>
              <w:bottom w:w="29" w:type="dxa"/>
              <w:right w:w="43" w:type="dxa"/>
            </w:tcMar>
            <w:vAlign w:val="bottom"/>
            <w:hideMark/>
          </w:tcPr>
          <w:p w:rsidR="0074010C" w:rsidRPr="00882843" w:rsidRDefault="0074010C" w:rsidP="00A767A1">
            <w:pPr>
              <w:spacing w:after="0"/>
              <w:rPr>
                <w:rFonts w:cs="Arial"/>
                <w:b/>
                <w:bCs/>
                <w:sz w:val="17"/>
                <w:szCs w:val="17"/>
              </w:rPr>
            </w:pPr>
          </w:p>
        </w:tc>
        <w:tc>
          <w:tcPr>
            <w:tcW w:w="0" w:type="auto"/>
            <w:tcBorders>
              <w:top w:val="nil"/>
              <w:left w:val="nil"/>
              <w:bottom w:val="single" w:sz="8" w:space="0" w:color="000000"/>
              <w:right w:val="single" w:sz="8" w:space="0" w:color="000000"/>
            </w:tcBorders>
            <w:tcMar>
              <w:top w:w="29" w:type="dxa"/>
              <w:left w:w="43" w:type="dxa"/>
              <w:bottom w:w="29" w:type="dxa"/>
              <w:right w:w="43" w:type="dxa"/>
            </w:tcMar>
            <w:vAlign w:val="bottom"/>
            <w:hideMark/>
          </w:tcPr>
          <w:p w:rsidR="0074010C" w:rsidRPr="00882843" w:rsidRDefault="007D5676" w:rsidP="00A767A1">
            <w:pPr>
              <w:spacing w:after="0"/>
              <w:jc w:val="right"/>
              <w:rPr>
                <w:sz w:val="17"/>
                <w:szCs w:val="17"/>
              </w:rPr>
            </w:pPr>
            <w:r w:rsidRPr="00882843">
              <w:rPr>
                <w:sz w:val="17"/>
                <w:szCs w:val="17"/>
              </w:rPr>
              <w:t>$</w:t>
            </w:r>
            <w:r w:rsidR="00440881">
              <w:rPr>
                <w:sz w:val="17"/>
                <w:szCs w:val="17"/>
              </w:rPr>
              <w:t>8,395,000</w:t>
            </w:r>
          </w:p>
        </w:tc>
      </w:tr>
      <w:tr w:rsidR="0074010C" w:rsidRPr="00882843" w:rsidTr="00A767A1">
        <w:trPr>
          <w:trHeight w:val="20"/>
        </w:trPr>
        <w:tc>
          <w:tcPr>
            <w:tcW w:w="0" w:type="auto"/>
            <w:vMerge/>
            <w:tcBorders>
              <w:top w:val="nil"/>
              <w:left w:val="single" w:sz="8" w:space="0" w:color="000000"/>
              <w:bottom w:val="single" w:sz="8" w:space="0" w:color="000000"/>
              <w:right w:val="single" w:sz="8" w:space="0" w:color="000000"/>
            </w:tcBorders>
            <w:tcMar>
              <w:top w:w="29" w:type="dxa"/>
              <w:left w:w="43" w:type="dxa"/>
              <w:bottom w:w="29" w:type="dxa"/>
              <w:right w:w="43" w:type="dxa"/>
            </w:tcMar>
            <w:vAlign w:val="center"/>
            <w:hideMark/>
          </w:tcPr>
          <w:p w:rsidR="0074010C" w:rsidRPr="00882843" w:rsidRDefault="0074010C" w:rsidP="00A767A1">
            <w:pPr>
              <w:spacing w:after="0"/>
              <w:rPr>
                <w:rFonts w:cs="Arial"/>
                <w:b/>
                <w:bCs/>
                <w:sz w:val="17"/>
                <w:szCs w:val="17"/>
              </w:rPr>
            </w:pPr>
          </w:p>
        </w:tc>
        <w:tc>
          <w:tcPr>
            <w:tcW w:w="0" w:type="auto"/>
            <w:tcBorders>
              <w:top w:val="nil"/>
              <w:left w:val="nil"/>
              <w:bottom w:val="single" w:sz="8" w:space="0" w:color="000000"/>
              <w:right w:val="single" w:sz="8" w:space="0" w:color="000000"/>
            </w:tcBorders>
            <w:shd w:val="clear" w:color="auto" w:fill="FFFFFF"/>
            <w:tcMar>
              <w:top w:w="29" w:type="dxa"/>
              <w:left w:w="43" w:type="dxa"/>
              <w:bottom w:w="29" w:type="dxa"/>
              <w:right w:w="43" w:type="dxa"/>
            </w:tcMar>
            <w:vAlign w:val="bottom"/>
            <w:hideMark/>
          </w:tcPr>
          <w:p w:rsidR="0074010C" w:rsidRPr="00882843" w:rsidRDefault="0074010C" w:rsidP="00A767A1">
            <w:pPr>
              <w:spacing w:after="0"/>
              <w:rPr>
                <w:rFonts w:cs="Arial"/>
                <w:b/>
                <w:bCs/>
                <w:sz w:val="17"/>
                <w:szCs w:val="17"/>
              </w:rPr>
            </w:pPr>
            <w:r w:rsidRPr="00882843">
              <w:rPr>
                <w:rFonts w:cs="Arial"/>
                <w:b/>
                <w:bCs/>
                <w:sz w:val="17"/>
                <w:szCs w:val="17"/>
              </w:rPr>
              <w:t>Maintenance (annual) cost to be covered by new funds</w:t>
            </w:r>
          </w:p>
        </w:tc>
        <w:tc>
          <w:tcPr>
            <w:tcW w:w="0" w:type="auto"/>
            <w:tcBorders>
              <w:top w:val="nil"/>
              <w:left w:val="nil"/>
              <w:bottom w:val="single" w:sz="8" w:space="0" w:color="000000"/>
              <w:right w:val="single" w:sz="8" w:space="0" w:color="000000"/>
            </w:tcBorders>
            <w:tcMar>
              <w:top w:w="29" w:type="dxa"/>
              <w:left w:w="43" w:type="dxa"/>
              <w:bottom w:w="29" w:type="dxa"/>
              <w:right w:w="43" w:type="dxa"/>
            </w:tcMar>
            <w:vAlign w:val="bottom"/>
            <w:hideMark/>
          </w:tcPr>
          <w:p w:rsidR="0074010C" w:rsidRPr="00882843" w:rsidRDefault="0074010C" w:rsidP="00A767A1">
            <w:pPr>
              <w:spacing w:after="0"/>
              <w:rPr>
                <w:rFonts w:cs="Arial"/>
                <w:b/>
                <w:bCs/>
                <w:sz w:val="17"/>
                <w:szCs w:val="17"/>
              </w:rPr>
            </w:pPr>
          </w:p>
        </w:tc>
        <w:tc>
          <w:tcPr>
            <w:tcW w:w="0" w:type="auto"/>
            <w:tcBorders>
              <w:top w:val="nil"/>
              <w:left w:val="nil"/>
              <w:bottom w:val="single" w:sz="8" w:space="0" w:color="000000"/>
              <w:right w:val="single" w:sz="8" w:space="0" w:color="000000"/>
            </w:tcBorders>
            <w:tcMar>
              <w:top w:w="29" w:type="dxa"/>
              <w:left w:w="43" w:type="dxa"/>
              <w:bottom w:w="29" w:type="dxa"/>
              <w:right w:w="43" w:type="dxa"/>
            </w:tcMar>
            <w:vAlign w:val="bottom"/>
            <w:hideMark/>
          </w:tcPr>
          <w:p w:rsidR="0074010C" w:rsidRPr="00882843" w:rsidRDefault="007D5676" w:rsidP="00A767A1">
            <w:pPr>
              <w:spacing w:after="0"/>
              <w:jc w:val="right"/>
              <w:rPr>
                <w:b/>
                <w:sz w:val="17"/>
                <w:szCs w:val="17"/>
              </w:rPr>
            </w:pPr>
            <w:r w:rsidRPr="00882843">
              <w:rPr>
                <w:b/>
                <w:sz w:val="17"/>
                <w:szCs w:val="17"/>
              </w:rPr>
              <w:t>$</w:t>
            </w:r>
            <w:r w:rsidR="00440881">
              <w:rPr>
                <w:b/>
                <w:sz w:val="17"/>
                <w:szCs w:val="17"/>
              </w:rPr>
              <w:t>9,500,3</w:t>
            </w:r>
            <w:r w:rsidRPr="00882843">
              <w:rPr>
                <w:b/>
                <w:sz w:val="17"/>
                <w:szCs w:val="17"/>
              </w:rPr>
              <w:t>00</w:t>
            </w:r>
          </w:p>
        </w:tc>
      </w:tr>
      <w:tr w:rsidR="0074010C" w:rsidRPr="00882843" w:rsidTr="00A767A1">
        <w:trPr>
          <w:trHeight w:val="20"/>
        </w:trPr>
        <w:tc>
          <w:tcPr>
            <w:tcW w:w="0" w:type="auto"/>
            <w:vMerge/>
            <w:tcBorders>
              <w:top w:val="nil"/>
              <w:left w:val="single" w:sz="8" w:space="0" w:color="000000"/>
              <w:bottom w:val="single" w:sz="8" w:space="0" w:color="000000"/>
              <w:right w:val="single" w:sz="8" w:space="0" w:color="000000"/>
            </w:tcBorders>
            <w:tcMar>
              <w:top w:w="29" w:type="dxa"/>
              <w:left w:w="43" w:type="dxa"/>
              <w:bottom w:w="29" w:type="dxa"/>
              <w:right w:w="43" w:type="dxa"/>
            </w:tcMar>
            <w:vAlign w:val="center"/>
            <w:hideMark/>
          </w:tcPr>
          <w:p w:rsidR="0074010C" w:rsidRPr="00882843" w:rsidRDefault="0074010C" w:rsidP="00A767A1">
            <w:pPr>
              <w:spacing w:after="0"/>
              <w:rPr>
                <w:rFonts w:cs="Arial"/>
                <w:b/>
                <w:bCs/>
                <w:sz w:val="17"/>
                <w:szCs w:val="17"/>
              </w:rPr>
            </w:pPr>
          </w:p>
        </w:tc>
        <w:tc>
          <w:tcPr>
            <w:tcW w:w="0" w:type="auto"/>
            <w:tcBorders>
              <w:top w:val="nil"/>
              <w:left w:val="nil"/>
              <w:bottom w:val="single" w:sz="8" w:space="0" w:color="000000"/>
              <w:right w:val="single" w:sz="8" w:space="0" w:color="000000"/>
            </w:tcBorders>
            <w:shd w:val="clear" w:color="auto" w:fill="FFFFFF"/>
            <w:tcMar>
              <w:top w:w="29" w:type="dxa"/>
              <w:left w:w="43" w:type="dxa"/>
              <w:bottom w:w="29" w:type="dxa"/>
              <w:right w:w="43" w:type="dxa"/>
            </w:tcMar>
            <w:vAlign w:val="bottom"/>
            <w:hideMark/>
          </w:tcPr>
          <w:p w:rsidR="0074010C" w:rsidRPr="00882843" w:rsidRDefault="0074010C" w:rsidP="00A767A1">
            <w:pPr>
              <w:spacing w:after="0"/>
              <w:rPr>
                <w:rFonts w:cs="Arial"/>
                <w:b/>
                <w:bCs/>
                <w:sz w:val="17"/>
                <w:szCs w:val="17"/>
              </w:rPr>
            </w:pPr>
            <w:r w:rsidRPr="00882843">
              <w:rPr>
                <w:rFonts w:cs="Arial"/>
                <w:b/>
                <w:bCs/>
                <w:sz w:val="17"/>
                <w:szCs w:val="17"/>
              </w:rPr>
              <w:t>Low Estimate</w:t>
            </w:r>
          </w:p>
        </w:tc>
        <w:tc>
          <w:tcPr>
            <w:tcW w:w="0" w:type="auto"/>
            <w:tcBorders>
              <w:top w:val="nil"/>
              <w:left w:val="nil"/>
              <w:bottom w:val="single" w:sz="8" w:space="0" w:color="000000"/>
              <w:right w:val="single" w:sz="8" w:space="0" w:color="000000"/>
            </w:tcBorders>
            <w:tcMar>
              <w:top w:w="29" w:type="dxa"/>
              <w:left w:w="43" w:type="dxa"/>
              <w:bottom w:w="29" w:type="dxa"/>
              <w:right w:w="43" w:type="dxa"/>
            </w:tcMar>
            <w:vAlign w:val="bottom"/>
            <w:hideMark/>
          </w:tcPr>
          <w:p w:rsidR="0074010C" w:rsidRPr="00882843" w:rsidRDefault="0074010C" w:rsidP="00A767A1">
            <w:pPr>
              <w:spacing w:after="0"/>
              <w:rPr>
                <w:rFonts w:cs="Arial"/>
                <w:b/>
                <w:bCs/>
                <w:sz w:val="17"/>
                <w:szCs w:val="17"/>
              </w:rPr>
            </w:pPr>
          </w:p>
        </w:tc>
        <w:tc>
          <w:tcPr>
            <w:tcW w:w="0" w:type="auto"/>
            <w:tcBorders>
              <w:top w:val="nil"/>
              <w:left w:val="nil"/>
              <w:bottom w:val="single" w:sz="8" w:space="0" w:color="000000"/>
              <w:right w:val="single" w:sz="8" w:space="0" w:color="000000"/>
            </w:tcBorders>
            <w:tcMar>
              <w:top w:w="29" w:type="dxa"/>
              <w:left w:w="43" w:type="dxa"/>
              <w:bottom w:w="29" w:type="dxa"/>
              <w:right w:w="43" w:type="dxa"/>
            </w:tcMar>
            <w:vAlign w:val="bottom"/>
            <w:hideMark/>
          </w:tcPr>
          <w:p w:rsidR="0074010C" w:rsidRPr="00882843" w:rsidRDefault="0074010C" w:rsidP="00A767A1">
            <w:pPr>
              <w:spacing w:after="0"/>
              <w:jc w:val="right"/>
              <w:rPr>
                <w:sz w:val="17"/>
                <w:szCs w:val="17"/>
              </w:rPr>
            </w:pPr>
            <w:r w:rsidRPr="00882843">
              <w:rPr>
                <w:sz w:val="17"/>
                <w:szCs w:val="17"/>
              </w:rPr>
              <w:t>$</w:t>
            </w:r>
            <w:r w:rsidR="007D5676" w:rsidRPr="00882843">
              <w:rPr>
                <w:sz w:val="17"/>
                <w:szCs w:val="17"/>
              </w:rPr>
              <w:t>9,009,390</w:t>
            </w:r>
          </w:p>
        </w:tc>
      </w:tr>
      <w:tr w:rsidR="0074010C" w:rsidRPr="00882843" w:rsidTr="00A767A1">
        <w:trPr>
          <w:trHeight w:val="20"/>
        </w:trPr>
        <w:tc>
          <w:tcPr>
            <w:tcW w:w="0" w:type="auto"/>
            <w:vMerge/>
            <w:tcBorders>
              <w:top w:val="nil"/>
              <w:left w:val="single" w:sz="8" w:space="0" w:color="000000"/>
              <w:bottom w:val="single" w:sz="8" w:space="0" w:color="000000"/>
              <w:right w:val="single" w:sz="8" w:space="0" w:color="000000"/>
            </w:tcBorders>
            <w:tcMar>
              <w:top w:w="29" w:type="dxa"/>
              <w:left w:w="43" w:type="dxa"/>
              <w:bottom w:w="29" w:type="dxa"/>
              <w:right w:w="43" w:type="dxa"/>
            </w:tcMar>
            <w:vAlign w:val="center"/>
            <w:hideMark/>
          </w:tcPr>
          <w:p w:rsidR="0074010C" w:rsidRPr="00882843" w:rsidRDefault="0074010C" w:rsidP="00A767A1">
            <w:pPr>
              <w:spacing w:after="0"/>
              <w:rPr>
                <w:rFonts w:cs="Arial"/>
                <w:b/>
                <w:bCs/>
                <w:sz w:val="17"/>
                <w:szCs w:val="17"/>
              </w:rPr>
            </w:pPr>
          </w:p>
        </w:tc>
        <w:tc>
          <w:tcPr>
            <w:tcW w:w="0" w:type="auto"/>
            <w:tcBorders>
              <w:top w:val="nil"/>
              <w:left w:val="nil"/>
              <w:bottom w:val="single" w:sz="8" w:space="0" w:color="000000"/>
              <w:right w:val="single" w:sz="8" w:space="0" w:color="000000"/>
            </w:tcBorders>
            <w:shd w:val="clear" w:color="auto" w:fill="FFFFFF"/>
            <w:tcMar>
              <w:top w:w="29" w:type="dxa"/>
              <w:left w:w="43" w:type="dxa"/>
              <w:bottom w:w="29" w:type="dxa"/>
              <w:right w:w="43" w:type="dxa"/>
            </w:tcMar>
            <w:vAlign w:val="bottom"/>
            <w:hideMark/>
          </w:tcPr>
          <w:p w:rsidR="0074010C" w:rsidRPr="00882843" w:rsidRDefault="0074010C" w:rsidP="00A767A1">
            <w:pPr>
              <w:spacing w:after="0"/>
              <w:rPr>
                <w:rFonts w:cs="Arial"/>
                <w:b/>
                <w:bCs/>
                <w:sz w:val="17"/>
                <w:szCs w:val="17"/>
              </w:rPr>
            </w:pPr>
            <w:r w:rsidRPr="00882843">
              <w:rPr>
                <w:rFonts w:cs="Arial"/>
                <w:b/>
                <w:bCs/>
                <w:sz w:val="17"/>
                <w:szCs w:val="17"/>
              </w:rPr>
              <w:t>Hi Estimate</w:t>
            </w:r>
          </w:p>
        </w:tc>
        <w:tc>
          <w:tcPr>
            <w:tcW w:w="0" w:type="auto"/>
            <w:tcBorders>
              <w:top w:val="nil"/>
              <w:left w:val="nil"/>
              <w:bottom w:val="single" w:sz="8" w:space="0" w:color="000000"/>
              <w:right w:val="single" w:sz="8" w:space="0" w:color="000000"/>
            </w:tcBorders>
            <w:tcMar>
              <w:top w:w="29" w:type="dxa"/>
              <w:left w:w="43" w:type="dxa"/>
              <w:bottom w:w="29" w:type="dxa"/>
              <w:right w:w="43" w:type="dxa"/>
            </w:tcMar>
            <w:vAlign w:val="bottom"/>
            <w:hideMark/>
          </w:tcPr>
          <w:p w:rsidR="0074010C" w:rsidRPr="00882843" w:rsidRDefault="0074010C" w:rsidP="00A767A1">
            <w:pPr>
              <w:spacing w:after="0"/>
              <w:rPr>
                <w:rFonts w:cs="Arial"/>
                <w:b/>
                <w:bCs/>
                <w:sz w:val="17"/>
                <w:szCs w:val="17"/>
              </w:rPr>
            </w:pPr>
          </w:p>
        </w:tc>
        <w:tc>
          <w:tcPr>
            <w:tcW w:w="0" w:type="auto"/>
            <w:tcBorders>
              <w:top w:val="nil"/>
              <w:left w:val="nil"/>
              <w:bottom w:val="single" w:sz="8" w:space="0" w:color="000000"/>
              <w:right w:val="single" w:sz="8" w:space="0" w:color="000000"/>
            </w:tcBorders>
            <w:tcMar>
              <w:top w:w="29" w:type="dxa"/>
              <w:left w:w="43" w:type="dxa"/>
              <w:bottom w:w="29" w:type="dxa"/>
              <w:right w:w="43" w:type="dxa"/>
            </w:tcMar>
            <w:vAlign w:val="bottom"/>
            <w:hideMark/>
          </w:tcPr>
          <w:p w:rsidR="0074010C" w:rsidRPr="00882843" w:rsidRDefault="0074010C" w:rsidP="00A767A1">
            <w:pPr>
              <w:spacing w:after="0"/>
              <w:jc w:val="right"/>
              <w:rPr>
                <w:sz w:val="17"/>
                <w:szCs w:val="17"/>
              </w:rPr>
            </w:pPr>
            <w:r w:rsidRPr="00882843">
              <w:rPr>
                <w:sz w:val="17"/>
                <w:szCs w:val="17"/>
              </w:rPr>
              <w:t>$</w:t>
            </w:r>
            <w:r w:rsidR="007D5676" w:rsidRPr="00882843">
              <w:rPr>
                <w:sz w:val="17"/>
                <w:szCs w:val="17"/>
              </w:rPr>
              <w:t>18,711,810</w:t>
            </w:r>
          </w:p>
        </w:tc>
      </w:tr>
    </w:tbl>
    <w:p w:rsidR="00472C47" w:rsidRPr="00E63358" w:rsidRDefault="00262C53" w:rsidP="00E63358">
      <w:pPr>
        <w:spacing w:after="0"/>
        <w:rPr>
          <w:sz w:val="16"/>
          <w:szCs w:val="16"/>
        </w:rPr>
      </w:pPr>
      <w:r w:rsidRPr="00E63358">
        <w:rPr>
          <w:sz w:val="16"/>
          <w:szCs w:val="16"/>
        </w:rPr>
        <w:t xml:space="preserve">*May be modified to include additional costs for specific data elements for which estimates have not been completed. </w:t>
      </w:r>
    </w:p>
    <w:sectPr w:rsidR="00472C47" w:rsidRPr="00E63358" w:rsidSect="006A2BD4">
      <w:type w:val="continuous"/>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06994A" w16cid:durableId="1F6EF1FC"/>
  <w16cid:commentId w16cid:paraId="177799DB" w16cid:durableId="1F6EF37F"/>
  <w16cid:commentId w16cid:paraId="46EDF5BD" w16cid:durableId="1F6F17E3"/>
  <w16cid:commentId w16cid:paraId="19F56F0A" w16cid:durableId="1F6EF5F8"/>
  <w16cid:commentId w16cid:paraId="095298C3" w16cid:durableId="1F6F22E7"/>
  <w16cid:commentId w16cid:paraId="391940E7" w16cid:durableId="1F6F2299"/>
  <w16cid:commentId w16cid:paraId="48706520" w16cid:durableId="1F6EF84C"/>
  <w16cid:commentId w16cid:paraId="482A67B1" w16cid:durableId="1F6EF93D"/>
  <w16cid:commentId w16cid:paraId="1AE1BB4F" w16cid:durableId="1F6EF9B2"/>
  <w16cid:commentId w16cid:paraId="37F243C9" w16cid:durableId="1F6EF12B"/>
  <w16cid:commentId w16cid:paraId="4585770B" w16cid:durableId="1F6F1BB4"/>
  <w16cid:commentId w16cid:paraId="45E76105" w16cid:durableId="1F6F1A22"/>
  <w16cid:commentId w16cid:paraId="2EB69814" w16cid:durableId="1F6F1AD2"/>
  <w16cid:commentId w16cid:paraId="7D260F34" w16cid:durableId="1F6F1C65"/>
  <w16cid:commentId w16cid:paraId="7F27DC1C" w16cid:durableId="1F6EF12C"/>
  <w16cid:commentId w16cid:paraId="11BADE48" w16cid:durableId="1F6F1DC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495A" w:rsidRDefault="0052495A" w:rsidP="001F25AE">
      <w:pPr>
        <w:spacing w:after="0" w:line="240" w:lineRule="auto"/>
      </w:pPr>
      <w:r>
        <w:separator/>
      </w:r>
    </w:p>
  </w:endnote>
  <w:endnote w:type="continuationSeparator" w:id="0">
    <w:p w:rsidR="0052495A" w:rsidRDefault="0052495A" w:rsidP="001F2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246685"/>
      <w:docPartObj>
        <w:docPartGallery w:val="Page Numbers (Bottom of Page)"/>
        <w:docPartUnique/>
      </w:docPartObj>
    </w:sdtPr>
    <w:sdtEndPr>
      <w:rPr>
        <w:color w:val="7F7F7F" w:themeColor="background1" w:themeShade="7F"/>
        <w:spacing w:val="60"/>
      </w:rPr>
    </w:sdtEndPr>
    <w:sdtContent>
      <w:p w:rsidR="00492B4F" w:rsidRDefault="00492B4F">
        <w:pPr>
          <w:pStyle w:val="Footer"/>
          <w:pBdr>
            <w:top w:val="single" w:sz="4" w:space="1" w:color="D9D9D9" w:themeColor="background1" w:themeShade="D9"/>
          </w:pBdr>
          <w:jc w:val="right"/>
        </w:pPr>
        <w:r>
          <w:rPr>
            <w:noProof/>
          </w:rPr>
          <w:fldChar w:fldCharType="begin"/>
        </w:r>
        <w:r>
          <w:rPr>
            <w:noProof/>
          </w:rPr>
          <w:instrText xml:space="preserve"> PAGE   \* MERGEFORMAT </w:instrText>
        </w:r>
        <w:r>
          <w:rPr>
            <w:noProof/>
          </w:rPr>
          <w:fldChar w:fldCharType="separate"/>
        </w:r>
        <w:r w:rsidR="00CD5BB7">
          <w:rPr>
            <w:noProof/>
          </w:rPr>
          <w:t>14</w:t>
        </w:r>
        <w:r>
          <w:rPr>
            <w:noProof/>
          </w:rPr>
          <w:fldChar w:fldCharType="end"/>
        </w:r>
        <w:r>
          <w:t xml:space="preserve"> | </w:t>
        </w:r>
        <w:r>
          <w:rPr>
            <w:color w:val="7F7F7F" w:themeColor="background1" w:themeShade="7F"/>
            <w:spacing w:val="60"/>
          </w:rPr>
          <w:t>Page</w:t>
        </w:r>
      </w:p>
    </w:sdtContent>
  </w:sdt>
  <w:p w:rsidR="00492B4F" w:rsidRDefault="00492B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495A" w:rsidRDefault="0052495A" w:rsidP="001F25AE">
      <w:pPr>
        <w:spacing w:after="0" w:line="240" w:lineRule="auto"/>
      </w:pPr>
      <w:r>
        <w:separator/>
      </w:r>
    </w:p>
  </w:footnote>
  <w:footnote w:type="continuationSeparator" w:id="0">
    <w:p w:rsidR="0052495A" w:rsidRDefault="0052495A" w:rsidP="001F25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B4F" w:rsidRDefault="0052495A">
    <w:pPr>
      <w:pStyle w:val="Header"/>
    </w:pPr>
    <w:sdt>
      <w:sdtPr>
        <w:id w:val="1058053234"/>
        <w:docPartObj>
          <w:docPartGallery w:val="Watermarks"/>
          <w:docPartUnique/>
        </w:docPartObj>
      </w:sdtPr>
      <w:sdtEndPr/>
      <w:sdtContent>
        <w:r>
          <w:rPr>
            <w:noProof/>
          </w:rPr>
          <w:pict w14:anchorId="5AA8F9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92B4F">
      <w:t>Version 1.7</w:t>
    </w:r>
    <w:r w:rsidR="00492B4F">
      <w:tab/>
      <w:t>DRAFT</w:t>
    </w:r>
    <w:r w:rsidR="00492B4F">
      <w:tab/>
      <w:t>November 14,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27C98"/>
    <w:multiLevelType w:val="hybridMultilevel"/>
    <w:tmpl w:val="429E25D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CE1DD9"/>
    <w:multiLevelType w:val="hybridMultilevel"/>
    <w:tmpl w:val="8D32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73C02"/>
    <w:multiLevelType w:val="hybridMultilevel"/>
    <w:tmpl w:val="7C5C76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80EAD"/>
    <w:multiLevelType w:val="hybridMultilevel"/>
    <w:tmpl w:val="4B0A1C1A"/>
    <w:lvl w:ilvl="0" w:tplc="98E4DB7A">
      <w:start w:val="1"/>
      <w:numFmt w:val="bullet"/>
      <w:lvlText w:val="•"/>
      <w:lvlJc w:val="left"/>
      <w:pPr>
        <w:tabs>
          <w:tab w:val="num" w:pos="720"/>
        </w:tabs>
        <w:ind w:left="720" w:hanging="360"/>
      </w:pPr>
      <w:rPr>
        <w:rFonts w:ascii="Arial" w:hAnsi="Arial" w:hint="default"/>
      </w:rPr>
    </w:lvl>
    <w:lvl w:ilvl="1" w:tplc="84868DD4">
      <w:start w:val="1"/>
      <w:numFmt w:val="bullet"/>
      <w:lvlText w:val="•"/>
      <w:lvlJc w:val="left"/>
      <w:pPr>
        <w:tabs>
          <w:tab w:val="num" w:pos="1440"/>
        </w:tabs>
        <w:ind w:left="1440" w:hanging="360"/>
      </w:pPr>
      <w:rPr>
        <w:rFonts w:ascii="Arial" w:hAnsi="Arial" w:hint="default"/>
      </w:rPr>
    </w:lvl>
    <w:lvl w:ilvl="2" w:tplc="96CA6E48" w:tentative="1">
      <w:start w:val="1"/>
      <w:numFmt w:val="bullet"/>
      <w:lvlText w:val="•"/>
      <w:lvlJc w:val="left"/>
      <w:pPr>
        <w:tabs>
          <w:tab w:val="num" w:pos="2160"/>
        </w:tabs>
        <w:ind w:left="2160" w:hanging="360"/>
      </w:pPr>
      <w:rPr>
        <w:rFonts w:ascii="Arial" w:hAnsi="Arial" w:hint="default"/>
      </w:rPr>
    </w:lvl>
    <w:lvl w:ilvl="3" w:tplc="460225AC" w:tentative="1">
      <w:start w:val="1"/>
      <w:numFmt w:val="bullet"/>
      <w:lvlText w:val="•"/>
      <w:lvlJc w:val="left"/>
      <w:pPr>
        <w:tabs>
          <w:tab w:val="num" w:pos="2880"/>
        </w:tabs>
        <w:ind w:left="2880" w:hanging="360"/>
      </w:pPr>
      <w:rPr>
        <w:rFonts w:ascii="Arial" w:hAnsi="Arial" w:hint="default"/>
      </w:rPr>
    </w:lvl>
    <w:lvl w:ilvl="4" w:tplc="9AC297BC" w:tentative="1">
      <w:start w:val="1"/>
      <w:numFmt w:val="bullet"/>
      <w:lvlText w:val="•"/>
      <w:lvlJc w:val="left"/>
      <w:pPr>
        <w:tabs>
          <w:tab w:val="num" w:pos="3600"/>
        </w:tabs>
        <w:ind w:left="3600" w:hanging="360"/>
      </w:pPr>
      <w:rPr>
        <w:rFonts w:ascii="Arial" w:hAnsi="Arial" w:hint="default"/>
      </w:rPr>
    </w:lvl>
    <w:lvl w:ilvl="5" w:tplc="72209E3E" w:tentative="1">
      <w:start w:val="1"/>
      <w:numFmt w:val="bullet"/>
      <w:lvlText w:val="•"/>
      <w:lvlJc w:val="left"/>
      <w:pPr>
        <w:tabs>
          <w:tab w:val="num" w:pos="4320"/>
        </w:tabs>
        <w:ind w:left="4320" w:hanging="360"/>
      </w:pPr>
      <w:rPr>
        <w:rFonts w:ascii="Arial" w:hAnsi="Arial" w:hint="default"/>
      </w:rPr>
    </w:lvl>
    <w:lvl w:ilvl="6" w:tplc="4EE2A256" w:tentative="1">
      <w:start w:val="1"/>
      <w:numFmt w:val="bullet"/>
      <w:lvlText w:val="•"/>
      <w:lvlJc w:val="left"/>
      <w:pPr>
        <w:tabs>
          <w:tab w:val="num" w:pos="5040"/>
        </w:tabs>
        <w:ind w:left="5040" w:hanging="360"/>
      </w:pPr>
      <w:rPr>
        <w:rFonts w:ascii="Arial" w:hAnsi="Arial" w:hint="default"/>
      </w:rPr>
    </w:lvl>
    <w:lvl w:ilvl="7" w:tplc="586C8880" w:tentative="1">
      <w:start w:val="1"/>
      <w:numFmt w:val="bullet"/>
      <w:lvlText w:val="•"/>
      <w:lvlJc w:val="left"/>
      <w:pPr>
        <w:tabs>
          <w:tab w:val="num" w:pos="5760"/>
        </w:tabs>
        <w:ind w:left="5760" w:hanging="360"/>
      </w:pPr>
      <w:rPr>
        <w:rFonts w:ascii="Arial" w:hAnsi="Arial" w:hint="default"/>
      </w:rPr>
    </w:lvl>
    <w:lvl w:ilvl="8" w:tplc="0D00055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9D55C65"/>
    <w:multiLevelType w:val="hybridMultilevel"/>
    <w:tmpl w:val="BDA8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FE7F0E"/>
    <w:multiLevelType w:val="hybridMultilevel"/>
    <w:tmpl w:val="FEC440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3F2553"/>
    <w:multiLevelType w:val="hybridMultilevel"/>
    <w:tmpl w:val="3F12252E"/>
    <w:lvl w:ilvl="0" w:tplc="04090015">
      <w:start w:val="1"/>
      <w:numFmt w:val="upp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0320490"/>
    <w:multiLevelType w:val="hybridMultilevel"/>
    <w:tmpl w:val="801C3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AA17C4"/>
    <w:multiLevelType w:val="hybridMultilevel"/>
    <w:tmpl w:val="D3D87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D95AB8"/>
    <w:multiLevelType w:val="hybridMultilevel"/>
    <w:tmpl w:val="332EFA22"/>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4927EC"/>
    <w:multiLevelType w:val="hybridMultilevel"/>
    <w:tmpl w:val="D55CD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2C157C"/>
    <w:multiLevelType w:val="hybridMultilevel"/>
    <w:tmpl w:val="7CA2C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9E713C"/>
    <w:multiLevelType w:val="hybridMultilevel"/>
    <w:tmpl w:val="C8A87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8D3ADA"/>
    <w:multiLevelType w:val="hybridMultilevel"/>
    <w:tmpl w:val="1328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7A0515"/>
    <w:multiLevelType w:val="hybridMultilevel"/>
    <w:tmpl w:val="A99695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355156"/>
    <w:multiLevelType w:val="hybridMultilevel"/>
    <w:tmpl w:val="4FCA6ECA"/>
    <w:lvl w:ilvl="0" w:tplc="CD8866CA">
      <w:start w:val="1"/>
      <w:numFmt w:val="bullet"/>
      <w:lvlText w:val="•"/>
      <w:lvlJc w:val="left"/>
      <w:pPr>
        <w:tabs>
          <w:tab w:val="num" w:pos="720"/>
        </w:tabs>
        <w:ind w:left="720" w:hanging="360"/>
      </w:pPr>
      <w:rPr>
        <w:rFonts w:ascii="Arial" w:hAnsi="Arial" w:hint="default"/>
      </w:rPr>
    </w:lvl>
    <w:lvl w:ilvl="1" w:tplc="CC3A60B2">
      <w:start w:val="1"/>
      <w:numFmt w:val="bullet"/>
      <w:lvlText w:val="•"/>
      <w:lvlJc w:val="left"/>
      <w:pPr>
        <w:tabs>
          <w:tab w:val="num" w:pos="1440"/>
        </w:tabs>
        <w:ind w:left="1440" w:hanging="360"/>
      </w:pPr>
      <w:rPr>
        <w:rFonts w:ascii="Arial" w:hAnsi="Arial" w:hint="default"/>
      </w:rPr>
    </w:lvl>
    <w:lvl w:ilvl="2" w:tplc="0C1AB6B0" w:tentative="1">
      <w:start w:val="1"/>
      <w:numFmt w:val="bullet"/>
      <w:lvlText w:val="•"/>
      <w:lvlJc w:val="left"/>
      <w:pPr>
        <w:tabs>
          <w:tab w:val="num" w:pos="2160"/>
        </w:tabs>
        <w:ind w:left="2160" w:hanging="360"/>
      </w:pPr>
      <w:rPr>
        <w:rFonts w:ascii="Arial" w:hAnsi="Arial" w:hint="default"/>
      </w:rPr>
    </w:lvl>
    <w:lvl w:ilvl="3" w:tplc="32927C62" w:tentative="1">
      <w:start w:val="1"/>
      <w:numFmt w:val="bullet"/>
      <w:lvlText w:val="•"/>
      <w:lvlJc w:val="left"/>
      <w:pPr>
        <w:tabs>
          <w:tab w:val="num" w:pos="2880"/>
        </w:tabs>
        <w:ind w:left="2880" w:hanging="360"/>
      </w:pPr>
      <w:rPr>
        <w:rFonts w:ascii="Arial" w:hAnsi="Arial" w:hint="default"/>
      </w:rPr>
    </w:lvl>
    <w:lvl w:ilvl="4" w:tplc="4C9C6072" w:tentative="1">
      <w:start w:val="1"/>
      <w:numFmt w:val="bullet"/>
      <w:lvlText w:val="•"/>
      <w:lvlJc w:val="left"/>
      <w:pPr>
        <w:tabs>
          <w:tab w:val="num" w:pos="3600"/>
        </w:tabs>
        <w:ind w:left="3600" w:hanging="360"/>
      </w:pPr>
      <w:rPr>
        <w:rFonts w:ascii="Arial" w:hAnsi="Arial" w:hint="default"/>
      </w:rPr>
    </w:lvl>
    <w:lvl w:ilvl="5" w:tplc="67442632" w:tentative="1">
      <w:start w:val="1"/>
      <w:numFmt w:val="bullet"/>
      <w:lvlText w:val="•"/>
      <w:lvlJc w:val="left"/>
      <w:pPr>
        <w:tabs>
          <w:tab w:val="num" w:pos="4320"/>
        </w:tabs>
        <w:ind w:left="4320" w:hanging="360"/>
      </w:pPr>
      <w:rPr>
        <w:rFonts w:ascii="Arial" w:hAnsi="Arial" w:hint="default"/>
      </w:rPr>
    </w:lvl>
    <w:lvl w:ilvl="6" w:tplc="C964AF36" w:tentative="1">
      <w:start w:val="1"/>
      <w:numFmt w:val="bullet"/>
      <w:lvlText w:val="•"/>
      <w:lvlJc w:val="left"/>
      <w:pPr>
        <w:tabs>
          <w:tab w:val="num" w:pos="5040"/>
        </w:tabs>
        <w:ind w:left="5040" w:hanging="360"/>
      </w:pPr>
      <w:rPr>
        <w:rFonts w:ascii="Arial" w:hAnsi="Arial" w:hint="default"/>
      </w:rPr>
    </w:lvl>
    <w:lvl w:ilvl="7" w:tplc="208ABB3C" w:tentative="1">
      <w:start w:val="1"/>
      <w:numFmt w:val="bullet"/>
      <w:lvlText w:val="•"/>
      <w:lvlJc w:val="left"/>
      <w:pPr>
        <w:tabs>
          <w:tab w:val="num" w:pos="5760"/>
        </w:tabs>
        <w:ind w:left="5760" w:hanging="360"/>
      </w:pPr>
      <w:rPr>
        <w:rFonts w:ascii="Arial" w:hAnsi="Arial" w:hint="default"/>
      </w:rPr>
    </w:lvl>
    <w:lvl w:ilvl="8" w:tplc="63B691B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92923C9"/>
    <w:multiLevelType w:val="hybridMultilevel"/>
    <w:tmpl w:val="9154E29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93B4180"/>
    <w:multiLevelType w:val="hybridMultilevel"/>
    <w:tmpl w:val="FF225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8D1018"/>
    <w:multiLevelType w:val="hybridMultilevel"/>
    <w:tmpl w:val="2B68B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8D1A73"/>
    <w:multiLevelType w:val="hybridMultilevel"/>
    <w:tmpl w:val="64E62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14330B"/>
    <w:multiLevelType w:val="hybridMultilevel"/>
    <w:tmpl w:val="1772E6DC"/>
    <w:lvl w:ilvl="0" w:tplc="707008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1D125C"/>
    <w:multiLevelType w:val="hybridMultilevel"/>
    <w:tmpl w:val="0B668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8070DD"/>
    <w:multiLevelType w:val="hybridMultilevel"/>
    <w:tmpl w:val="3CF02F5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AE25EF9"/>
    <w:multiLevelType w:val="hybridMultilevel"/>
    <w:tmpl w:val="8C865B5E"/>
    <w:lvl w:ilvl="0" w:tplc="4AD688B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D735120"/>
    <w:multiLevelType w:val="hybridMultilevel"/>
    <w:tmpl w:val="52AADD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780AA4"/>
    <w:multiLevelType w:val="hybridMultilevel"/>
    <w:tmpl w:val="AF527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3E00BE"/>
    <w:multiLevelType w:val="hybridMultilevel"/>
    <w:tmpl w:val="5E8A3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625881"/>
    <w:multiLevelType w:val="hybridMultilevel"/>
    <w:tmpl w:val="266A0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F974C2"/>
    <w:multiLevelType w:val="hybridMultilevel"/>
    <w:tmpl w:val="481E157E"/>
    <w:lvl w:ilvl="0" w:tplc="E736B9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FB71C5"/>
    <w:multiLevelType w:val="hybridMultilevel"/>
    <w:tmpl w:val="41ACD0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7100E60"/>
    <w:multiLevelType w:val="hybridMultilevel"/>
    <w:tmpl w:val="5846004C"/>
    <w:lvl w:ilvl="0" w:tplc="8D407B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A9A6647"/>
    <w:multiLevelType w:val="hybridMultilevel"/>
    <w:tmpl w:val="FE8258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E37019A"/>
    <w:multiLevelType w:val="hybridMultilevel"/>
    <w:tmpl w:val="2E98CFA6"/>
    <w:lvl w:ilvl="0" w:tplc="04090015">
      <w:start w:val="1"/>
      <w:numFmt w:val="upp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49950DC"/>
    <w:multiLevelType w:val="hybridMultilevel"/>
    <w:tmpl w:val="BEC29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335BF3"/>
    <w:multiLevelType w:val="hybridMultilevel"/>
    <w:tmpl w:val="90F46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8"/>
  </w:num>
  <w:num w:numId="3">
    <w:abstractNumId w:val="13"/>
  </w:num>
  <w:num w:numId="4">
    <w:abstractNumId w:val="24"/>
  </w:num>
  <w:num w:numId="5">
    <w:abstractNumId w:val="4"/>
  </w:num>
  <w:num w:numId="6">
    <w:abstractNumId w:val="2"/>
  </w:num>
  <w:num w:numId="7">
    <w:abstractNumId w:val="11"/>
  </w:num>
  <w:num w:numId="8">
    <w:abstractNumId w:val="14"/>
  </w:num>
  <w:num w:numId="9">
    <w:abstractNumId w:val="28"/>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6"/>
  </w:num>
  <w:num w:numId="13">
    <w:abstractNumId w:val="2"/>
    <w:lvlOverride w:ilvl="0">
      <w:lvl w:ilvl="0" w:tplc="0409000F">
        <w:start w:val="1"/>
        <w:numFmt w:val="decimal"/>
        <w:lvlText w:val="%1."/>
        <w:lvlJc w:val="left"/>
        <w:pPr>
          <w:ind w:left="720" w:hanging="360"/>
        </w:pPr>
        <w:rPr>
          <w:rFonts w:hint="default"/>
        </w:rPr>
      </w:lvl>
    </w:lvlOverride>
    <w:lvlOverride w:ilvl="1">
      <w:lvl w:ilvl="1" w:tplc="04090003" w:tentative="1">
        <w:start w:val="1"/>
        <w:numFmt w:val="lowerLetter"/>
        <w:lvlText w:val="%2."/>
        <w:lvlJc w:val="left"/>
        <w:pPr>
          <w:ind w:left="1440" w:hanging="360"/>
        </w:pPr>
      </w:lvl>
    </w:lvlOverride>
    <w:lvlOverride w:ilvl="2">
      <w:lvl w:ilvl="2" w:tplc="04090005" w:tentative="1">
        <w:start w:val="1"/>
        <w:numFmt w:val="lowerRoman"/>
        <w:lvlText w:val="%3."/>
        <w:lvlJc w:val="right"/>
        <w:pPr>
          <w:ind w:left="2160" w:hanging="180"/>
        </w:pPr>
      </w:lvl>
    </w:lvlOverride>
    <w:lvlOverride w:ilvl="3">
      <w:lvl w:ilvl="3" w:tplc="04090001" w:tentative="1">
        <w:start w:val="1"/>
        <w:numFmt w:val="decimal"/>
        <w:lvlText w:val="%4."/>
        <w:lvlJc w:val="left"/>
        <w:pPr>
          <w:ind w:left="2880" w:hanging="360"/>
        </w:pPr>
      </w:lvl>
    </w:lvlOverride>
    <w:lvlOverride w:ilvl="4">
      <w:lvl w:ilvl="4" w:tplc="04090003" w:tentative="1">
        <w:start w:val="1"/>
        <w:numFmt w:val="lowerLetter"/>
        <w:lvlText w:val="%5."/>
        <w:lvlJc w:val="left"/>
        <w:pPr>
          <w:ind w:left="3600" w:hanging="360"/>
        </w:pPr>
      </w:lvl>
    </w:lvlOverride>
    <w:lvlOverride w:ilvl="5">
      <w:lvl w:ilvl="5" w:tplc="04090005" w:tentative="1">
        <w:start w:val="1"/>
        <w:numFmt w:val="lowerRoman"/>
        <w:lvlText w:val="%6."/>
        <w:lvlJc w:val="right"/>
        <w:pPr>
          <w:ind w:left="4320" w:hanging="180"/>
        </w:pPr>
      </w:lvl>
    </w:lvlOverride>
    <w:lvlOverride w:ilvl="6">
      <w:lvl w:ilvl="6" w:tplc="04090001" w:tentative="1">
        <w:start w:val="1"/>
        <w:numFmt w:val="decimal"/>
        <w:lvlText w:val="%7."/>
        <w:lvlJc w:val="left"/>
        <w:pPr>
          <w:ind w:left="5040" w:hanging="360"/>
        </w:pPr>
      </w:lvl>
    </w:lvlOverride>
    <w:lvlOverride w:ilvl="7">
      <w:lvl w:ilvl="7" w:tplc="04090003" w:tentative="1">
        <w:start w:val="1"/>
        <w:numFmt w:val="lowerLetter"/>
        <w:lvlText w:val="%8."/>
        <w:lvlJc w:val="left"/>
        <w:pPr>
          <w:ind w:left="5760" w:hanging="360"/>
        </w:pPr>
      </w:lvl>
    </w:lvlOverride>
    <w:lvlOverride w:ilvl="8">
      <w:lvl w:ilvl="8" w:tplc="04090005" w:tentative="1">
        <w:start w:val="1"/>
        <w:numFmt w:val="lowerRoman"/>
        <w:lvlText w:val="%9."/>
        <w:lvlJc w:val="right"/>
        <w:pPr>
          <w:ind w:left="6480" w:hanging="180"/>
        </w:pPr>
      </w:lvl>
    </w:lvlOverride>
  </w:num>
  <w:num w:numId="14">
    <w:abstractNumId w:val="20"/>
  </w:num>
  <w:num w:numId="15">
    <w:abstractNumId w:val="26"/>
  </w:num>
  <w:num w:numId="16">
    <w:abstractNumId w:val="22"/>
  </w:num>
  <w:num w:numId="17">
    <w:abstractNumId w:val="5"/>
  </w:num>
  <w:num w:numId="18">
    <w:abstractNumId w:val="25"/>
  </w:num>
  <w:num w:numId="19">
    <w:abstractNumId w:val="1"/>
  </w:num>
  <w:num w:numId="20">
    <w:abstractNumId w:val="17"/>
  </w:num>
  <w:num w:numId="21">
    <w:abstractNumId w:val="18"/>
  </w:num>
  <w:num w:numId="22">
    <w:abstractNumId w:val="10"/>
  </w:num>
  <w:num w:numId="23">
    <w:abstractNumId w:val="12"/>
  </w:num>
  <w:num w:numId="24">
    <w:abstractNumId w:val="0"/>
  </w:num>
  <w:num w:numId="25">
    <w:abstractNumId w:val="9"/>
  </w:num>
  <w:num w:numId="26">
    <w:abstractNumId w:val="33"/>
  </w:num>
  <w:num w:numId="27">
    <w:abstractNumId w:val="31"/>
  </w:num>
  <w:num w:numId="28">
    <w:abstractNumId w:val="7"/>
  </w:num>
  <w:num w:numId="29">
    <w:abstractNumId w:val="30"/>
  </w:num>
  <w:num w:numId="30">
    <w:abstractNumId w:val="23"/>
  </w:num>
  <w:num w:numId="31">
    <w:abstractNumId w:val="34"/>
  </w:num>
  <w:num w:numId="32">
    <w:abstractNumId w:val="6"/>
  </w:num>
  <w:num w:numId="33">
    <w:abstractNumId w:val="32"/>
  </w:num>
  <w:num w:numId="34">
    <w:abstractNumId w:val="15"/>
  </w:num>
  <w:num w:numId="35">
    <w:abstractNumId w:val="3"/>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trackRevision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096"/>
    <w:rsid w:val="0000675C"/>
    <w:rsid w:val="0002681F"/>
    <w:rsid w:val="00035AE4"/>
    <w:rsid w:val="00051AFD"/>
    <w:rsid w:val="00055750"/>
    <w:rsid w:val="00057CB7"/>
    <w:rsid w:val="000628CC"/>
    <w:rsid w:val="0006724A"/>
    <w:rsid w:val="0007051B"/>
    <w:rsid w:val="00074DB3"/>
    <w:rsid w:val="000867A6"/>
    <w:rsid w:val="00092504"/>
    <w:rsid w:val="000973E7"/>
    <w:rsid w:val="000A4F9E"/>
    <w:rsid w:val="000B1C12"/>
    <w:rsid w:val="000C5239"/>
    <w:rsid w:val="000D7132"/>
    <w:rsid w:val="000E1E8D"/>
    <w:rsid w:val="000E4813"/>
    <w:rsid w:val="00101402"/>
    <w:rsid w:val="00141CE1"/>
    <w:rsid w:val="00154E63"/>
    <w:rsid w:val="001576B1"/>
    <w:rsid w:val="00171881"/>
    <w:rsid w:val="00172740"/>
    <w:rsid w:val="0017685B"/>
    <w:rsid w:val="0018055D"/>
    <w:rsid w:val="00180ADA"/>
    <w:rsid w:val="00180D5D"/>
    <w:rsid w:val="00186EDB"/>
    <w:rsid w:val="0019347A"/>
    <w:rsid w:val="001B00C9"/>
    <w:rsid w:val="001C442B"/>
    <w:rsid w:val="001D454F"/>
    <w:rsid w:val="001E33C9"/>
    <w:rsid w:val="001F24C6"/>
    <w:rsid w:val="001F25AE"/>
    <w:rsid w:val="001F39FF"/>
    <w:rsid w:val="001F7E31"/>
    <w:rsid w:val="0021382E"/>
    <w:rsid w:val="00213E87"/>
    <w:rsid w:val="00216DF3"/>
    <w:rsid w:val="00216E17"/>
    <w:rsid w:val="00223817"/>
    <w:rsid w:val="00223E2A"/>
    <w:rsid w:val="0023677B"/>
    <w:rsid w:val="002454FB"/>
    <w:rsid w:val="00254799"/>
    <w:rsid w:val="00257DB8"/>
    <w:rsid w:val="00262C53"/>
    <w:rsid w:val="00280E1F"/>
    <w:rsid w:val="00293FA8"/>
    <w:rsid w:val="002943A6"/>
    <w:rsid w:val="00294BE2"/>
    <w:rsid w:val="002A3E52"/>
    <w:rsid w:val="002A3F30"/>
    <w:rsid w:val="002A57B5"/>
    <w:rsid w:val="002B372E"/>
    <w:rsid w:val="002B4601"/>
    <w:rsid w:val="002C14DA"/>
    <w:rsid w:val="002C60B1"/>
    <w:rsid w:val="002D4DE6"/>
    <w:rsid w:val="002D73CC"/>
    <w:rsid w:val="002E4875"/>
    <w:rsid w:val="002F0B4A"/>
    <w:rsid w:val="002F2AAB"/>
    <w:rsid w:val="002F2FC9"/>
    <w:rsid w:val="002F511F"/>
    <w:rsid w:val="00303AAE"/>
    <w:rsid w:val="00307055"/>
    <w:rsid w:val="00307B93"/>
    <w:rsid w:val="00310775"/>
    <w:rsid w:val="00323582"/>
    <w:rsid w:val="00324D7D"/>
    <w:rsid w:val="003309DB"/>
    <w:rsid w:val="003344B9"/>
    <w:rsid w:val="00334C5A"/>
    <w:rsid w:val="00341412"/>
    <w:rsid w:val="00350E96"/>
    <w:rsid w:val="0035578D"/>
    <w:rsid w:val="00365230"/>
    <w:rsid w:val="003A1217"/>
    <w:rsid w:val="003A1944"/>
    <w:rsid w:val="003A2243"/>
    <w:rsid w:val="003A5BC3"/>
    <w:rsid w:val="003B26F9"/>
    <w:rsid w:val="003B7041"/>
    <w:rsid w:val="003D710D"/>
    <w:rsid w:val="003E5A11"/>
    <w:rsid w:val="003E65C4"/>
    <w:rsid w:val="003F74E3"/>
    <w:rsid w:val="0040067C"/>
    <w:rsid w:val="00407B4C"/>
    <w:rsid w:val="0041633D"/>
    <w:rsid w:val="0042348E"/>
    <w:rsid w:val="00424368"/>
    <w:rsid w:val="00440881"/>
    <w:rsid w:val="004421BD"/>
    <w:rsid w:val="00447332"/>
    <w:rsid w:val="004516BF"/>
    <w:rsid w:val="004609C0"/>
    <w:rsid w:val="00467820"/>
    <w:rsid w:val="004701E8"/>
    <w:rsid w:val="00472C47"/>
    <w:rsid w:val="004750B7"/>
    <w:rsid w:val="00477B4E"/>
    <w:rsid w:val="00480DAA"/>
    <w:rsid w:val="00492B4F"/>
    <w:rsid w:val="00494F11"/>
    <w:rsid w:val="004A06CC"/>
    <w:rsid w:val="004A141A"/>
    <w:rsid w:val="004C143F"/>
    <w:rsid w:val="004C32C7"/>
    <w:rsid w:val="004C5006"/>
    <w:rsid w:val="004D4196"/>
    <w:rsid w:val="004D6044"/>
    <w:rsid w:val="004D7284"/>
    <w:rsid w:val="004E3250"/>
    <w:rsid w:val="004F1000"/>
    <w:rsid w:val="00514F51"/>
    <w:rsid w:val="00515897"/>
    <w:rsid w:val="005177B6"/>
    <w:rsid w:val="0052495A"/>
    <w:rsid w:val="0052592F"/>
    <w:rsid w:val="00531391"/>
    <w:rsid w:val="0053408C"/>
    <w:rsid w:val="00542D32"/>
    <w:rsid w:val="00554853"/>
    <w:rsid w:val="00555728"/>
    <w:rsid w:val="0055721E"/>
    <w:rsid w:val="00561B2C"/>
    <w:rsid w:val="005629C0"/>
    <w:rsid w:val="00570157"/>
    <w:rsid w:val="00574E6D"/>
    <w:rsid w:val="00590096"/>
    <w:rsid w:val="0059736A"/>
    <w:rsid w:val="005A07E7"/>
    <w:rsid w:val="005B0A9A"/>
    <w:rsid w:val="005B1FD0"/>
    <w:rsid w:val="005C15C0"/>
    <w:rsid w:val="005D1AE4"/>
    <w:rsid w:val="005D4A06"/>
    <w:rsid w:val="005D57E0"/>
    <w:rsid w:val="005D6614"/>
    <w:rsid w:val="005E688F"/>
    <w:rsid w:val="005E73FB"/>
    <w:rsid w:val="005F189B"/>
    <w:rsid w:val="005F5977"/>
    <w:rsid w:val="00602A74"/>
    <w:rsid w:val="00602D2B"/>
    <w:rsid w:val="006141C0"/>
    <w:rsid w:val="00614D59"/>
    <w:rsid w:val="0062570C"/>
    <w:rsid w:val="00635DFA"/>
    <w:rsid w:val="00650D32"/>
    <w:rsid w:val="00651CE9"/>
    <w:rsid w:val="00663EF9"/>
    <w:rsid w:val="0066545B"/>
    <w:rsid w:val="006672BB"/>
    <w:rsid w:val="00667B8E"/>
    <w:rsid w:val="00670BD9"/>
    <w:rsid w:val="00672B2E"/>
    <w:rsid w:val="00673E6C"/>
    <w:rsid w:val="0067481B"/>
    <w:rsid w:val="00676083"/>
    <w:rsid w:val="00685C11"/>
    <w:rsid w:val="006A1E7F"/>
    <w:rsid w:val="006A2BD4"/>
    <w:rsid w:val="006A7873"/>
    <w:rsid w:val="006B13B3"/>
    <w:rsid w:val="006B4E10"/>
    <w:rsid w:val="006C588E"/>
    <w:rsid w:val="006C7B20"/>
    <w:rsid w:val="006D0849"/>
    <w:rsid w:val="006E3ED1"/>
    <w:rsid w:val="006E5A9B"/>
    <w:rsid w:val="006F44C2"/>
    <w:rsid w:val="00700F41"/>
    <w:rsid w:val="00705CAC"/>
    <w:rsid w:val="007076CC"/>
    <w:rsid w:val="00711066"/>
    <w:rsid w:val="00717B0C"/>
    <w:rsid w:val="00723D95"/>
    <w:rsid w:val="00723FB2"/>
    <w:rsid w:val="007243FD"/>
    <w:rsid w:val="00732046"/>
    <w:rsid w:val="0074010C"/>
    <w:rsid w:val="007429F8"/>
    <w:rsid w:val="00743F0F"/>
    <w:rsid w:val="00756D72"/>
    <w:rsid w:val="00764931"/>
    <w:rsid w:val="00770691"/>
    <w:rsid w:val="007810BB"/>
    <w:rsid w:val="00785C06"/>
    <w:rsid w:val="00794829"/>
    <w:rsid w:val="00795137"/>
    <w:rsid w:val="007A5C1A"/>
    <w:rsid w:val="007C2268"/>
    <w:rsid w:val="007D418C"/>
    <w:rsid w:val="007D5676"/>
    <w:rsid w:val="007F0353"/>
    <w:rsid w:val="007F7EE1"/>
    <w:rsid w:val="008469DE"/>
    <w:rsid w:val="008604F9"/>
    <w:rsid w:val="00860FD0"/>
    <w:rsid w:val="008623B6"/>
    <w:rsid w:val="008624C9"/>
    <w:rsid w:val="0086531B"/>
    <w:rsid w:val="00877087"/>
    <w:rsid w:val="00880B40"/>
    <w:rsid w:val="00882843"/>
    <w:rsid w:val="0088484E"/>
    <w:rsid w:val="008922C1"/>
    <w:rsid w:val="008937AE"/>
    <w:rsid w:val="008A56D4"/>
    <w:rsid w:val="008B0669"/>
    <w:rsid w:val="008B757B"/>
    <w:rsid w:val="008C7558"/>
    <w:rsid w:val="008F5D10"/>
    <w:rsid w:val="008F7164"/>
    <w:rsid w:val="00931E42"/>
    <w:rsid w:val="009321D5"/>
    <w:rsid w:val="00935734"/>
    <w:rsid w:val="00936E38"/>
    <w:rsid w:val="00954186"/>
    <w:rsid w:val="0095741D"/>
    <w:rsid w:val="0096441D"/>
    <w:rsid w:val="00967BF4"/>
    <w:rsid w:val="00977A4E"/>
    <w:rsid w:val="00983D61"/>
    <w:rsid w:val="0099602C"/>
    <w:rsid w:val="009A02F3"/>
    <w:rsid w:val="009A2E82"/>
    <w:rsid w:val="009B6E0A"/>
    <w:rsid w:val="009B7F5E"/>
    <w:rsid w:val="009C5903"/>
    <w:rsid w:val="009D3ED7"/>
    <w:rsid w:val="009D4F6D"/>
    <w:rsid w:val="009D5E0E"/>
    <w:rsid w:val="009E2899"/>
    <w:rsid w:val="009E6454"/>
    <w:rsid w:val="009E70FC"/>
    <w:rsid w:val="009F5F70"/>
    <w:rsid w:val="00A00474"/>
    <w:rsid w:val="00A028C8"/>
    <w:rsid w:val="00A07B4D"/>
    <w:rsid w:val="00A20112"/>
    <w:rsid w:val="00A21EA3"/>
    <w:rsid w:val="00A406E5"/>
    <w:rsid w:val="00A43024"/>
    <w:rsid w:val="00A523F3"/>
    <w:rsid w:val="00A73F8A"/>
    <w:rsid w:val="00A750F9"/>
    <w:rsid w:val="00A767A1"/>
    <w:rsid w:val="00A82E2D"/>
    <w:rsid w:val="00A90A2C"/>
    <w:rsid w:val="00A942CE"/>
    <w:rsid w:val="00AB368F"/>
    <w:rsid w:val="00AC17B2"/>
    <w:rsid w:val="00AC2614"/>
    <w:rsid w:val="00AE43B9"/>
    <w:rsid w:val="00AF28DB"/>
    <w:rsid w:val="00AF48DA"/>
    <w:rsid w:val="00AF61A2"/>
    <w:rsid w:val="00B054B5"/>
    <w:rsid w:val="00B22315"/>
    <w:rsid w:val="00B32123"/>
    <w:rsid w:val="00B335AF"/>
    <w:rsid w:val="00B34F00"/>
    <w:rsid w:val="00B44FB7"/>
    <w:rsid w:val="00B541D0"/>
    <w:rsid w:val="00B70367"/>
    <w:rsid w:val="00B73672"/>
    <w:rsid w:val="00B76D77"/>
    <w:rsid w:val="00B83055"/>
    <w:rsid w:val="00B83150"/>
    <w:rsid w:val="00B87C27"/>
    <w:rsid w:val="00B963A4"/>
    <w:rsid w:val="00B96708"/>
    <w:rsid w:val="00BD2B9B"/>
    <w:rsid w:val="00BE100E"/>
    <w:rsid w:val="00BE42A9"/>
    <w:rsid w:val="00BE616B"/>
    <w:rsid w:val="00BF3C3D"/>
    <w:rsid w:val="00BF7151"/>
    <w:rsid w:val="00C0039A"/>
    <w:rsid w:val="00C009DB"/>
    <w:rsid w:val="00C012F9"/>
    <w:rsid w:val="00C02089"/>
    <w:rsid w:val="00C140FD"/>
    <w:rsid w:val="00C14B45"/>
    <w:rsid w:val="00C20C1F"/>
    <w:rsid w:val="00C25257"/>
    <w:rsid w:val="00C30781"/>
    <w:rsid w:val="00C31C8E"/>
    <w:rsid w:val="00C3435A"/>
    <w:rsid w:val="00C3759E"/>
    <w:rsid w:val="00C578A2"/>
    <w:rsid w:val="00C66B72"/>
    <w:rsid w:val="00C84D80"/>
    <w:rsid w:val="00C93CF8"/>
    <w:rsid w:val="00C97528"/>
    <w:rsid w:val="00CC7656"/>
    <w:rsid w:val="00CD083F"/>
    <w:rsid w:val="00CD5BB7"/>
    <w:rsid w:val="00CF6556"/>
    <w:rsid w:val="00CF7A4A"/>
    <w:rsid w:val="00D22EAA"/>
    <w:rsid w:val="00D231C6"/>
    <w:rsid w:val="00D32DBE"/>
    <w:rsid w:val="00D35A91"/>
    <w:rsid w:val="00D40DAC"/>
    <w:rsid w:val="00D432A6"/>
    <w:rsid w:val="00D43E75"/>
    <w:rsid w:val="00D50DBB"/>
    <w:rsid w:val="00D55EEF"/>
    <w:rsid w:val="00D570F1"/>
    <w:rsid w:val="00D57C69"/>
    <w:rsid w:val="00D62491"/>
    <w:rsid w:val="00D6758F"/>
    <w:rsid w:val="00D84E9A"/>
    <w:rsid w:val="00D90DE4"/>
    <w:rsid w:val="00DB302F"/>
    <w:rsid w:val="00DC73D7"/>
    <w:rsid w:val="00DD0307"/>
    <w:rsid w:val="00DD4972"/>
    <w:rsid w:val="00DD61CA"/>
    <w:rsid w:val="00DE3DCC"/>
    <w:rsid w:val="00DF0930"/>
    <w:rsid w:val="00E021CE"/>
    <w:rsid w:val="00E0353A"/>
    <w:rsid w:val="00E07CAE"/>
    <w:rsid w:val="00E3200B"/>
    <w:rsid w:val="00E4139D"/>
    <w:rsid w:val="00E52040"/>
    <w:rsid w:val="00E5211C"/>
    <w:rsid w:val="00E53656"/>
    <w:rsid w:val="00E57CDF"/>
    <w:rsid w:val="00E6215F"/>
    <w:rsid w:val="00E63358"/>
    <w:rsid w:val="00E6544E"/>
    <w:rsid w:val="00E760C3"/>
    <w:rsid w:val="00E9011E"/>
    <w:rsid w:val="00EB061C"/>
    <w:rsid w:val="00EB0962"/>
    <w:rsid w:val="00EB398A"/>
    <w:rsid w:val="00EB634C"/>
    <w:rsid w:val="00EC6E59"/>
    <w:rsid w:val="00EE15E1"/>
    <w:rsid w:val="00EE5962"/>
    <w:rsid w:val="00EF1F55"/>
    <w:rsid w:val="00EF75C5"/>
    <w:rsid w:val="00F01165"/>
    <w:rsid w:val="00F02C4D"/>
    <w:rsid w:val="00F065AF"/>
    <w:rsid w:val="00F154C2"/>
    <w:rsid w:val="00F24738"/>
    <w:rsid w:val="00F34E48"/>
    <w:rsid w:val="00F47941"/>
    <w:rsid w:val="00F61F90"/>
    <w:rsid w:val="00F67EC4"/>
    <w:rsid w:val="00F703D3"/>
    <w:rsid w:val="00F778E2"/>
    <w:rsid w:val="00F80030"/>
    <w:rsid w:val="00F81721"/>
    <w:rsid w:val="00F923F1"/>
    <w:rsid w:val="00F924C7"/>
    <w:rsid w:val="00FA0F60"/>
    <w:rsid w:val="00FC3A7D"/>
    <w:rsid w:val="00FC41E9"/>
    <w:rsid w:val="00FF4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E75303B"/>
  <w15:docId w15:val="{13821323-4139-47C3-A4EA-488A46288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D95"/>
  </w:style>
  <w:style w:type="paragraph" w:styleId="Heading1">
    <w:name w:val="heading 1"/>
    <w:basedOn w:val="Normal"/>
    <w:next w:val="Normal"/>
    <w:link w:val="Heading1Char"/>
    <w:uiPriority w:val="9"/>
    <w:qFormat/>
    <w:rsid w:val="002D73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D73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F716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132"/>
    <w:pPr>
      <w:ind w:left="720"/>
      <w:contextualSpacing/>
    </w:pPr>
  </w:style>
  <w:style w:type="paragraph" w:styleId="BalloonText">
    <w:name w:val="Balloon Text"/>
    <w:basedOn w:val="Normal"/>
    <w:link w:val="BalloonTextChar"/>
    <w:uiPriority w:val="99"/>
    <w:semiHidden/>
    <w:unhideWhenUsed/>
    <w:rsid w:val="00F924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4C7"/>
    <w:rPr>
      <w:rFonts w:ascii="Segoe UI" w:hAnsi="Segoe UI" w:cs="Segoe UI"/>
      <w:sz w:val="18"/>
      <w:szCs w:val="18"/>
    </w:rPr>
  </w:style>
  <w:style w:type="character" w:customStyle="1" w:styleId="Heading1Char">
    <w:name w:val="Heading 1 Char"/>
    <w:basedOn w:val="DefaultParagraphFont"/>
    <w:link w:val="Heading1"/>
    <w:uiPriority w:val="9"/>
    <w:rsid w:val="002D73C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D73CC"/>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1F25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5AE"/>
  </w:style>
  <w:style w:type="paragraph" w:styleId="Footer">
    <w:name w:val="footer"/>
    <w:basedOn w:val="Normal"/>
    <w:link w:val="FooterChar"/>
    <w:uiPriority w:val="99"/>
    <w:unhideWhenUsed/>
    <w:rsid w:val="001F25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5AE"/>
  </w:style>
  <w:style w:type="paragraph" w:styleId="Caption">
    <w:name w:val="caption"/>
    <w:basedOn w:val="Normal"/>
    <w:next w:val="Normal"/>
    <w:uiPriority w:val="35"/>
    <w:unhideWhenUsed/>
    <w:qFormat/>
    <w:rsid w:val="00180D5D"/>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06724A"/>
    <w:rPr>
      <w:sz w:val="16"/>
      <w:szCs w:val="16"/>
    </w:rPr>
  </w:style>
  <w:style w:type="paragraph" w:styleId="CommentText">
    <w:name w:val="annotation text"/>
    <w:basedOn w:val="Normal"/>
    <w:link w:val="CommentTextChar"/>
    <w:uiPriority w:val="99"/>
    <w:semiHidden/>
    <w:unhideWhenUsed/>
    <w:rsid w:val="0006724A"/>
    <w:pPr>
      <w:spacing w:line="240" w:lineRule="auto"/>
    </w:pPr>
    <w:rPr>
      <w:sz w:val="20"/>
      <w:szCs w:val="20"/>
    </w:rPr>
  </w:style>
  <w:style w:type="character" w:customStyle="1" w:styleId="CommentTextChar">
    <w:name w:val="Comment Text Char"/>
    <w:basedOn w:val="DefaultParagraphFont"/>
    <w:link w:val="CommentText"/>
    <w:uiPriority w:val="99"/>
    <w:semiHidden/>
    <w:rsid w:val="0006724A"/>
    <w:rPr>
      <w:sz w:val="20"/>
      <w:szCs w:val="20"/>
    </w:rPr>
  </w:style>
  <w:style w:type="paragraph" w:styleId="CommentSubject">
    <w:name w:val="annotation subject"/>
    <w:basedOn w:val="CommentText"/>
    <w:next w:val="CommentText"/>
    <w:link w:val="CommentSubjectChar"/>
    <w:uiPriority w:val="99"/>
    <w:semiHidden/>
    <w:unhideWhenUsed/>
    <w:rsid w:val="0006724A"/>
    <w:rPr>
      <w:b/>
      <w:bCs/>
    </w:rPr>
  </w:style>
  <w:style w:type="character" w:customStyle="1" w:styleId="CommentSubjectChar">
    <w:name w:val="Comment Subject Char"/>
    <w:basedOn w:val="CommentTextChar"/>
    <w:link w:val="CommentSubject"/>
    <w:uiPriority w:val="99"/>
    <w:semiHidden/>
    <w:rsid w:val="0006724A"/>
    <w:rPr>
      <w:b/>
      <w:bCs/>
      <w:sz w:val="20"/>
      <w:szCs w:val="20"/>
    </w:rPr>
  </w:style>
  <w:style w:type="character" w:customStyle="1" w:styleId="Heading3Char">
    <w:name w:val="Heading 3 Char"/>
    <w:basedOn w:val="DefaultParagraphFont"/>
    <w:link w:val="Heading3"/>
    <w:uiPriority w:val="9"/>
    <w:rsid w:val="008F7164"/>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BF3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41CE1"/>
    <w:pPr>
      <w:spacing w:after="0" w:line="240" w:lineRule="auto"/>
    </w:pPr>
  </w:style>
  <w:style w:type="paragraph" w:styleId="DocumentMap">
    <w:name w:val="Document Map"/>
    <w:basedOn w:val="Normal"/>
    <w:link w:val="DocumentMapChar"/>
    <w:uiPriority w:val="99"/>
    <w:semiHidden/>
    <w:unhideWhenUsed/>
    <w:rsid w:val="009F5F7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F5F70"/>
    <w:rPr>
      <w:rFonts w:ascii="Tahoma" w:hAnsi="Tahoma" w:cs="Tahoma"/>
      <w:sz w:val="16"/>
      <w:szCs w:val="16"/>
    </w:rPr>
  </w:style>
  <w:style w:type="paragraph" w:styleId="NormalWeb">
    <w:name w:val="Normal (Web)"/>
    <w:basedOn w:val="Normal"/>
    <w:uiPriority w:val="99"/>
    <w:semiHidden/>
    <w:unhideWhenUsed/>
    <w:rsid w:val="00B32123"/>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500860">
      <w:bodyDiv w:val="1"/>
      <w:marLeft w:val="0"/>
      <w:marRight w:val="0"/>
      <w:marTop w:val="0"/>
      <w:marBottom w:val="0"/>
      <w:divBdr>
        <w:top w:val="none" w:sz="0" w:space="0" w:color="auto"/>
        <w:left w:val="none" w:sz="0" w:space="0" w:color="auto"/>
        <w:bottom w:val="none" w:sz="0" w:space="0" w:color="auto"/>
        <w:right w:val="none" w:sz="0" w:space="0" w:color="auto"/>
      </w:divBdr>
    </w:div>
    <w:div w:id="732239469">
      <w:bodyDiv w:val="1"/>
      <w:marLeft w:val="0"/>
      <w:marRight w:val="0"/>
      <w:marTop w:val="0"/>
      <w:marBottom w:val="0"/>
      <w:divBdr>
        <w:top w:val="none" w:sz="0" w:space="0" w:color="auto"/>
        <w:left w:val="none" w:sz="0" w:space="0" w:color="auto"/>
        <w:bottom w:val="none" w:sz="0" w:space="0" w:color="auto"/>
        <w:right w:val="none" w:sz="0" w:space="0" w:color="auto"/>
      </w:divBdr>
    </w:div>
    <w:div w:id="927806281">
      <w:bodyDiv w:val="1"/>
      <w:marLeft w:val="0"/>
      <w:marRight w:val="0"/>
      <w:marTop w:val="0"/>
      <w:marBottom w:val="0"/>
      <w:divBdr>
        <w:top w:val="none" w:sz="0" w:space="0" w:color="auto"/>
        <w:left w:val="none" w:sz="0" w:space="0" w:color="auto"/>
        <w:bottom w:val="none" w:sz="0" w:space="0" w:color="auto"/>
        <w:right w:val="none" w:sz="0" w:space="0" w:color="auto"/>
      </w:divBdr>
    </w:div>
    <w:div w:id="1218586767">
      <w:bodyDiv w:val="1"/>
      <w:marLeft w:val="0"/>
      <w:marRight w:val="0"/>
      <w:marTop w:val="0"/>
      <w:marBottom w:val="0"/>
      <w:divBdr>
        <w:top w:val="none" w:sz="0" w:space="0" w:color="auto"/>
        <w:left w:val="none" w:sz="0" w:space="0" w:color="auto"/>
        <w:bottom w:val="none" w:sz="0" w:space="0" w:color="auto"/>
        <w:right w:val="none" w:sz="0" w:space="0" w:color="auto"/>
      </w:divBdr>
    </w:div>
    <w:div w:id="1506088580">
      <w:bodyDiv w:val="1"/>
      <w:marLeft w:val="0"/>
      <w:marRight w:val="0"/>
      <w:marTop w:val="0"/>
      <w:marBottom w:val="0"/>
      <w:divBdr>
        <w:top w:val="none" w:sz="0" w:space="0" w:color="auto"/>
        <w:left w:val="none" w:sz="0" w:space="0" w:color="auto"/>
        <w:bottom w:val="none" w:sz="0" w:space="0" w:color="auto"/>
        <w:right w:val="none" w:sz="0" w:space="0" w:color="auto"/>
      </w:divBdr>
    </w:div>
    <w:div w:id="1556428787">
      <w:bodyDiv w:val="1"/>
      <w:marLeft w:val="0"/>
      <w:marRight w:val="0"/>
      <w:marTop w:val="0"/>
      <w:marBottom w:val="0"/>
      <w:divBdr>
        <w:top w:val="none" w:sz="0" w:space="0" w:color="auto"/>
        <w:left w:val="none" w:sz="0" w:space="0" w:color="auto"/>
        <w:bottom w:val="none" w:sz="0" w:space="0" w:color="auto"/>
        <w:right w:val="none" w:sz="0" w:space="0" w:color="auto"/>
      </w:divBdr>
    </w:div>
    <w:div w:id="1618100801">
      <w:bodyDiv w:val="1"/>
      <w:marLeft w:val="0"/>
      <w:marRight w:val="0"/>
      <w:marTop w:val="0"/>
      <w:marBottom w:val="0"/>
      <w:divBdr>
        <w:top w:val="none" w:sz="0" w:space="0" w:color="auto"/>
        <w:left w:val="none" w:sz="0" w:space="0" w:color="auto"/>
        <w:bottom w:val="none" w:sz="0" w:space="0" w:color="auto"/>
        <w:right w:val="none" w:sz="0" w:space="0" w:color="auto"/>
      </w:divBdr>
    </w:div>
    <w:div w:id="1730574647">
      <w:bodyDiv w:val="1"/>
      <w:marLeft w:val="0"/>
      <w:marRight w:val="0"/>
      <w:marTop w:val="0"/>
      <w:marBottom w:val="0"/>
      <w:divBdr>
        <w:top w:val="none" w:sz="0" w:space="0" w:color="auto"/>
        <w:left w:val="none" w:sz="0" w:space="0" w:color="auto"/>
        <w:bottom w:val="none" w:sz="0" w:space="0" w:color="auto"/>
        <w:right w:val="none" w:sz="0" w:space="0" w:color="auto"/>
      </w:divBdr>
    </w:div>
    <w:div w:id="1763603769">
      <w:bodyDiv w:val="1"/>
      <w:marLeft w:val="0"/>
      <w:marRight w:val="0"/>
      <w:marTop w:val="0"/>
      <w:marBottom w:val="0"/>
      <w:divBdr>
        <w:top w:val="none" w:sz="0" w:space="0" w:color="auto"/>
        <w:left w:val="none" w:sz="0" w:space="0" w:color="auto"/>
        <w:bottom w:val="none" w:sz="0" w:space="0" w:color="auto"/>
        <w:right w:val="none" w:sz="0" w:space="0" w:color="auto"/>
      </w:divBdr>
    </w:div>
    <w:div w:id="1874029647">
      <w:bodyDiv w:val="1"/>
      <w:marLeft w:val="0"/>
      <w:marRight w:val="0"/>
      <w:marTop w:val="0"/>
      <w:marBottom w:val="0"/>
      <w:divBdr>
        <w:top w:val="none" w:sz="0" w:space="0" w:color="auto"/>
        <w:left w:val="none" w:sz="0" w:space="0" w:color="auto"/>
        <w:bottom w:val="none" w:sz="0" w:space="0" w:color="auto"/>
        <w:right w:val="none" w:sz="0" w:space="0" w:color="auto"/>
      </w:divBdr>
    </w:div>
    <w:div w:id="189885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7CEBD-F6D2-402B-A910-119EF9A60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5684</Words>
  <Characters>32402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38010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SMITH Cy * CIO</dc:creator>
  <cp:lastModifiedBy>SMITH Cy * CIO</cp:lastModifiedBy>
  <cp:revision>6</cp:revision>
  <cp:lastPrinted>2018-11-05T23:43:00Z</cp:lastPrinted>
  <dcterms:created xsi:type="dcterms:W3CDTF">2018-11-07T17:24:00Z</dcterms:created>
  <dcterms:modified xsi:type="dcterms:W3CDTF">2018-11-07T19:36:00Z</dcterms:modified>
</cp:coreProperties>
</file>