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72E49" w14:textId="77777777" w:rsidR="007A3B47" w:rsidRDefault="007A3B47" w:rsidP="002A4433">
      <w:pPr>
        <w:spacing w:after="80"/>
        <w:rPr>
          <w:b/>
          <w:sz w:val="28"/>
          <w:szCs w:val="28"/>
        </w:rPr>
      </w:pPr>
      <w:proofErr w:type="gramStart"/>
      <w:r>
        <w:rPr>
          <w:b/>
          <w:sz w:val="28"/>
          <w:szCs w:val="28"/>
        </w:rPr>
        <w:t>navigatOR</w:t>
      </w:r>
      <w:proofErr w:type="gramEnd"/>
      <w:r>
        <w:rPr>
          <w:b/>
          <w:sz w:val="28"/>
          <w:szCs w:val="28"/>
        </w:rPr>
        <w:t xml:space="preserve"> PROGRAM IMPLEMENTATION 2021-2023</w:t>
      </w:r>
      <w:r w:rsidR="008550CB">
        <w:rPr>
          <w:b/>
          <w:sz w:val="28"/>
          <w:szCs w:val="28"/>
        </w:rPr>
        <w:t xml:space="preserve">         </w:t>
      </w:r>
      <w:r w:rsidR="008550CB" w:rsidRPr="008550CB">
        <w:rPr>
          <w:sz w:val="24"/>
          <w:szCs w:val="24"/>
        </w:rPr>
        <w:t>(yellow highlight is stakeholder value</w:t>
      </w:r>
      <w:r w:rsidR="008550CB">
        <w:rPr>
          <w:sz w:val="24"/>
          <w:szCs w:val="24"/>
        </w:rPr>
        <w:t>)</w:t>
      </w:r>
    </w:p>
    <w:p w14:paraId="567C7772" w14:textId="77777777" w:rsidR="007A3B47" w:rsidRPr="002B5F36" w:rsidRDefault="002B5F36" w:rsidP="002A4433">
      <w:pPr>
        <w:spacing w:after="80"/>
        <w:rPr>
          <w:b/>
          <w:sz w:val="26"/>
          <w:szCs w:val="26"/>
        </w:rPr>
      </w:pPr>
      <w:r w:rsidRPr="002B5F36">
        <w:rPr>
          <w:b/>
          <w:sz w:val="26"/>
          <w:szCs w:val="26"/>
        </w:rPr>
        <w:t>Staffing</w:t>
      </w:r>
      <w:r w:rsidR="007D12B0">
        <w:rPr>
          <w:b/>
          <w:sz w:val="26"/>
          <w:szCs w:val="26"/>
        </w:rPr>
        <w:tab/>
      </w:r>
      <w:r w:rsidR="007D12B0">
        <w:rPr>
          <w:b/>
          <w:sz w:val="26"/>
          <w:szCs w:val="26"/>
        </w:rPr>
        <w:tab/>
      </w:r>
      <w:r w:rsidR="007D12B0">
        <w:rPr>
          <w:b/>
          <w:sz w:val="26"/>
          <w:szCs w:val="26"/>
        </w:rPr>
        <w:tab/>
      </w:r>
      <w:r w:rsidR="007D12B0">
        <w:rPr>
          <w:b/>
          <w:sz w:val="26"/>
          <w:szCs w:val="26"/>
        </w:rPr>
        <w:tab/>
      </w:r>
      <w:r w:rsidR="007D12B0">
        <w:rPr>
          <w:b/>
          <w:sz w:val="26"/>
          <w:szCs w:val="26"/>
        </w:rPr>
        <w:tab/>
      </w:r>
      <w:r w:rsidR="007D12B0">
        <w:rPr>
          <w:b/>
          <w:sz w:val="26"/>
          <w:szCs w:val="26"/>
        </w:rPr>
        <w:tab/>
      </w:r>
      <w:r w:rsidR="007D12B0">
        <w:rPr>
          <w:b/>
          <w:sz w:val="26"/>
          <w:szCs w:val="26"/>
        </w:rPr>
        <w:tab/>
        <w:t xml:space="preserve">   </w:t>
      </w:r>
      <w:r w:rsidR="007D12B0" w:rsidRPr="00230CC3">
        <w:rPr>
          <w:b/>
          <w:color w:val="2E74B5" w:themeColor="accent1" w:themeShade="BF"/>
          <w:sz w:val="24"/>
          <w:szCs w:val="24"/>
        </w:rPr>
        <w:t>Total biennial investment $780,379</w:t>
      </w:r>
      <w:r w:rsidR="007D12B0">
        <w:rPr>
          <w:b/>
          <w:sz w:val="26"/>
          <w:szCs w:val="26"/>
        </w:rPr>
        <w:t xml:space="preserve">  </w:t>
      </w:r>
    </w:p>
    <w:p w14:paraId="54E0D55D" w14:textId="11D4FABA" w:rsidR="009D1005" w:rsidRPr="002B5F36" w:rsidRDefault="2621E240" w:rsidP="002A4433">
      <w:pPr>
        <w:tabs>
          <w:tab w:val="left" w:pos="7230"/>
        </w:tabs>
        <w:spacing w:after="80"/>
      </w:pPr>
      <w:r>
        <w:t>GIS Analyst – ISS6 (permanent FTE)</w:t>
      </w:r>
      <w:r w:rsidR="002B5F36">
        <w:tab/>
      </w:r>
      <w:r>
        <w:t>$246,196</w:t>
      </w:r>
      <w:r w:rsidR="002B5F36">
        <w:tab/>
      </w:r>
      <w:r w:rsidR="002B5F36">
        <w:tab/>
      </w:r>
      <w:r>
        <w:t>Program Manager – OPA4 (permanent FTE)</w:t>
      </w:r>
      <w:r w:rsidR="002B5F36">
        <w:tab/>
      </w:r>
      <w:r>
        <w:t>$285,013</w:t>
      </w:r>
      <w:r w:rsidR="002B5F36">
        <w:br/>
      </w:r>
      <w:r>
        <w:t>navigatOR Project Manager (Limited duration)</w:t>
      </w:r>
      <w:r w:rsidR="002B5F36">
        <w:tab/>
      </w:r>
      <w:r>
        <w:t>$249,170</w:t>
      </w:r>
    </w:p>
    <w:p w14:paraId="5F4916BC" w14:textId="2EEF20C8" w:rsidR="2621E240" w:rsidRDefault="2D0A2F9F" w:rsidP="2D0A2F9F">
      <w:pPr>
        <w:spacing w:after="80"/>
        <w:rPr>
          <w:b/>
          <w:bCs/>
        </w:rPr>
      </w:pPr>
      <w:r w:rsidRPr="2D0A2F9F">
        <w:rPr>
          <w:b/>
          <w:bCs/>
          <w:sz w:val="26"/>
          <w:szCs w:val="26"/>
        </w:rPr>
        <w:t xml:space="preserve">GEOHub Portal Development – Phase </w:t>
      </w:r>
      <w:proofErr w:type="gramStart"/>
      <w:r w:rsidRPr="2D0A2F9F">
        <w:rPr>
          <w:b/>
          <w:bCs/>
          <w:sz w:val="26"/>
          <w:szCs w:val="26"/>
        </w:rPr>
        <w:t>1</w:t>
      </w:r>
      <w:proofErr w:type="gramEnd"/>
      <w:r w:rsidRPr="2D0A2F9F">
        <w:rPr>
          <w:b/>
          <w:bCs/>
          <w:sz w:val="26"/>
          <w:szCs w:val="26"/>
        </w:rPr>
        <w:t xml:space="preserve">                             </w:t>
      </w:r>
      <w:r w:rsidRPr="2D0A2F9F">
        <w:rPr>
          <w:b/>
          <w:bCs/>
          <w:color w:val="2E74B5" w:themeColor="accent1" w:themeShade="BF"/>
          <w:sz w:val="24"/>
          <w:szCs w:val="24"/>
        </w:rPr>
        <w:t>Total biennial investment $1,355,000</w:t>
      </w:r>
    </w:p>
    <w:p w14:paraId="4793047E" w14:textId="7CD9FD48" w:rsidR="0090110D" w:rsidRPr="00FD71F0" w:rsidRDefault="2621E240" w:rsidP="2621E240">
      <w:pPr>
        <w:spacing w:after="80"/>
        <w:rPr>
          <w:b/>
          <w:bCs/>
          <w:color w:val="2E74B5" w:themeColor="accent1" w:themeShade="BF"/>
          <w:sz w:val="24"/>
          <w:szCs w:val="24"/>
        </w:rPr>
      </w:pPr>
      <w:r>
        <w:t xml:space="preserve">Resources for the 2021-23 biennium to develop a secure geospatial content sharing, editing, and discovery platform.  Assumes GEOHub prototype development in 2019-21.   </w:t>
      </w:r>
    </w:p>
    <w:p w14:paraId="509DA0A5" w14:textId="77777777" w:rsidR="0090110D" w:rsidRPr="00660C85" w:rsidRDefault="00DC20C7" w:rsidP="002A4433">
      <w:pPr>
        <w:spacing w:after="80"/>
        <w:rPr>
          <w:b/>
          <w:sz w:val="24"/>
          <w:szCs w:val="24"/>
          <w:u w:val="single"/>
        </w:rPr>
      </w:pPr>
      <w:r w:rsidRPr="00660C85">
        <w:rPr>
          <w:b/>
          <w:sz w:val="24"/>
          <w:szCs w:val="24"/>
          <w:u w:val="single"/>
        </w:rPr>
        <w:t>Capability Delivery</w:t>
      </w:r>
    </w:p>
    <w:p w14:paraId="44EDF199" w14:textId="77777777" w:rsidR="0090110D" w:rsidRPr="002B5F36" w:rsidRDefault="0090110D" w:rsidP="002A4433">
      <w:pPr>
        <w:spacing w:after="80"/>
        <w:rPr>
          <w:b/>
        </w:rPr>
      </w:pPr>
      <w:r w:rsidRPr="002B5F36">
        <w:rPr>
          <w:b/>
        </w:rPr>
        <w:t>1. Provide a secure method of access</w:t>
      </w:r>
    </w:p>
    <w:p w14:paraId="662A2BEC" w14:textId="77777777" w:rsidR="00F02CC8" w:rsidRPr="00FD71F0" w:rsidRDefault="00F02CC8" w:rsidP="00B441C9">
      <w:pPr>
        <w:spacing w:after="80"/>
        <w:rPr>
          <w:i/>
        </w:rPr>
      </w:pPr>
      <w:r>
        <w:rPr>
          <w:i/>
        </w:rPr>
        <w:t>Description</w:t>
      </w:r>
      <w:r w:rsidR="002C5B9C">
        <w:rPr>
          <w:i/>
        </w:rPr>
        <w:t>:</w:t>
      </w:r>
      <w:r w:rsidR="00FD71F0">
        <w:rPr>
          <w:i/>
        </w:rPr>
        <w:t xml:space="preserve"> </w:t>
      </w:r>
      <w:r w:rsidRPr="00F02CC8">
        <w:t xml:space="preserve">Public Bodies will be able to </w:t>
      </w:r>
      <w:r w:rsidRPr="00FD2188">
        <w:rPr>
          <w:highlight w:val="yellow"/>
        </w:rPr>
        <w:t>access the Framework data through secure authentication</w:t>
      </w:r>
      <w:r w:rsidRPr="00F02CC8">
        <w:t>.</w:t>
      </w:r>
      <w:r>
        <w:t xml:space="preserve">  Users will have different levels of access depending on what capabilities they require (data upload, data editors, data viewers, </w:t>
      </w:r>
      <w:proofErr w:type="spellStart"/>
      <w:r>
        <w:t>etc</w:t>
      </w:r>
      <w:proofErr w:type="spellEnd"/>
      <w:r>
        <w:t>).</w:t>
      </w:r>
    </w:p>
    <w:p w14:paraId="1493154E" w14:textId="77777777" w:rsidR="002C5B9C" w:rsidRPr="00FD71F0" w:rsidRDefault="00F02CC8" w:rsidP="00B441C9">
      <w:pPr>
        <w:spacing w:after="80"/>
        <w:rPr>
          <w:i/>
        </w:rPr>
      </w:pPr>
      <w:r>
        <w:rPr>
          <w:i/>
        </w:rPr>
        <w:t>Tools Required:</w:t>
      </w:r>
      <w:r w:rsidR="00FD71F0">
        <w:rPr>
          <w:i/>
        </w:rPr>
        <w:t xml:space="preserve">  </w:t>
      </w:r>
      <w:r w:rsidR="002C5B9C">
        <w:t>ArcGIS Online, ArcGIS Online Named Users</w:t>
      </w:r>
    </w:p>
    <w:p w14:paraId="3EE7767B" w14:textId="77777777" w:rsidR="00B85F75" w:rsidRDefault="00B85F75" w:rsidP="00A36CD3">
      <w:pPr>
        <w:spacing w:after="0"/>
        <w:rPr>
          <w:i/>
        </w:rPr>
      </w:pPr>
      <w:r>
        <w:rPr>
          <w:i/>
        </w:rPr>
        <w:t>Costs:</w:t>
      </w:r>
    </w:p>
    <w:tbl>
      <w:tblPr>
        <w:tblStyle w:val="TableGrid"/>
        <w:tblW w:w="0" w:type="auto"/>
        <w:tblLook w:val="04A0" w:firstRow="1" w:lastRow="0" w:firstColumn="1" w:lastColumn="0" w:noHBand="0" w:noVBand="1"/>
      </w:tblPr>
      <w:tblGrid>
        <w:gridCol w:w="3256"/>
        <w:gridCol w:w="2835"/>
        <w:gridCol w:w="3259"/>
      </w:tblGrid>
      <w:tr w:rsidR="0054401E" w14:paraId="5EA18FA5" w14:textId="77777777" w:rsidTr="2621E240">
        <w:tc>
          <w:tcPr>
            <w:tcW w:w="3256" w:type="dxa"/>
          </w:tcPr>
          <w:p w14:paraId="659D63B5" w14:textId="77777777" w:rsidR="0054401E" w:rsidRDefault="0054401E" w:rsidP="00A36CD3">
            <w:r>
              <w:t>Product Description</w:t>
            </w:r>
          </w:p>
        </w:tc>
        <w:tc>
          <w:tcPr>
            <w:tcW w:w="2835" w:type="dxa"/>
          </w:tcPr>
          <w:p w14:paraId="4AF3DA01" w14:textId="77777777" w:rsidR="0054401E" w:rsidRDefault="0054401E" w:rsidP="00A36CD3">
            <w:r>
              <w:t>Quantity</w:t>
            </w:r>
          </w:p>
        </w:tc>
        <w:tc>
          <w:tcPr>
            <w:tcW w:w="3259" w:type="dxa"/>
          </w:tcPr>
          <w:p w14:paraId="1E00DDE6" w14:textId="098A728A" w:rsidR="0054401E" w:rsidRDefault="2621E240" w:rsidP="0054401E">
            <w:r>
              <w:t>Biennial Cost</w:t>
            </w:r>
          </w:p>
        </w:tc>
      </w:tr>
      <w:tr w:rsidR="0054401E" w14:paraId="189FDA57" w14:textId="77777777" w:rsidTr="2621E240">
        <w:tc>
          <w:tcPr>
            <w:tcW w:w="3256" w:type="dxa"/>
          </w:tcPr>
          <w:p w14:paraId="2D2F1DCF" w14:textId="77777777" w:rsidR="0054401E" w:rsidRDefault="0054401E" w:rsidP="00A36CD3">
            <w:r>
              <w:t xml:space="preserve">ArcGIS </w:t>
            </w:r>
            <w:r w:rsidR="00DC20C7">
              <w:t xml:space="preserve">Online </w:t>
            </w:r>
            <w:r w:rsidR="00486430">
              <w:t>Named Users</w:t>
            </w:r>
          </w:p>
        </w:tc>
        <w:tc>
          <w:tcPr>
            <w:tcW w:w="2835" w:type="dxa"/>
          </w:tcPr>
          <w:p w14:paraId="52EEED92" w14:textId="77777777" w:rsidR="0054401E" w:rsidRDefault="00486430" w:rsidP="00A36CD3">
            <w:r>
              <w:t>3</w:t>
            </w:r>
            <w:r w:rsidR="00C52CD4">
              <w:t>,</w:t>
            </w:r>
            <w:r w:rsidR="0054401E">
              <w:t>000</w:t>
            </w:r>
          </w:p>
        </w:tc>
        <w:tc>
          <w:tcPr>
            <w:tcW w:w="3259" w:type="dxa"/>
          </w:tcPr>
          <w:p w14:paraId="3F197219" w14:textId="04F6C307" w:rsidR="0054401E" w:rsidRPr="00B6482B" w:rsidRDefault="2621E240" w:rsidP="2621E240">
            <w:pPr>
              <w:rPr>
                <w:b/>
                <w:bCs/>
              </w:rPr>
            </w:pPr>
            <w:r w:rsidRPr="2621E240">
              <w:rPr>
                <w:b/>
                <w:bCs/>
              </w:rPr>
              <w:t>$550,000</w:t>
            </w:r>
          </w:p>
        </w:tc>
      </w:tr>
    </w:tbl>
    <w:p w14:paraId="77A479EB" w14:textId="77777777" w:rsidR="0090110D" w:rsidRPr="002B5F36" w:rsidRDefault="0090110D" w:rsidP="002A4433">
      <w:pPr>
        <w:spacing w:before="120" w:after="80"/>
        <w:rPr>
          <w:b/>
        </w:rPr>
      </w:pPr>
      <w:r w:rsidRPr="002B5F36">
        <w:rPr>
          <w:b/>
        </w:rPr>
        <w:t>2. Offer the GIS tools needed for the development of Framework data</w:t>
      </w:r>
    </w:p>
    <w:p w14:paraId="6BD14007" w14:textId="77777777" w:rsidR="00FB7106" w:rsidRPr="00FD71F0" w:rsidRDefault="009A42F8" w:rsidP="00B441C9">
      <w:pPr>
        <w:spacing w:after="80"/>
        <w:rPr>
          <w:i/>
        </w:rPr>
      </w:pPr>
      <w:r>
        <w:rPr>
          <w:i/>
        </w:rPr>
        <w:t>Description:</w:t>
      </w:r>
      <w:r w:rsidR="00FD71F0">
        <w:rPr>
          <w:i/>
        </w:rPr>
        <w:t xml:space="preserve">  </w:t>
      </w:r>
      <w:r w:rsidR="00FB7106" w:rsidRPr="00FB7106">
        <w:t xml:space="preserve">An </w:t>
      </w:r>
      <w:r w:rsidR="00FB7106" w:rsidRPr="00FD2188">
        <w:rPr>
          <w:highlight w:val="yellow"/>
        </w:rPr>
        <w:t>ArcGIS Online editing</w:t>
      </w:r>
      <w:r w:rsidR="00FB7106" w:rsidRPr="00FB7106">
        <w:t xml:space="preserve"> </w:t>
      </w:r>
      <w:proofErr w:type="spellStart"/>
      <w:r w:rsidR="00FB7106" w:rsidRPr="00FB7106">
        <w:t>WebMap</w:t>
      </w:r>
      <w:proofErr w:type="spellEnd"/>
      <w:r w:rsidR="00FB7106" w:rsidRPr="00FB7106">
        <w:t xml:space="preserve"> </w:t>
      </w:r>
      <w:proofErr w:type="gramStart"/>
      <w:r w:rsidR="00FB7106" w:rsidRPr="00FB7106">
        <w:t>can be config</w:t>
      </w:r>
      <w:r w:rsidR="00DC20C7">
        <w:t>ured</w:t>
      </w:r>
      <w:proofErr w:type="gramEnd"/>
      <w:r w:rsidR="00DC20C7">
        <w:t xml:space="preserve"> for Data Providers that lack </w:t>
      </w:r>
      <w:r w:rsidR="00FB7106" w:rsidRPr="00FB7106">
        <w:t>GIS software</w:t>
      </w:r>
      <w:r w:rsidR="00DC20C7">
        <w:t>,</w:t>
      </w:r>
      <w:r w:rsidR="00FB7106" w:rsidRPr="00FB7106">
        <w:t xml:space="preserve"> </w:t>
      </w:r>
      <w:r w:rsidR="00FB7106" w:rsidRPr="00FD2188">
        <w:rPr>
          <w:highlight w:val="yellow"/>
        </w:rPr>
        <w:t>to develop Framework data in a standardized format within the GEOHub site directly</w:t>
      </w:r>
      <w:r w:rsidR="00FB7106" w:rsidRPr="00FB7106">
        <w:t>.</w:t>
      </w:r>
    </w:p>
    <w:p w14:paraId="5607FF60" w14:textId="77777777" w:rsidR="00FB7106" w:rsidRPr="00FD71F0" w:rsidRDefault="009A42F8" w:rsidP="00D35F5F">
      <w:pPr>
        <w:spacing w:after="60"/>
        <w:rPr>
          <w:i/>
        </w:rPr>
      </w:pPr>
      <w:r>
        <w:rPr>
          <w:i/>
        </w:rPr>
        <w:t>Tools Required:</w:t>
      </w:r>
      <w:r w:rsidR="00FD71F0">
        <w:rPr>
          <w:i/>
        </w:rPr>
        <w:t xml:space="preserve">  </w:t>
      </w:r>
      <w:r w:rsidR="00FB7106">
        <w:t>ArcGIS Online, ArcGIS Online Named Users, ArcGIS Pro</w:t>
      </w:r>
    </w:p>
    <w:p w14:paraId="618F080D" w14:textId="77777777" w:rsidR="00486430" w:rsidRPr="00FD71F0" w:rsidRDefault="00561E49" w:rsidP="002A4433">
      <w:pPr>
        <w:spacing w:after="80"/>
        <w:rPr>
          <w:i/>
        </w:rPr>
      </w:pPr>
      <w:r>
        <w:rPr>
          <w:i/>
        </w:rPr>
        <w:t>Costs</w:t>
      </w:r>
      <w:r w:rsidR="004E224E">
        <w:rPr>
          <w:i/>
        </w:rPr>
        <w:t>:</w:t>
      </w:r>
      <w:r w:rsidR="00FD71F0">
        <w:rPr>
          <w:i/>
        </w:rPr>
        <w:t xml:space="preserve">  </w:t>
      </w:r>
      <w:r w:rsidR="00486430" w:rsidRPr="00C41F92">
        <w:rPr>
          <w:b/>
        </w:rPr>
        <w:t>No additional cost implication</w:t>
      </w:r>
    </w:p>
    <w:p w14:paraId="05460649" w14:textId="77777777" w:rsidR="0090110D" w:rsidRPr="002B5F36" w:rsidRDefault="0090110D" w:rsidP="002A4433">
      <w:pPr>
        <w:spacing w:after="80"/>
        <w:rPr>
          <w:b/>
        </w:rPr>
      </w:pPr>
      <w:r w:rsidRPr="002B5F36">
        <w:rPr>
          <w:b/>
        </w:rPr>
        <w:t>3. Provide the ability to upload Framework data</w:t>
      </w:r>
    </w:p>
    <w:p w14:paraId="6EAA90BA" w14:textId="77777777" w:rsidR="00FB7106" w:rsidRPr="00B441C9" w:rsidRDefault="009A42F8" w:rsidP="00B441C9">
      <w:pPr>
        <w:spacing w:after="80"/>
        <w:rPr>
          <w:i/>
        </w:rPr>
      </w:pPr>
      <w:r>
        <w:rPr>
          <w:i/>
        </w:rPr>
        <w:t>Description:</w:t>
      </w:r>
      <w:r w:rsidR="00B441C9">
        <w:rPr>
          <w:i/>
        </w:rPr>
        <w:t xml:space="preserve">  </w:t>
      </w:r>
      <w:r w:rsidRPr="009A42F8">
        <w:t xml:space="preserve">The Data Upload </w:t>
      </w:r>
      <w:r w:rsidR="00107B04">
        <w:t xml:space="preserve">integration method involves </w:t>
      </w:r>
      <w:r w:rsidR="00107B04" w:rsidRPr="00FD2188">
        <w:rPr>
          <w:highlight w:val="yellow"/>
        </w:rPr>
        <w:t xml:space="preserve">manual uploading of data to </w:t>
      </w:r>
      <w:r w:rsidRPr="00FD2188">
        <w:rPr>
          <w:highlight w:val="yellow"/>
        </w:rPr>
        <w:t>GEOHub</w:t>
      </w:r>
      <w:r w:rsidRPr="009A42F8">
        <w:t xml:space="preserve">. </w:t>
      </w:r>
      <w:proofErr w:type="gramStart"/>
      <w:r w:rsidRPr="009A42F8">
        <w:t>It supports a predefined set of data formats and would involve adhering to standards defined for uploading spatial data content.</w:t>
      </w:r>
      <w:proofErr w:type="gramEnd"/>
    </w:p>
    <w:p w14:paraId="68FDF5BD" w14:textId="77777777" w:rsidR="009A42F8" w:rsidRPr="00B441C9" w:rsidRDefault="009A42F8" w:rsidP="00D35F5F">
      <w:pPr>
        <w:spacing w:after="60"/>
        <w:rPr>
          <w:i/>
        </w:rPr>
      </w:pPr>
      <w:r>
        <w:rPr>
          <w:i/>
        </w:rPr>
        <w:t>Tools Required:</w:t>
      </w:r>
      <w:r w:rsidR="00B441C9">
        <w:rPr>
          <w:i/>
        </w:rPr>
        <w:t xml:space="preserve">  </w:t>
      </w:r>
      <w:r>
        <w:t>ArcGIS Online, ArcGIS Online Named Users,</w:t>
      </w:r>
      <w:r w:rsidR="0085226D">
        <w:t xml:space="preserve"> </w:t>
      </w:r>
      <w:r w:rsidR="0085270A">
        <w:t xml:space="preserve">ArcGIS Pro, </w:t>
      </w:r>
      <w:r w:rsidR="003C75D8">
        <w:t>ArcGIS Online Credits</w:t>
      </w:r>
    </w:p>
    <w:p w14:paraId="0A2A2FB4" w14:textId="77777777" w:rsidR="0059607D" w:rsidRDefault="0059607D" w:rsidP="00A36CD3">
      <w:pPr>
        <w:spacing w:after="0"/>
        <w:rPr>
          <w:i/>
        </w:rPr>
      </w:pPr>
      <w:r>
        <w:rPr>
          <w:i/>
        </w:rPr>
        <w:t>Costs:</w:t>
      </w:r>
    </w:p>
    <w:tbl>
      <w:tblPr>
        <w:tblStyle w:val="TableGrid"/>
        <w:tblW w:w="0" w:type="auto"/>
        <w:tblLook w:val="04A0" w:firstRow="1" w:lastRow="0" w:firstColumn="1" w:lastColumn="0" w:noHBand="0" w:noVBand="1"/>
      </w:tblPr>
      <w:tblGrid>
        <w:gridCol w:w="3116"/>
        <w:gridCol w:w="3117"/>
        <w:gridCol w:w="3117"/>
      </w:tblGrid>
      <w:tr w:rsidR="0059607D" w14:paraId="02FCBD0A" w14:textId="77777777" w:rsidTr="2621E240">
        <w:tc>
          <w:tcPr>
            <w:tcW w:w="3116" w:type="dxa"/>
          </w:tcPr>
          <w:p w14:paraId="36D67BCE" w14:textId="77777777" w:rsidR="0059607D" w:rsidRDefault="0059607D" w:rsidP="00F41B9F">
            <w:r>
              <w:t>Product Description</w:t>
            </w:r>
          </w:p>
        </w:tc>
        <w:tc>
          <w:tcPr>
            <w:tcW w:w="3117" w:type="dxa"/>
          </w:tcPr>
          <w:p w14:paraId="4594DC20" w14:textId="77777777" w:rsidR="0059607D" w:rsidRDefault="0059607D" w:rsidP="00F41B9F">
            <w:r>
              <w:t>Quantity</w:t>
            </w:r>
          </w:p>
        </w:tc>
        <w:tc>
          <w:tcPr>
            <w:tcW w:w="3117" w:type="dxa"/>
          </w:tcPr>
          <w:p w14:paraId="3027C4E4" w14:textId="25E692AF" w:rsidR="0059607D" w:rsidRDefault="2621E240" w:rsidP="00F41B9F">
            <w:r>
              <w:t>Biennial Cost</w:t>
            </w:r>
          </w:p>
        </w:tc>
      </w:tr>
      <w:tr w:rsidR="0059607D" w14:paraId="1445EBC1" w14:textId="77777777" w:rsidTr="2621E240">
        <w:tc>
          <w:tcPr>
            <w:tcW w:w="3116" w:type="dxa"/>
          </w:tcPr>
          <w:p w14:paraId="2FBA032B" w14:textId="77777777" w:rsidR="0059607D" w:rsidRDefault="0085226D" w:rsidP="00F41B9F">
            <w:r>
              <w:t>ArcGIS Online Credits</w:t>
            </w:r>
          </w:p>
        </w:tc>
        <w:tc>
          <w:tcPr>
            <w:tcW w:w="3117" w:type="dxa"/>
          </w:tcPr>
          <w:p w14:paraId="40FD3E60" w14:textId="77777777" w:rsidR="0059607D" w:rsidRDefault="0085226D" w:rsidP="00F41B9F">
            <w:r>
              <w:t>200,000 Annually</w:t>
            </w:r>
          </w:p>
        </w:tc>
        <w:tc>
          <w:tcPr>
            <w:tcW w:w="3117" w:type="dxa"/>
          </w:tcPr>
          <w:p w14:paraId="391A8CEB" w14:textId="0F098ACE" w:rsidR="0059607D" w:rsidRPr="00B6482B" w:rsidRDefault="2621E240" w:rsidP="2621E240">
            <w:pPr>
              <w:rPr>
                <w:b/>
                <w:bCs/>
              </w:rPr>
            </w:pPr>
            <w:r w:rsidRPr="2621E240">
              <w:rPr>
                <w:b/>
                <w:bCs/>
              </w:rPr>
              <w:t>$40,000</w:t>
            </w:r>
          </w:p>
        </w:tc>
      </w:tr>
    </w:tbl>
    <w:p w14:paraId="535F20A9" w14:textId="77777777" w:rsidR="0090110D" w:rsidRPr="002B5F36" w:rsidRDefault="0090110D" w:rsidP="002A4433">
      <w:pPr>
        <w:spacing w:before="120" w:after="80"/>
        <w:rPr>
          <w:b/>
        </w:rPr>
      </w:pPr>
      <w:r w:rsidRPr="002B5F36">
        <w:rPr>
          <w:b/>
        </w:rPr>
        <w:t>4. Provide the ability to download Framework data</w:t>
      </w:r>
    </w:p>
    <w:p w14:paraId="1144A907" w14:textId="77777777" w:rsidR="00832283" w:rsidRPr="00C41F92" w:rsidRDefault="00832283" w:rsidP="00B441C9">
      <w:pPr>
        <w:spacing w:after="80"/>
        <w:rPr>
          <w:i/>
        </w:rPr>
      </w:pPr>
      <w:r w:rsidRPr="00C41F92">
        <w:rPr>
          <w:i/>
        </w:rPr>
        <w:t>Description:</w:t>
      </w:r>
      <w:r w:rsidR="00B441C9">
        <w:rPr>
          <w:i/>
        </w:rPr>
        <w:t xml:space="preserve">  </w:t>
      </w:r>
      <w:r w:rsidR="009D74E3" w:rsidRPr="00C41F92">
        <w:t xml:space="preserve">Allow methods of </w:t>
      </w:r>
      <w:r w:rsidR="00FD2188">
        <w:rPr>
          <w:highlight w:val="yellow"/>
        </w:rPr>
        <w:t>consumption of</w:t>
      </w:r>
      <w:r w:rsidR="009D74E3" w:rsidRPr="00FD2188">
        <w:rPr>
          <w:highlight w:val="yellow"/>
        </w:rPr>
        <w:t xml:space="preserve"> GEOHub content</w:t>
      </w:r>
      <w:r w:rsidR="009D74E3" w:rsidRPr="00C41F92">
        <w:t xml:space="preserve"> via mu</w:t>
      </w:r>
      <w:r w:rsidR="00107B04">
        <w:t xml:space="preserve">ltiple access points, </w:t>
      </w:r>
      <w:r w:rsidR="00107B04" w:rsidRPr="00FD2188">
        <w:rPr>
          <w:highlight w:val="yellow"/>
        </w:rPr>
        <w:t>including</w:t>
      </w:r>
      <w:r w:rsidR="009D74E3" w:rsidRPr="00FD2188">
        <w:rPr>
          <w:highlight w:val="yellow"/>
        </w:rPr>
        <w:t xml:space="preserve"> </w:t>
      </w:r>
      <w:r w:rsidR="00445F19" w:rsidRPr="00FD2188">
        <w:rPr>
          <w:highlight w:val="yellow"/>
        </w:rPr>
        <w:t xml:space="preserve">replication, </w:t>
      </w:r>
      <w:proofErr w:type="gramStart"/>
      <w:r w:rsidR="00475B71" w:rsidRPr="00FD2188">
        <w:rPr>
          <w:highlight w:val="yellow"/>
        </w:rPr>
        <w:t>web</w:t>
      </w:r>
      <w:proofErr w:type="gramEnd"/>
      <w:r w:rsidR="00475B71" w:rsidRPr="00FD2188">
        <w:rPr>
          <w:highlight w:val="yellow"/>
        </w:rPr>
        <w:t xml:space="preserve"> services </w:t>
      </w:r>
      <w:r w:rsidR="009D74E3" w:rsidRPr="00FD2188">
        <w:rPr>
          <w:highlight w:val="yellow"/>
        </w:rPr>
        <w:t>and direct data downloads</w:t>
      </w:r>
      <w:r w:rsidR="009D74E3" w:rsidRPr="00C41F92">
        <w:t>.</w:t>
      </w:r>
    </w:p>
    <w:p w14:paraId="5CD16063" w14:textId="77777777" w:rsidR="009D74E3" w:rsidRPr="00B441C9" w:rsidRDefault="009D74E3" w:rsidP="00D35F5F">
      <w:pPr>
        <w:spacing w:after="60"/>
        <w:rPr>
          <w:i/>
        </w:rPr>
      </w:pPr>
      <w:r w:rsidRPr="00C41F92">
        <w:rPr>
          <w:i/>
        </w:rPr>
        <w:t>Tools Required:</w:t>
      </w:r>
      <w:r w:rsidR="00B441C9">
        <w:rPr>
          <w:i/>
        </w:rPr>
        <w:t xml:space="preserve">  </w:t>
      </w:r>
      <w:r w:rsidRPr="00C41F92">
        <w:t>ArcGIS Online, ArcGIS Named Users, ArcGIS Open Data</w:t>
      </w:r>
    </w:p>
    <w:p w14:paraId="434C7C0C" w14:textId="77777777" w:rsidR="00276DAC" w:rsidRPr="00B441C9" w:rsidRDefault="00475B71" w:rsidP="002A4433">
      <w:pPr>
        <w:spacing w:after="80"/>
        <w:rPr>
          <w:i/>
        </w:rPr>
      </w:pPr>
      <w:r w:rsidRPr="00C41F92">
        <w:rPr>
          <w:i/>
        </w:rPr>
        <w:t>Costs:</w:t>
      </w:r>
      <w:r w:rsidR="00B441C9">
        <w:rPr>
          <w:i/>
        </w:rPr>
        <w:t xml:space="preserve">  </w:t>
      </w:r>
      <w:r w:rsidR="00486430" w:rsidRPr="00B6482B">
        <w:t>No additional cost implication</w:t>
      </w:r>
    </w:p>
    <w:p w14:paraId="6BD2DEBC" w14:textId="77777777" w:rsidR="0090110D" w:rsidRPr="002B5F36" w:rsidRDefault="0090110D" w:rsidP="002A4433">
      <w:pPr>
        <w:spacing w:after="80"/>
        <w:rPr>
          <w:b/>
        </w:rPr>
      </w:pPr>
      <w:r w:rsidRPr="002B5F36">
        <w:rPr>
          <w:b/>
        </w:rPr>
        <w:t>5. Provide data quality assurance and control (QA/QC)</w:t>
      </w:r>
    </w:p>
    <w:p w14:paraId="5A7D28AE" w14:textId="02AAB5B2" w:rsidR="002326E8" w:rsidRPr="00B441C9" w:rsidRDefault="15276BD5" w:rsidP="15276BD5">
      <w:pPr>
        <w:spacing w:after="80"/>
        <w:rPr>
          <w:i/>
          <w:iCs/>
        </w:rPr>
      </w:pPr>
      <w:r w:rsidRPr="15276BD5">
        <w:rPr>
          <w:i/>
          <w:iCs/>
        </w:rPr>
        <w:t xml:space="preserve">Description:  </w:t>
      </w:r>
      <w:r>
        <w:t>The approach to Framework data QA/QC will be to purchase a third-party tool to assist Data Stewards in developing standard rules for “what makes data good data.” This will be a process (client and server) of defining spatial and non-spatial rules for data quality for Framework data layers.</w:t>
      </w:r>
    </w:p>
    <w:p w14:paraId="201B9580" w14:textId="77777777" w:rsidR="002326E8" w:rsidRPr="00B441C9" w:rsidRDefault="002326E8" w:rsidP="00D35F5F">
      <w:pPr>
        <w:spacing w:after="60"/>
        <w:rPr>
          <w:i/>
        </w:rPr>
      </w:pPr>
      <w:r w:rsidRPr="00C41F92">
        <w:rPr>
          <w:i/>
        </w:rPr>
        <w:t xml:space="preserve">Tools </w:t>
      </w:r>
      <w:proofErr w:type="gramStart"/>
      <w:r w:rsidRPr="00C41F92">
        <w:rPr>
          <w:i/>
        </w:rPr>
        <w:t>Required:</w:t>
      </w:r>
      <w:proofErr w:type="gramEnd"/>
      <w:r w:rsidR="00B441C9">
        <w:rPr>
          <w:i/>
        </w:rPr>
        <w:t xml:space="preserve">  </w:t>
      </w:r>
      <w:r w:rsidRPr="00C41F92">
        <w:t>1Spatial, Oregon Metadata Validation Tool</w:t>
      </w:r>
    </w:p>
    <w:p w14:paraId="6511986A" w14:textId="77777777" w:rsidR="000432FA" w:rsidRPr="00C41F92" w:rsidRDefault="000432FA" w:rsidP="00A36CD3">
      <w:pPr>
        <w:spacing w:after="0"/>
        <w:rPr>
          <w:i/>
        </w:rPr>
      </w:pPr>
      <w:r w:rsidRPr="00C41F92">
        <w:rPr>
          <w:i/>
        </w:rPr>
        <w:t>Costs:</w:t>
      </w:r>
    </w:p>
    <w:tbl>
      <w:tblPr>
        <w:tblStyle w:val="TableGrid"/>
        <w:tblW w:w="0" w:type="auto"/>
        <w:tblLook w:val="04A0" w:firstRow="1" w:lastRow="0" w:firstColumn="1" w:lastColumn="0" w:noHBand="0" w:noVBand="1"/>
      </w:tblPr>
      <w:tblGrid>
        <w:gridCol w:w="3116"/>
        <w:gridCol w:w="3117"/>
        <w:gridCol w:w="3117"/>
      </w:tblGrid>
      <w:tr w:rsidR="000432FA" w14:paraId="0ACFDB20" w14:textId="77777777" w:rsidTr="2621E240">
        <w:tc>
          <w:tcPr>
            <w:tcW w:w="3116" w:type="dxa"/>
          </w:tcPr>
          <w:p w14:paraId="4CD47F02" w14:textId="77777777" w:rsidR="000432FA" w:rsidRDefault="000432FA" w:rsidP="00A36CD3">
            <w:r>
              <w:t>Product Description</w:t>
            </w:r>
          </w:p>
        </w:tc>
        <w:tc>
          <w:tcPr>
            <w:tcW w:w="3117" w:type="dxa"/>
          </w:tcPr>
          <w:p w14:paraId="173B67F1" w14:textId="77777777" w:rsidR="000432FA" w:rsidRDefault="000432FA" w:rsidP="00A36CD3">
            <w:r>
              <w:t>Quantity</w:t>
            </w:r>
          </w:p>
        </w:tc>
        <w:tc>
          <w:tcPr>
            <w:tcW w:w="3117" w:type="dxa"/>
          </w:tcPr>
          <w:p w14:paraId="661D4846" w14:textId="6B399BBB" w:rsidR="000432FA" w:rsidRDefault="2621E240" w:rsidP="00A36CD3">
            <w:r>
              <w:t>Biennial Cost</w:t>
            </w:r>
          </w:p>
        </w:tc>
      </w:tr>
      <w:tr w:rsidR="000432FA" w14:paraId="7CD549C4" w14:textId="77777777" w:rsidTr="2621E240">
        <w:tc>
          <w:tcPr>
            <w:tcW w:w="3116" w:type="dxa"/>
          </w:tcPr>
          <w:p w14:paraId="2BA65DED" w14:textId="77777777" w:rsidR="000432FA" w:rsidRDefault="00FD76AC" w:rsidP="00A36CD3">
            <w:r>
              <w:lastRenderedPageBreak/>
              <w:t>1Spatial</w:t>
            </w:r>
          </w:p>
        </w:tc>
        <w:tc>
          <w:tcPr>
            <w:tcW w:w="3117" w:type="dxa"/>
          </w:tcPr>
          <w:p w14:paraId="68F9DA86" w14:textId="77777777" w:rsidR="000432FA" w:rsidRDefault="006C531D" w:rsidP="00A36CD3">
            <w:r>
              <w:t>n/a</w:t>
            </w:r>
          </w:p>
        </w:tc>
        <w:tc>
          <w:tcPr>
            <w:tcW w:w="3117" w:type="dxa"/>
          </w:tcPr>
          <w:p w14:paraId="10925767" w14:textId="7D7A4142" w:rsidR="000432FA" w:rsidRPr="00B6482B" w:rsidRDefault="2621E240" w:rsidP="2621E240">
            <w:pPr>
              <w:rPr>
                <w:b/>
                <w:bCs/>
              </w:rPr>
            </w:pPr>
            <w:r w:rsidRPr="2621E240">
              <w:rPr>
                <w:b/>
                <w:bCs/>
              </w:rPr>
              <w:t>$200,000</w:t>
            </w:r>
          </w:p>
        </w:tc>
      </w:tr>
    </w:tbl>
    <w:p w14:paraId="5945DFF8" w14:textId="77777777" w:rsidR="0090110D" w:rsidRPr="002B5F36" w:rsidRDefault="0090110D" w:rsidP="00D35F5F">
      <w:pPr>
        <w:spacing w:after="120"/>
        <w:rPr>
          <w:b/>
        </w:rPr>
      </w:pPr>
      <w:r w:rsidRPr="002B5F36">
        <w:rPr>
          <w:b/>
        </w:rPr>
        <w:t>6. Extend search and discovery capabilities of Framework data</w:t>
      </w:r>
    </w:p>
    <w:p w14:paraId="11206CC9" w14:textId="77777777" w:rsidR="00D84CF7" w:rsidRPr="00B441C9" w:rsidRDefault="00D84CF7" w:rsidP="00B441C9">
      <w:pPr>
        <w:spacing w:after="80"/>
        <w:rPr>
          <w:i/>
        </w:rPr>
      </w:pPr>
      <w:r w:rsidRPr="00C41F92">
        <w:rPr>
          <w:i/>
        </w:rPr>
        <w:t>Description:</w:t>
      </w:r>
      <w:r w:rsidR="00B441C9">
        <w:rPr>
          <w:i/>
        </w:rPr>
        <w:t xml:space="preserve">  </w:t>
      </w:r>
      <w:r w:rsidRPr="00C41F92">
        <w:t xml:space="preserve">GEOHub will have the capability to </w:t>
      </w:r>
      <w:r w:rsidRPr="00FD2188">
        <w:rPr>
          <w:highlight w:val="yellow"/>
        </w:rPr>
        <w:t>find content by place name, keyword, or browsing content collections</w:t>
      </w:r>
      <w:r w:rsidRPr="00C41F92">
        <w:t>.  The search platform provides a single point of sear</w:t>
      </w:r>
      <w:r w:rsidR="00FD2188">
        <w:t>ch for Framework data within</w:t>
      </w:r>
      <w:r w:rsidRPr="00C41F92">
        <w:t xml:space="preserve"> GEOHub.  </w:t>
      </w:r>
    </w:p>
    <w:p w14:paraId="076986CE" w14:textId="77777777" w:rsidR="000456F8" w:rsidRPr="00B441C9" w:rsidRDefault="00D84CF7" w:rsidP="00B441C9">
      <w:pPr>
        <w:spacing w:after="80"/>
        <w:rPr>
          <w:i/>
        </w:rPr>
      </w:pPr>
      <w:r w:rsidRPr="00C41F92">
        <w:rPr>
          <w:i/>
        </w:rPr>
        <w:t>Tools Required:</w:t>
      </w:r>
      <w:r w:rsidR="00B441C9">
        <w:rPr>
          <w:i/>
        </w:rPr>
        <w:t xml:space="preserve">  </w:t>
      </w:r>
      <w:r w:rsidR="000456F8" w:rsidRPr="00C41F92">
        <w:t>ArcGIS Online, ArcGIS Online Named Users, ArcGIS Secure Open Data</w:t>
      </w:r>
    </w:p>
    <w:p w14:paraId="3E0F1D02" w14:textId="77777777" w:rsidR="00DA48C2" w:rsidRPr="00B441C9" w:rsidRDefault="00DA48C2" w:rsidP="00B441C9">
      <w:pPr>
        <w:spacing w:after="120"/>
        <w:rPr>
          <w:i/>
        </w:rPr>
      </w:pPr>
      <w:r w:rsidRPr="00C41F92">
        <w:rPr>
          <w:i/>
        </w:rPr>
        <w:t>Costs:</w:t>
      </w:r>
      <w:r w:rsidR="00B441C9">
        <w:rPr>
          <w:i/>
        </w:rPr>
        <w:t xml:space="preserve">  </w:t>
      </w:r>
      <w:r w:rsidRPr="00B6482B">
        <w:t>No additional cost implication</w:t>
      </w:r>
    </w:p>
    <w:p w14:paraId="7489E48B" w14:textId="77777777" w:rsidR="0090110D" w:rsidRPr="002B5F36" w:rsidRDefault="0090110D" w:rsidP="00EE0DFD">
      <w:pPr>
        <w:spacing w:after="80"/>
        <w:rPr>
          <w:b/>
        </w:rPr>
      </w:pPr>
      <w:r w:rsidRPr="002B5F36">
        <w:rPr>
          <w:b/>
        </w:rPr>
        <w:t>7. Give the user the ability to perform GIS analysis</w:t>
      </w:r>
    </w:p>
    <w:p w14:paraId="5AF2C6A1" w14:textId="77777777" w:rsidR="00125EE0" w:rsidRPr="00B441C9" w:rsidRDefault="00777795" w:rsidP="00EE0DFD">
      <w:pPr>
        <w:spacing w:after="60"/>
        <w:rPr>
          <w:i/>
        </w:rPr>
      </w:pPr>
      <w:r w:rsidRPr="00C41F92">
        <w:rPr>
          <w:i/>
        </w:rPr>
        <w:t>Description:</w:t>
      </w:r>
      <w:r w:rsidR="00B441C9">
        <w:rPr>
          <w:i/>
        </w:rPr>
        <w:t xml:space="preserve">  </w:t>
      </w:r>
      <w:r w:rsidR="00125EE0" w:rsidRPr="00C41F92">
        <w:t xml:space="preserve">A core </w:t>
      </w:r>
      <w:r w:rsidR="00B441C9">
        <w:t>differentiating function of GEOHub is</w:t>
      </w:r>
      <w:r w:rsidR="00125EE0" w:rsidRPr="00C41F92">
        <w:t xml:space="preserve"> the abil</w:t>
      </w:r>
      <w:r w:rsidR="00B441C9">
        <w:t>ity to do analysis beyond</w:t>
      </w:r>
      <w:r w:rsidR="00125EE0" w:rsidRPr="00C41F92">
        <w:t xml:space="preserve"> simple data visualization and query.</w:t>
      </w:r>
      <w:r w:rsidR="00125EE0" w:rsidRPr="00C41F92" w:rsidDel="00D37FED">
        <w:t xml:space="preserve"> </w:t>
      </w:r>
      <w:r w:rsidR="00B441C9">
        <w:t xml:space="preserve">While </w:t>
      </w:r>
      <w:r w:rsidR="00125EE0" w:rsidRPr="00C41F92">
        <w:t xml:space="preserve">insights </w:t>
      </w:r>
      <w:proofErr w:type="gramStart"/>
      <w:r w:rsidR="00125EE0" w:rsidRPr="00C41F92">
        <w:t>can be gained</w:t>
      </w:r>
      <w:proofErr w:type="gramEnd"/>
      <w:r w:rsidR="00125EE0" w:rsidRPr="00C41F92">
        <w:t xml:space="preserve"> by simply viewing spatial information, the real power lies i</w:t>
      </w:r>
      <w:r w:rsidR="00B441C9">
        <w:t xml:space="preserve">n the ability to </w:t>
      </w:r>
      <w:r w:rsidR="00B441C9" w:rsidRPr="00FD2188">
        <w:rPr>
          <w:highlight w:val="yellow"/>
        </w:rPr>
        <w:t>perform analyse</w:t>
      </w:r>
      <w:r w:rsidR="00125EE0" w:rsidRPr="00FD2188">
        <w:rPr>
          <w:highlight w:val="yellow"/>
        </w:rPr>
        <w:t>s quickly across multiple data inputs</w:t>
      </w:r>
      <w:r w:rsidR="00B441C9">
        <w:t>, drawing insights not easily gained</w:t>
      </w:r>
      <w:r w:rsidR="00125EE0" w:rsidRPr="00C41F92">
        <w:t xml:space="preserve"> with the naked eye.</w:t>
      </w:r>
    </w:p>
    <w:p w14:paraId="32F1E09E" w14:textId="77777777" w:rsidR="00125EE0" w:rsidRPr="00B441C9" w:rsidRDefault="00125EE0" w:rsidP="00EE0DFD">
      <w:pPr>
        <w:spacing w:after="60"/>
        <w:rPr>
          <w:i/>
        </w:rPr>
      </w:pPr>
      <w:r w:rsidRPr="00C41F92">
        <w:rPr>
          <w:i/>
        </w:rPr>
        <w:t>Tools Required:</w:t>
      </w:r>
      <w:r w:rsidR="00B441C9">
        <w:rPr>
          <w:i/>
        </w:rPr>
        <w:t xml:space="preserve">  </w:t>
      </w:r>
      <w:r w:rsidRPr="00C41F92">
        <w:t>ArcGIS Online, ArcGIS Online Named Users, ArcGIS Credits, ArcGIS Pro</w:t>
      </w:r>
    </w:p>
    <w:p w14:paraId="7CFBF3EC" w14:textId="77777777" w:rsidR="00C5468A" w:rsidRPr="00C41F92" w:rsidRDefault="00C5468A" w:rsidP="00A36CD3">
      <w:pPr>
        <w:spacing w:after="0"/>
        <w:rPr>
          <w:i/>
        </w:rPr>
      </w:pPr>
      <w:r w:rsidRPr="00C41F92">
        <w:rPr>
          <w:i/>
        </w:rPr>
        <w:t>Costs:</w:t>
      </w:r>
    </w:p>
    <w:tbl>
      <w:tblPr>
        <w:tblStyle w:val="TableGrid"/>
        <w:tblW w:w="0" w:type="auto"/>
        <w:tblLook w:val="04A0" w:firstRow="1" w:lastRow="0" w:firstColumn="1" w:lastColumn="0" w:noHBand="0" w:noVBand="1"/>
      </w:tblPr>
      <w:tblGrid>
        <w:gridCol w:w="3116"/>
        <w:gridCol w:w="3117"/>
        <w:gridCol w:w="3117"/>
      </w:tblGrid>
      <w:tr w:rsidR="00C5468A" w:rsidRPr="00C41F92" w14:paraId="11D4C0F8" w14:textId="77777777" w:rsidTr="2621E240">
        <w:tc>
          <w:tcPr>
            <w:tcW w:w="3116" w:type="dxa"/>
          </w:tcPr>
          <w:p w14:paraId="57D2F82F" w14:textId="77777777" w:rsidR="00C5468A" w:rsidRPr="00C41F92" w:rsidRDefault="00C5468A" w:rsidP="00A36CD3">
            <w:r w:rsidRPr="00C41F92">
              <w:t>Product Description</w:t>
            </w:r>
          </w:p>
        </w:tc>
        <w:tc>
          <w:tcPr>
            <w:tcW w:w="3117" w:type="dxa"/>
          </w:tcPr>
          <w:p w14:paraId="469F788B" w14:textId="77777777" w:rsidR="00C5468A" w:rsidRPr="00C41F92" w:rsidRDefault="00C5468A" w:rsidP="00A36CD3">
            <w:r w:rsidRPr="00C41F92">
              <w:t>Quantity</w:t>
            </w:r>
          </w:p>
        </w:tc>
        <w:tc>
          <w:tcPr>
            <w:tcW w:w="3117" w:type="dxa"/>
          </w:tcPr>
          <w:p w14:paraId="78BF442C" w14:textId="52CEFA1F" w:rsidR="00C5468A" w:rsidRPr="00C41F92" w:rsidRDefault="2621E240" w:rsidP="00A36CD3">
            <w:r>
              <w:t>Biennial Cost</w:t>
            </w:r>
          </w:p>
        </w:tc>
      </w:tr>
      <w:tr w:rsidR="00C5468A" w:rsidRPr="00C41F92" w14:paraId="290F97AF" w14:textId="77777777" w:rsidTr="2621E240">
        <w:tc>
          <w:tcPr>
            <w:tcW w:w="3116" w:type="dxa"/>
          </w:tcPr>
          <w:p w14:paraId="4C51E867" w14:textId="77777777" w:rsidR="00C5468A" w:rsidRPr="00C41F92" w:rsidRDefault="00C5468A" w:rsidP="00A36CD3">
            <w:r w:rsidRPr="00C41F92">
              <w:t>ArcGIS Online Credits</w:t>
            </w:r>
          </w:p>
        </w:tc>
        <w:tc>
          <w:tcPr>
            <w:tcW w:w="3117" w:type="dxa"/>
          </w:tcPr>
          <w:p w14:paraId="00EC0443" w14:textId="77777777" w:rsidR="00C5468A" w:rsidRPr="00C41F92" w:rsidRDefault="007C3A71" w:rsidP="00A36CD3">
            <w:r w:rsidRPr="00C41F92">
              <w:t>2</w:t>
            </w:r>
            <w:r w:rsidR="00C5468A" w:rsidRPr="00C41F92">
              <w:t>00,000 Annually</w:t>
            </w:r>
          </w:p>
        </w:tc>
        <w:tc>
          <w:tcPr>
            <w:tcW w:w="3117" w:type="dxa"/>
          </w:tcPr>
          <w:p w14:paraId="4B73EAB0" w14:textId="1E0F44EF" w:rsidR="00C5468A" w:rsidRPr="00B6482B" w:rsidRDefault="2621E240" w:rsidP="2621E240">
            <w:pPr>
              <w:rPr>
                <w:b/>
                <w:bCs/>
              </w:rPr>
            </w:pPr>
            <w:r w:rsidRPr="2621E240">
              <w:rPr>
                <w:b/>
                <w:bCs/>
              </w:rPr>
              <w:t>$40,000</w:t>
            </w:r>
          </w:p>
        </w:tc>
      </w:tr>
    </w:tbl>
    <w:p w14:paraId="6A473121" w14:textId="77777777" w:rsidR="0090110D" w:rsidRPr="002B5F36" w:rsidRDefault="0090110D" w:rsidP="00A52390">
      <w:pPr>
        <w:spacing w:before="120" w:after="80"/>
        <w:rPr>
          <w:b/>
        </w:rPr>
      </w:pPr>
      <w:r w:rsidRPr="002B5F36">
        <w:rPr>
          <w:b/>
        </w:rPr>
        <w:t>8. Provide repo</w:t>
      </w:r>
      <w:bookmarkStart w:id="0" w:name="_GoBack"/>
      <w:bookmarkEnd w:id="0"/>
      <w:r w:rsidRPr="002B5F36">
        <w:rPr>
          <w:b/>
        </w:rPr>
        <w:t>rting, data visualization and analytics</w:t>
      </w:r>
    </w:p>
    <w:p w14:paraId="3BFE466D" w14:textId="77777777" w:rsidR="00A36CD3" w:rsidRPr="00B441C9" w:rsidRDefault="00A36CD3" w:rsidP="00B441C9">
      <w:pPr>
        <w:spacing w:after="80"/>
        <w:rPr>
          <w:i/>
        </w:rPr>
      </w:pPr>
      <w:r>
        <w:rPr>
          <w:i/>
        </w:rPr>
        <w:t>Description:</w:t>
      </w:r>
      <w:r w:rsidR="00B441C9">
        <w:rPr>
          <w:i/>
        </w:rPr>
        <w:t xml:space="preserve">  </w:t>
      </w:r>
      <w:r w:rsidRPr="00C41F92">
        <w:t xml:space="preserve">The need for reporting and visualizations have increased substantially in recent years with new tools for business intelligence, dashboards, and standard reporting.  </w:t>
      </w:r>
      <w:r w:rsidRPr="00FD2188">
        <w:rPr>
          <w:highlight w:val="yellow"/>
        </w:rPr>
        <w:t>Data visualizations can be especially compelling when powered by spatial information</w:t>
      </w:r>
      <w:r w:rsidRPr="00C41F92">
        <w:t xml:space="preserve">.  Visualizations can help to show trends, hotspots and integrate tabular content with location-based content.  </w:t>
      </w:r>
    </w:p>
    <w:p w14:paraId="6C0EE647" w14:textId="77777777" w:rsidR="00A36CD3" w:rsidRPr="00B441C9" w:rsidRDefault="00A36CD3" w:rsidP="00B441C9">
      <w:pPr>
        <w:spacing w:after="80"/>
        <w:rPr>
          <w:i/>
        </w:rPr>
      </w:pPr>
      <w:r>
        <w:rPr>
          <w:i/>
        </w:rPr>
        <w:t>Tools Required:</w:t>
      </w:r>
      <w:r w:rsidR="00B441C9">
        <w:rPr>
          <w:i/>
        </w:rPr>
        <w:t xml:space="preserve">  </w:t>
      </w:r>
      <w:r w:rsidR="00742B91">
        <w:t>ArcGIS Online, AGOL</w:t>
      </w:r>
      <w:r w:rsidR="002C6B92" w:rsidRPr="00C41F92">
        <w:t xml:space="preserve"> Named Users, Insights for ArcGIS, ArcGIS API for Python, </w:t>
      </w:r>
      <w:proofErr w:type="spellStart"/>
      <w:r w:rsidR="002C6B92" w:rsidRPr="00C41F92">
        <w:t>Jupyter</w:t>
      </w:r>
      <w:proofErr w:type="spellEnd"/>
      <w:r w:rsidR="002C6B92" w:rsidRPr="00C41F92">
        <w:t xml:space="preserve"> Notebook</w:t>
      </w:r>
    </w:p>
    <w:p w14:paraId="62AB1E7F" w14:textId="77777777" w:rsidR="0090110D" w:rsidRDefault="00047770" w:rsidP="00A36CD3">
      <w:pPr>
        <w:spacing w:after="0"/>
        <w:rPr>
          <w:i/>
        </w:rPr>
      </w:pPr>
      <w:r>
        <w:rPr>
          <w:i/>
        </w:rPr>
        <w:t>Costs:</w:t>
      </w:r>
    </w:p>
    <w:tbl>
      <w:tblPr>
        <w:tblStyle w:val="TableGrid"/>
        <w:tblW w:w="0" w:type="auto"/>
        <w:tblLook w:val="04A0" w:firstRow="1" w:lastRow="0" w:firstColumn="1" w:lastColumn="0" w:noHBand="0" w:noVBand="1"/>
      </w:tblPr>
      <w:tblGrid>
        <w:gridCol w:w="3116"/>
        <w:gridCol w:w="3117"/>
        <w:gridCol w:w="3117"/>
      </w:tblGrid>
      <w:tr w:rsidR="00047770" w14:paraId="2FBFE5E5" w14:textId="77777777" w:rsidTr="2621E240">
        <w:tc>
          <w:tcPr>
            <w:tcW w:w="3116" w:type="dxa"/>
          </w:tcPr>
          <w:p w14:paraId="52554CE5" w14:textId="77777777" w:rsidR="00047770" w:rsidRDefault="00047770" w:rsidP="00A36CD3">
            <w:r>
              <w:t>Product Description</w:t>
            </w:r>
          </w:p>
        </w:tc>
        <w:tc>
          <w:tcPr>
            <w:tcW w:w="3117" w:type="dxa"/>
          </w:tcPr>
          <w:p w14:paraId="69CBB519" w14:textId="77777777" w:rsidR="00047770" w:rsidRDefault="00047770" w:rsidP="00A36CD3">
            <w:r>
              <w:t>Quantity</w:t>
            </w:r>
          </w:p>
        </w:tc>
        <w:tc>
          <w:tcPr>
            <w:tcW w:w="3117" w:type="dxa"/>
          </w:tcPr>
          <w:p w14:paraId="4107D3D1" w14:textId="694D3341" w:rsidR="00047770" w:rsidRDefault="2621E240" w:rsidP="00A36CD3">
            <w:r>
              <w:t>Biennial Cost</w:t>
            </w:r>
          </w:p>
        </w:tc>
      </w:tr>
      <w:tr w:rsidR="00047770" w14:paraId="079190C1" w14:textId="77777777" w:rsidTr="2621E240">
        <w:tc>
          <w:tcPr>
            <w:tcW w:w="3116" w:type="dxa"/>
          </w:tcPr>
          <w:p w14:paraId="73334E09" w14:textId="77777777" w:rsidR="00047770" w:rsidRDefault="00047770" w:rsidP="00A36CD3">
            <w:r>
              <w:t>Insights for ArcGIS</w:t>
            </w:r>
          </w:p>
        </w:tc>
        <w:tc>
          <w:tcPr>
            <w:tcW w:w="3117" w:type="dxa"/>
          </w:tcPr>
          <w:p w14:paraId="4BFDD700" w14:textId="77777777" w:rsidR="00047770" w:rsidRDefault="00047770" w:rsidP="00A36CD3">
            <w:r>
              <w:t>25</w:t>
            </w:r>
          </w:p>
        </w:tc>
        <w:tc>
          <w:tcPr>
            <w:tcW w:w="3117" w:type="dxa"/>
          </w:tcPr>
          <w:p w14:paraId="347EB9AD" w14:textId="1F0B9B92" w:rsidR="00047770" w:rsidRPr="00B6482B" w:rsidRDefault="2621E240" w:rsidP="2621E240">
            <w:pPr>
              <w:rPr>
                <w:b/>
                <w:bCs/>
              </w:rPr>
            </w:pPr>
            <w:r w:rsidRPr="2621E240">
              <w:rPr>
                <w:b/>
                <w:bCs/>
              </w:rPr>
              <w:t>$25,000</w:t>
            </w:r>
          </w:p>
        </w:tc>
      </w:tr>
    </w:tbl>
    <w:p w14:paraId="00F6377F" w14:textId="77777777" w:rsidR="00FD71F0" w:rsidRPr="00660C85" w:rsidRDefault="00FD71F0" w:rsidP="00660C85">
      <w:pPr>
        <w:spacing w:before="120" w:after="80"/>
        <w:rPr>
          <w:b/>
          <w:sz w:val="24"/>
          <w:szCs w:val="24"/>
          <w:u w:val="single"/>
        </w:rPr>
      </w:pPr>
      <w:r w:rsidRPr="00660C85">
        <w:rPr>
          <w:b/>
          <w:sz w:val="24"/>
          <w:szCs w:val="24"/>
          <w:u w:val="single"/>
        </w:rPr>
        <w:t>Architecture and Governance</w:t>
      </w:r>
    </w:p>
    <w:p w14:paraId="13584429" w14:textId="77777777" w:rsidR="00FD71F0" w:rsidRPr="002B5F36" w:rsidRDefault="00FD71F0" w:rsidP="00EE0DFD">
      <w:pPr>
        <w:spacing w:after="60"/>
        <w:rPr>
          <w:b/>
        </w:rPr>
      </w:pPr>
      <w:r>
        <w:rPr>
          <w:b/>
        </w:rPr>
        <w:t xml:space="preserve">1. Develop </w:t>
      </w:r>
      <w:proofErr w:type="gramStart"/>
      <w:r>
        <w:rPr>
          <w:b/>
        </w:rPr>
        <w:t>more robust GEOHub physical design to meet future demand</w:t>
      </w:r>
      <w:proofErr w:type="gramEnd"/>
    </w:p>
    <w:p w14:paraId="64671B71" w14:textId="08187D87" w:rsidR="00107B04" w:rsidRDefault="00FD71F0" w:rsidP="00B6482B">
      <w:pPr>
        <w:spacing w:after="80"/>
      </w:pPr>
      <w:r w:rsidRPr="6A0A2D79">
        <w:rPr>
          <w:i/>
          <w:iCs/>
        </w:rPr>
        <w:t>Description:</w:t>
      </w:r>
      <w:r w:rsidR="00107B04" w:rsidRPr="6A0A2D79">
        <w:rPr>
          <w:i/>
          <w:iCs/>
        </w:rPr>
        <w:t xml:space="preserve"> </w:t>
      </w:r>
      <w:r w:rsidR="00107B04">
        <w:t xml:space="preserve"> The initial phase of GEOHub implementation laid out above is a simple extension of the existing </w:t>
      </w:r>
      <w:proofErr w:type="spellStart"/>
      <w:r w:rsidR="00107B04">
        <w:t>Esri</w:t>
      </w:r>
      <w:proofErr w:type="spellEnd"/>
      <w:r w:rsidR="00107B04">
        <w:t xml:space="preserve"> architecture and toolkit.  While this will meet many initial stakeholder needs and satisfies the minimum statutory requirements, future demands for GEOHub functionality are likely to exceed this </w:t>
      </w:r>
      <w:r w:rsidR="00D93F91">
        <w:t>initial implementation. A</w:t>
      </w:r>
      <w:r w:rsidR="00107B04">
        <w:t xml:space="preserve"> conceptual design </w:t>
      </w:r>
      <w:r w:rsidR="00D93F91">
        <w:t xml:space="preserve">has been developed </w:t>
      </w:r>
      <w:r w:rsidR="00107B04">
        <w:t>that will form the basis for a physical design of a more robust system, further engaging stakeholders in the process</w:t>
      </w:r>
      <w:r w:rsidR="00D93F91">
        <w:t xml:space="preserve">. </w:t>
      </w:r>
      <w:r w:rsidR="00D93F91">
        <w:rPr>
          <w:rStyle w:val="normaltextrun"/>
          <w:color w:val="000000"/>
          <w:bdr w:val="none" w:sz="0" w:space="0" w:color="auto" w:frame="1"/>
        </w:rPr>
        <w:t xml:space="preserve"> </w:t>
      </w:r>
      <w:r w:rsidR="00D93F91">
        <w:t xml:space="preserve"> </w:t>
      </w:r>
    </w:p>
    <w:p w14:paraId="2507ED3E" w14:textId="77777777" w:rsidR="00B6482B" w:rsidRDefault="00107B04" w:rsidP="00B6482B">
      <w:pPr>
        <w:spacing w:after="120"/>
      </w:pPr>
      <w:r w:rsidRPr="00107B04">
        <w:rPr>
          <w:i/>
        </w:rPr>
        <w:t>Cost:</w:t>
      </w:r>
      <w:r>
        <w:t xml:space="preserve">  </w:t>
      </w:r>
      <w:r w:rsidR="00D93F91">
        <w:rPr>
          <w:b/>
        </w:rPr>
        <w:t>$15</w:t>
      </w:r>
      <w:r w:rsidRPr="00B6482B">
        <w:rPr>
          <w:b/>
        </w:rPr>
        <w:t>0,000</w:t>
      </w:r>
      <w:r w:rsidR="00B6482B">
        <w:t xml:space="preserve"> (one time</w:t>
      </w:r>
      <w:r w:rsidR="008E48D0">
        <w:t xml:space="preserve"> – Contract staff with navigatOR staff assistance</w:t>
      </w:r>
      <w:r w:rsidR="00B6482B">
        <w:t>)</w:t>
      </w:r>
    </w:p>
    <w:p w14:paraId="23F92818" w14:textId="77777777" w:rsidR="00B6482B" w:rsidRPr="00B6482B" w:rsidRDefault="00B6482B" w:rsidP="00EE0DFD">
      <w:pPr>
        <w:spacing w:after="60"/>
        <w:rPr>
          <w:b/>
        </w:rPr>
      </w:pPr>
      <w:r w:rsidRPr="00B6482B">
        <w:rPr>
          <w:b/>
        </w:rPr>
        <w:t xml:space="preserve">2. </w:t>
      </w:r>
      <w:r>
        <w:rPr>
          <w:b/>
        </w:rPr>
        <w:t xml:space="preserve">Establish </w:t>
      </w:r>
      <w:proofErr w:type="gramStart"/>
      <w:r>
        <w:rPr>
          <w:b/>
        </w:rPr>
        <w:t>g</w:t>
      </w:r>
      <w:r w:rsidRPr="00B6482B">
        <w:rPr>
          <w:b/>
        </w:rPr>
        <w:t xml:space="preserve">eospatial </w:t>
      </w:r>
      <w:r>
        <w:rPr>
          <w:b/>
        </w:rPr>
        <w:t>d</w:t>
      </w:r>
      <w:r w:rsidRPr="00B6482B">
        <w:rPr>
          <w:b/>
        </w:rPr>
        <w:t xml:space="preserve">ata </w:t>
      </w:r>
      <w:r w:rsidR="00EF4D40">
        <w:rPr>
          <w:b/>
        </w:rPr>
        <w:t>governance policies</w:t>
      </w:r>
      <w:proofErr w:type="gramEnd"/>
      <w:r>
        <w:rPr>
          <w:b/>
        </w:rPr>
        <w:t xml:space="preserve"> and procedures</w:t>
      </w:r>
    </w:p>
    <w:p w14:paraId="672A6659" w14:textId="3A4DC398" w:rsidR="00660C85" w:rsidRDefault="2D0A2F9F" w:rsidP="2D0A2F9F">
      <w:pPr>
        <w:spacing w:after="0"/>
        <w:sectPr w:rsidR="00660C85" w:rsidSect="0034030B">
          <w:footerReference w:type="default" r:id="rId11"/>
          <w:pgSz w:w="12240" w:h="15840"/>
          <w:pgMar w:top="792" w:right="936" w:bottom="792" w:left="936" w:header="720" w:footer="720" w:gutter="0"/>
          <w:cols w:space="720"/>
          <w:docGrid w:linePitch="360"/>
        </w:sectPr>
      </w:pPr>
      <w:r w:rsidRPr="2D0A2F9F">
        <w:rPr>
          <w:i/>
          <w:iCs/>
        </w:rPr>
        <w:t>Description:</w:t>
      </w:r>
      <w:r>
        <w:t xml:space="preserve">  A key aspect of value provided to stakeholders from GEOHub, and the navigatOR program, is the </w:t>
      </w:r>
      <w:r w:rsidRPr="2D0A2F9F">
        <w:rPr>
          <w:highlight w:val="yellow"/>
        </w:rPr>
        <w:t>establishment of agreed upon geospatial data governance policies and associated procedures</w:t>
      </w:r>
      <w:r>
        <w:t>.  The following items are a suggested starting point for necessary data governance policies and procedures:</w:t>
      </w:r>
    </w:p>
    <w:p w14:paraId="351C615F" w14:textId="77777777" w:rsidR="009E60BA" w:rsidRDefault="009E60BA" w:rsidP="009E60BA">
      <w:pPr>
        <w:pStyle w:val="paragraph"/>
        <w:numPr>
          <w:ilvl w:val="0"/>
          <w:numId w:val="8"/>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Data inventory and supply chain maintenance</w:t>
      </w:r>
      <w:r>
        <w:rPr>
          <w:rStyle w:val="eop"/>
          <w:rFonts w:ascii="Calibri" w:hAnsi="Calibri" w:cs="Calibri"/>
          <w:color w:val="000000"/>
          <w:sz w:val="20"/>
          <w:szCs w:val="20"/>
        </w:rPr>
        <w:t> </w:t>
      </w:r>
    </w:p>
    <w:p w14:paraId="0736B849" w14:textId="77777777" w:rsidR="009E60BA" w:rsidRDefault="009E60BA" w:rsidP="009E60BA">
      <w:pPr>
        <w:pStyle w:val="paragraph"/>
        <w:numPr>
          <w:ilvl w:val="0"/>
          <w:numId w:val="8"/>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 xml:space="preserve">Transparency and open data policy integration  </w:t>
      </w:r>
      <w:r>
        <w:rPr>
          <w:rStyle w:val="eop"/>
          <w:rFonts w:ascii="Calibri" w:hAnsi="Calibri" w:cs="Calibri"/>
          <w:color w:val="000000"/>
          <w:sz w:val="20"/>
          <w:szCs w:val="20"/>
        </w:rPr>
        <w:t> </w:t>
      </w:r>
    </w:p>
    <w:p w14:paraId="255435B0" w14:textId="77777777" w:rsidR="002A4433" w:rsidRDefault="002A4433" w:rsidP="002A4433">
      <w:pPr>
        <w:pStyle w:val="paragraph"/>
        <w:numPr>
          <w:ilvl w:val="0"/>
          <w:numId w:val="8"/>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 xml:space="preserve">Metadata and tagging requirements </w:t>
      </w:r>
      <w:r>
        <w:rPr>
          <w:rStyle w:val="eop"/>
          <w:rFonts w:ascii="Calibri" w:hAnsi="Calibri" w:cs="Calibri"/>
          <w:color w:val="000000"/>
          <w:sz w:val="20"/>
          <w:szCs w:val="20"/>
        </w:rPr>
        <w:t> </w:t>
      </w:r>
    </w:p>
    <w:p w14:paraId="5982C148" w14:textId="77777777" w:rsidR="00D35F5F" w:rsidRDefault="009E60BA" w:rsidP="002A4433">
      <w:pPr>
        <w:pStyle w:val="paragraph"/>
        <w:numPr>
          <w:ilvl w:val="0"/>
          <w:numId w:val="8"/>
        </w:numPr>
        <w:spacing w:before="0" w:beforeAutospacing="0" w:after="0" w:afterAutospacing="0"/>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 xml:space="preserve">Content and curation, decision making, and </w:t>
      </w:r>
      <w:r w:rsidR="002A4433">
        <w:rPr>
          <w:rStyle w:val="normaltextrun"/>
          <w:rFonts w:ascii="Calibri" w:hAnsi="Calibri" w:cs="Calibri"/>
          <w:color w:val="000000"/>
          <w:sz w:val="20"/>
          <w:szCs w:val="20"/>
        </w:rPr>
        <w:t xml:space="preserve"> </w:t>
      </w:r>
      <w:r>
        <w:rPr>
          <w:rStyle w:val="normaltextrun"/>
          <w:rFonts w:ascii="Calibri" w:hAnsi="Calibri" w:cs="Calibri"/>
          <w:color w:val="000000"/>
          <w:sz w:val="20"/>
          <w:szCs w:val="20"/>
        </w:rPr>
        <w:t>associated workflow procedures</w:t>
      </w:r>
    </w:p>
    <w:p w14:paraId="2F773DAB" w14:textId="7D9508E2" w:rsidR="009E60BA" w:rsidRDefault="009E60BA" w:rsidP="00D35F5F">
      <w:pPr>
        <w:pStyle w:val="paragraph"/>
        <w:spacing w:before="0" w:beforeAutospacing="0" w:after="0" w:afterAutospacing="0"/>
        <w:ind w:left="720"/>
        <w:textAlignment w:val="baseline"/>
        <w:rPr>
          <w:rFonts w:ascii="Calibri" w:hAnsi="Calibri" w:cs="Calibri"/>
          <w:color w:val="000000"/>
          <w:sz w:val="20"/>
          <w:szCs w:val="20"/>
        </w:rPr>
      </w:pPr>
      <w:r>
        <w:rPr>
          <w:rStyle w:val="normaltextrun"/>
          <w:rFonts w:ascii="Calibri" w:hAnsi="Calibri" w:cs="Calibri"/>
          <w:color w:val="000000"/>
          <w:sz w:val="20"/>
          <w:szCs w:val="20"/>
        </w:rPr>
        <w:t xml:space="preserve"> </w:t>
      </w:r>
      <w:r>
        <w:rPr>
          <w:rStyle w:val="eop"/>
          <w:rFonts w:ascii="Calibri" w:hAnsi="Calibri" w:cs="Calibri"/>
          <w:color w:val="000000"/>
          <w:sz w:val="20"/>
          <w:szCs w:val="20"/>
        </w:rPr>
        <w:t> </w:t>
      </w:r>
    </w:p>
    <w:p w14:paraId="2E0BEC53" w14:textId="77777777" w:rsidR="009E60BA" w:rsidRDefault="009E60BA" w:rsidP="009E60BA">
      <w:pPr>
        <w:pStyle w:val="paragraph"/>
        <w:numPr>
          <w:ilvl w:val="0"/>
          <w:numId w:val="8"/>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Portal administration and implementation:</w:t>
      </w:r>
      <w:r>
        <w:rPr>
          <w:rStyle w:val="eop"/>
          <w:rFonts w:ascii="Calibri" w:hAnsi="Calibri" w:cs="Calibri"/>
          <w:color w:val="000000"/>
          <w:sz w:val="20"/>
          <w:szCs w:val="20"/>
        </w:rPr>
        <w:t> </w:t>
      </w:r>
    </w:p>
    <w:p w14:paraId="33F431E3" w14:textId="77777777" w:rsidR="009E60BA" w:rsidRDefault="009E60BA" w:rsidP="009E60BA">
      <w:pPr>
        <w:pStyle w:val="paragraph"/>
        <w:numPr>
          <w:ilvl w:val="0"/>
          <w:numId w:val="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 xml:space="preserve">hosting policy </w:t>
      </w:r>
      <w:r>
        <w:rPr>
          <w:rStyle w:val="eop"/>
          <w:rFonts w:ascii="Calibri" w:hAnsi="Calibri" w:cs="Calibri"/>
          <w:color w:val="000000"/>
          <w:sz w:val="20"/>
          <w:szCs w:val="20"/>
        </w:rPr>
        <w:t> </w:t>
      </w:r>
    </w:p>
    <w:p w14:paraId="359D492A" w14:textId="77777777" w:rsidR="009E60BA" w:rsidRDefault="009E60BA" w:rsidP="002A4433">
      <w:pPr>
        <w:pStyle w:val="paragraph"/>
        <w:numPr>
          <w:ilvl w:val="0"/>
          <w:numId w:val="9"/>
        </w:numPr>
        <w:spacing w:before="0" w:beforeAutospacing="0" w:after="0" w:afterAutospacing="0"/>
        <w:ind w:left="1440"/>
        <w:textAlignment w:val="baseline"/>
        <w:rPr>
          <w:rFonts w:ascii="Calibri" w:hAnsi="Calibri" w:cs="Calibri"/>
          <w:color w:val="000000"/>
          <w:sz w:val="20"/>
          <w:szCs w:val="20"/>
        </w:rPr>
      </w:pPr>
      <w:r>
        <w:rPr>
          <w:rStyle w:val="normaltextrun"/>
          <w:rFonts w:ascii="Calibri" w:hAnsi="Calibri" w:cs="Calibri"/>
          <w:color w:val="000000"/>
          <w:sz w:val="20"/>
          <w:szCs w:val="20"/>
        </w:rPr>
        <w:t>accounts, roles, identity management, sharing and groups policies</w:t>
      </w:r>
      <w:r>
        <w:rPr>
          <w:rStyle w:val="eop"/>
          <w:rFonts w:ascii="Calibri" w:hAnsi="Calibri" w:cs="Calibri"/>
          <w:color w:val="000000"/>
          <w:sz w:val="20"/>
          <w:szCs w:val="20"/>
        </w:rPr>
        <w:t> </w:t>
      </w:r>
    </w:p>
    <w:p w14:paraId="68CAC928" w14:textId="77777777" w:rsidR="00660C85" w:rsidRPr="009E60BA" w:rsidRDefault="009E60BA" w:rsidP="002A4433">
      <w:pPr>
        <w:pStyle w:val="paragraph"/>
        <w:numPr>
          <w:ilvl w:val="0"/>
          <w:numId w:val="10"/>
        </w:numPr>
        <w:spacing w:before="0" w:beforeAutospacing="0" w:after="0" w:afterAutospacing="0"/>
        <w:textAlignment w:val="baseline"/>
        <w:rPr>
          <w:rFonts w:ascii="Calibri" w:hAnsi="Calibri" w:cs="Calibri"/>
          <w:color w:val="000000"/>
          <w:sz w:val="20"/>
          <w:szCs w:val="20"/>
        </w:rPr>
      </w:pPr>
      <w:r>
        <w:rPr>
          <w:rStyle w:val="normaltextrun"/>
          <w:rFonts w:ascii="Calibri" w:hAnsi="Calibri" w:cs="Calibri"/>
          <w:color w:val="000000"/>
          <w:sz w:val="20"/>
          <w:szCs w:val="20"/>
        </w:rPr>
        <w:t>Application implementation strategy, support, and training</w:t>
      </w:r>
    </w:p>
    <w:p w14:paraId="0A37501D" w14:textId="77777777" w:rsidR="00660C85" w:rsidRDefault="00660C85" w:rsidP="00660C85">
      <w:pPr>
        <w:spacing w:after="0"/>
        <w:sectPr w:rsidR="00660C85" w:rsidSect="00660C85">
          <w:type w:val="continuous"/>
          <w:pgSz w:w="12240" w:h="15840"/>
          <w:pgMar w:top="792" w:right="936" w:bottom="792" w:left="936" w:header="720" w:footer="720" w:gutter="0"/>
          <w:cols w:num="2" w:space="720"/>
          <w:docGrid w:linePitch="360"/>
        </w:sectPr>
      </w:pPr>
    </w:p>
    <w:p w14:paraId="42B6B846" w14:textId="77777777" w:rsidR="00660C85" w:rsidRDefault="2621E240" w:rsidP="00660C85">
      <w:pPr>
        <w:spacing w:after="80"/>
      </w:pPr>
      <w:r w:rsidRPr="2621E240">
        <w:rPr>
          <w:i/>
          <w:iCs/>
        </w:rPr>
        <w:t>Cost:</w:t>
      </w:r>
      <w:r>
        <w:t xml:space="preserve">  </w:t>
      </w:r>
      <w:r w:rsidRPr="2621E240">
        <w:rPr>
          <w:b/>
          <w:bCs/>
        </w:rPr>
        <w:t>$200,000</w:t>
      </w:r>
      <w:r>
        <w:t xml:space="preserve"> (one time – Contract staff with navigatOR staff assistance)</w:t>
      </w:r>
    </w:p>
    <w:p w14:paraId="0780F778" w14:textId="0D59D19B" w:rsidR="2621E240" w:rsidRDefault="2621E240" w:rsidP="00D35F5F">
      <w:pPr>
        <w:spacing w:after="60"/>
        <w:rPr>
          <w:b/>
          <w:bCs/>
        </w:rPr>
      </w:pPr>
      <w:r w:rsidRPr="2621E240">
        <w:rPr>
          <w:b/>
          <w:bCs/>
        </w:rPr>
        <w:t>3. Establish a data management tool</w:t>
      </w:r>
    </w:p>
    <w:p w14:paraId="60CACA90" w14:textId="77777777" w:rsidR="00D35F5F" w:rsidRDefault="6A0A2D79" w:rsidP="00D35F5F">
      <w:pPr>
        <w:spacing w:after="0"/>
      </w:pPr>
      <w:r w:rsidRPr="6A0A2D79">
        <w:rPr>
          <w:i/>
          <w:iCs/>
        </w:rPr>
        <w:lastRenderedPageBreak/>
        <w:t>Description:</w:t>
      </w:r>
      <w:r>
        <w:t xml:space="preserve">  A tool </w:t>
      </w:r>
      <w:proofErr w:type="gramStart"/>
      <w:r>
        <w:t>will be designed, and built or purchased, to assist with the management of the framework</w:t>
      </w:r>
      <w:proofErr w:type="gramEnd"/>
    </w:p>
    <w:p w14:paraId="52B3A18C" w14:textId="5EC9D552" w:rsidR="2621E240" w:rsidRDefault="6A0A2D79" w:rsidP="2621E240">
      <w:pPr>
        <w:spacing w:after="80"/>
      </w:pPr>
      <w:proofErr w:type="gramStart"/>
      <w:r>
        <w:t>datasets</w:t>
      </w:r>
      <w:proofErr w:type="gramEnd"/>
      <w:r>
        <w:t>. A key component of managing hundreds of datasets is the ability to see multiple pieces of information</w:t>
      </w:r>
      <w:r w:rsidR="00D35F5F">
        <w:t xml:space="preserve"> </w:t>
      </w:r>
      <w:r>
        <w:t xml:space="preserve">about the data library. </w:t>
      </w:r>
      <w:r w:rsidRPr="6A0A2D79">
        <w:rPr>
          <w:highlight w:val="yellow"/>
        </w:rPr>
        <w:t xml:space="preserve">It should enable navigatOR staff and stakeholders to see where a dataset is at in its lifecycle, which datasets </w:t>
      </w:r>
      <w:proofErr w:type="gramStart"/>
      <w:r w:rsidRPr="6A0A2D79">
        <w:rPr>
          <w:highlight w:val="yellow"/>
        </w:rPr>
        <w:t>are funded</w:t>
      </w:r>
      <w:proofErr w:type="gramEnd"/>
      <w:r w:rsidRPr="6A0A2D79">
        <w:rPr>
          <w:highlight w:val="yellow"/>
        </w:rPr>
        <w:t xml:space="preserve"> for construction or update, data update schedules, and more</w:t>
      </w:r>
      <w:r>
        <w:t>.</w:t>
      </w:r>
      <w:r w:rsidRPr="6A0A2D79">
        <w:rPr>
          <w:rStyle w:val="normaltextrun"/>
          <w:color w:val="000000" w:themeColor="text1"/>
        </w:rPr>
        <w:t xml:space="preserve"> </w:t>
      </w:r>
      <w:r>
        <w:t xml:space="preserve">  </w:t>
      </w:r>
    </w:p>
    <w:p w14:paraId="7078AA12" w14:textId="314BE794" w:rsidR="2621E240" w:rsidRDefault="2621E240" w:rsidP="2621E240">
      <w:pPr>
        <w:spacing w:after="80"/>
      </w:pPr>
      <w:r>
        <w:t xml:space="preserve">Cost:  </w:t>
      </w:r>
      <w:r w:rsidRPr="2621E240">
        <w:rPr>
          <w:b/>
          <w:bCs/>
        </w:rPr>
        <w:t>$150,000</w:t>
      </w:r>
      <w:r>
        <w:t xml:space="preserve"> (one time cost for initiation; subscription/licensing/ongoing maintenance costs could occur following tool launch)</w:t>
      </w:r>
    </w:p>
    <w:p w14:paraId="0777B112" w14:textId="77777777" w:rsidR="00D35F5F" w:rsidRPr="00D35F5F" w:rsidRDefault="00D35F5F" w:rsidP="00D35F5F">
      <w:pPr>
        <w:spacing w:after="0"/>
        <w:rPr>
          <w:b/>
        </w:rPr>
      </w:pPr>
    </w:p>
    <w:p w14:paraId="1A3F7D8A" w14:textId="78BD0BB9" w:rsidR="00D2159C" w:rsidRPr="002B5F36" w:rsidRDefault="00EF4D40" w:rsidP="00660C85">
      <w:pPr>
        <w:spacing w:after="120"/>
        <w:rPr>
          <w:b/>
          <w:sz w:val="26"/>
          <w:szCs w:val="26"/>
        </w:rPr>
      </w:pPr>
      <w:proofErr w:type="gramStart"/>
      <w:r>
        <w:rPr>
          <w:b/>
          <w:sz w:val="26"/>
          <w:szCs w:val="26"/>
        </w:rPr>
        <w:t>navigatOR</w:t>
      </w:r>
      <w:proofErr w:type="gramEnd"/>
      <w:r w:rsidR="00FC3578">
        <w:rPr>
          <w:b/>
          <w:sz w:val="26"/>
          <w:szCs w:val="26"/>
        </w:rPr>
        <w:t xml:space="preserve"> Program</w:t>
      </w:r>
      <w:r w:rsidR="00D2159C">
        <w:rPr>
          <w:b/>
          <w:sz w:val="26"/>
          <w:szCs w:val="26"/>
        </w:rPr>
        <w:t xml:space="preserve"> Validation</w:t>
      </w:r>
      <w:r w:rsidR="00FD2188">
        <w:rPr>
          <w:b/>
          <w:sz w:val="26"/>
          <w:szCs w:val="26"/>
        </w:rPr>
        <w:t xml:space="preserve">               </w:t>
      </w:r>
      <w:r w:rsidR="007D12B0">
        <w:rPr>
          <w:b/>
          <w:sz w:val="26"/>
          <w:szCs w:val="26"/>
        </w:rPr>
        <w:t xml:space="preserve">                              </w:t>
      </w:r>
      <w:r w:rsidR="00FD2188">
        <w:rPr>
          <w:b/>
          <w:sz w:val="26"/>
          <w:szCs w:val="26"/>
        </w:rPr>
        <w:t xml:space="preserve"> </w:t>
      </w:r>
      <w:r w:rsidR="00E60673" w:rsidRPr="00230CC3">
        <w:rPr>
          <w:b/>
          <w:color w:val="2E74B5" w:themeColor="accent1" w:themeShade="BF"/>
          <w:sz w:val="24"/>
          <w:szCs w:val="24"/>
        </w:rPr>
        <w:t>Total biennial investment $755</w:t>
      </w:r>
      <w:r w:rsidR="00FD2188" w:rsidRPr="00230CC3">
        <w:rPr>
          <w:b/>
          <w:color w:val="2E74B5" w:themeColor="accent1" w:themeShade="BF"/>
          <w:sz w:val="24"/>
          <w:szCs w:val="24"/>
        </w:rPr>
        <w:t>,000</w:t>
      </w:r>
    </w:p>
    <w:p w14:paraId="182E04DD" w14:textId="77777777" w:rsidR="00D2159C" w:rsidRPr="00660C85" w:rsidRDefault="00D2159C" w:rsidP="003F1072">
      <w:pPr>
        <w:spacing w:after="80"/>
        <w:rPr>
          <w:b/>
          <w:sz w:val="24"/>
          <w:szCs w:val="24"/>
          <w:u w:val="single"/>
        </w:rPr>
      </w:pPr>
      <w:r>
        <w:rPr>
          <w:b/>
          <w:sz w:val="24"/>
          <w:szCs w:val="24"/>
          <w:u w:val="single"/>
        </w:rPr>
        <w:t>Stakeholder Engagement</w:t>
      </w:r>
    </w:p>
    <w:p w14:paraId="3510F551" w14:textId="77777777" w:rsidR="00D2159C" w:rsidRPr="002B5F36" w:rsidRDefault="00D2159C" w:rsidP="00D2159C">
      <w:pPr>
        <w:spacing w:after="80"/>
        <w:rPr>
          <w:b/>
        </w:rPr>
      </w:pPr>
      <w:r>
        <w:rPr>
          <w:b/>
        </w:rPr>
        <w:t>1. Engage and coordinate</w:t>
      </w:r>
      <w:r w:rsidR="003F1072">
        <w:rPr>
          <w:b/>
        </w:rPr>
        <w:t xml:space="preserve"> with stakeholders in specific</w:t>
      </w:r>
      <w:r>
        <w:rPr>
          <w:b/>
        </w:rPr>
        <w:t xml:space="preserve"> communities</w:t>
      </w:r>
    </w:p>
    <w:p w14:paraId="644153BB" w14:textId="0E768C23" w:rsidR="005B1425" w:rsidRDefault="2D0A2F9F" w:rsidP="005B1425">
      <w:pPr>
        <w:spacing w:after="80"/>
      </w:pPr>
      <w:r w:rsidRPr="2D0A2F9F">
        <w:rPr>
          <w:i/>
          <w:iCs/>
        </w:rPr>
        <w:t xml:space="preserve">Description: </w:t>
      </w:r>
      <w:r>
        <w:t xml:space="preserve"> Based on identification of several high priority business processes that involve stakeholders at multiple levels of government with a pressing need to share geospatial data, it is appropriate to </w:t>
      </w:r>
      <w:r w:rsidRPr="2D0A2F9F">
        <w:rPr>
          <w:highlight w:val="yellow"/>
        </w:rPr>
        <w:t>validate the use of GEOHub functionality, and the coordination and governance provided by the navigatOR program, as a means of supporting those business processes</w:t>
      </w:r>
      <w:r>
        <w:t xml:space="preserve">. The variability of the data sharing needs, and the variety of stakeholders involved will validate GEOHub functionality and navigatOR processes in a comprehensive manner, and possibly identify additional needs not yet known or understood. </w:t>
      </w:r>
    </w:p>
    <w:p w14:paraId="4B206CA5" w14:textId="77777777" w:rsidR="00660C85" w:rsidRDefault="003F1072" w:rsidP="00D2159C">
      <w:pPr>
        <w:spacing w:after="0"/>
      </w:pPr>
      <w:r>
        <w:t xml:space="preserve">In addition, multiple validation tests </w:t>
      </w:r>
      <w:r w:rsidR="005B1425">
        <w:t xml:space="preserve">across a variety of stakeholders </w:t>
      </w:r>
      <w:r>
        <w:t>will uncover and document the likely resource requirements</w:t>
      </w:r>
      <w:r w:rsidR="005B1425">
        <w:t xml:space="preserve"> necessary to meet a wider set of stakeholder needs statewide in future navigatOR program implementation phases. Coordination with these stakeholder communities </w:t>
      </w:r>
      <w:proofErr w:type="gramStart"/>
      <w:r w:rsidR="005B1425">
        <w:t>will be designed</w:t>
      </w:r>
      <w:proofErr w:type="gramEnd"/>
      <w:r w:rsidR="005B1425">
        <w:t xml:space="preserve"> to determine the appropriate role for the navigatOR program in terms of data development</w:t>
      </w:r>
      <w:r w:rsidR="00EF4D40">
        <w:t>, data maintenance and workflow,</w:t>
      </w:r>
      <w:r w:rsidR="005B1425">
        <w:t xml:space="preserve"> and </w:t>
      </w:r>
      <w:r w:rsidR="00EF4D40">
        <w:t xml:space="preserve">data sharing within stakeholder activities that </w:t>
      </w:r>
      <w:r w:rsidR="005B1425">
        <w:t xml:space="preserve">may already be underway.  That role will likely be different with each </w:t>
      </w:r>
      <w:r w:rsidR="007D12B0">
        <w:t>stakeholder community.  The three</w:t>
      </w:r>
      <w:r w:rsidR="005B1425">
        <w:t xml:space="preserve"> business processes, with associated stakeholder communities, identified by OGIC are:</w:t>
      </w:r>
    </w:p>
    <w:p w14:paraId="7F29FBD3" w14:textId="77777777" w:rsidR="005B1425" w:rsidRDefault="005B1425" w:rsidP="00D35F5F">
      <w:pPr>
        <w:pStyle w:val="ListParagraph"/>
        <w:numPr>
          <w:ilvl w:val="0"/>
          <w:numId w:val="6"/>
        </w:numPr>
        <w:spacing w:before="60" w:after="0"/>
      </w:pPr>
      <w:r>
        <w:t>Wildfire Response &amp; Recovery</w:t>
      </w:r>
    </w:p>
    <w:p w14:paraId="2CE4704A" w14:textId="77777777" w:rsidR="005B1425" w:rsidRDefault="005B1425" w:rsidP="005B1425">
      <w:pPr>
        <w:pStyle w:val="ListParagraph"/>
        <w:numPr>
          <w:ilvl w:val="0"/>
          <w:numId w:val="6"/>
        </w:numPr>
        <w:spacing w:after="0"/>
      </w:pPr>
      <w:r>
        <w:t>Workforce Development</w:t>
      </w:r>
      <w:r w:rsidR="002C6823">
        <w:t xml:space="preserve"> &amp; Partnership</w:t>
      </w:r>
    </w:p>
    <w:p w14:paraId="3A0E89D3" w14:textId="77777777" w:rsidR="002C6823" w:rsidRDefault="002C6823" w:rsidP="00D35F5F">
      <w:pPr>
        <w:pStyle w:val="ListParagraph"/>
        <w:numPr>
          <w:ilvl w:val="0"/>
          <w:numId w:val="6"/>
        </w:numPr>
        <w:spacing w:before="0" w:after="60"/>
      </w:pPr>
      <w:r>
        <w:t>Elections Administration</w:t>
      </w:r>
    </w:p>
    <w:p w14:paraId="0325B43C" w14:textId="77777777" w:rsidR="00723201" w:rsidRDefault="00723201" w:rsidP="00723201">
      <w:pPr>
        <w:spacing w:after="80"/>
      </w:pPr>
      <w:r>
        <w:t xml:space="preserve">Cost:  </w:t>
      </w:r>
      <w:r w:rsidR="007D12B0">
        <w:rPr>
          <w:b/>
        </w:rPr>
        <w:t>$4</w:t>
      </w:r>
      <w:r w:rsidRPr="00723201">
        <w:rPr>
          <w:b/>
        </w:rPr>
        <w:t>0,000</w:t>
      </w:r>
      <w:r>
        <w:t xml:space="preserve"> (navigatOR staff, with some assistance from contract staff)</w:t>
      </w:r>
    </w:p>
    <w:p w14:paraId="1E2EF4DB" w14:textId="5F77609C" w:rsidR="005B1425" w:rsidRDefault="2621E240" w:rsidP="2621E240">
      <w:pPr>
        <w:spacing w:before="80" w:after="80"/>
        <w:rPr>
          <w:b/>
          <w:bCs/>
        </w:rPr>
      </w:pPr>
      <w:r w:rsidRPr="2621E240">
        <w:rPr>
          <w:b/>
          <w:bCs/>
        </w:rPr>
        <w:t xml:space="preserve">2. Determine data requirements for each stakeholder community </w:t>
      </w:r>
    </w:p>
    <w:p w14:paraId="0366D740" w14:textId="77777777" w:rsidR="007F1263" w:rsidRDefault="007F1263" w:rsidP="005B1425">
      <w:pPr>
        <w:spacing w:before="80" w:after="80"/>
      </w:pPr>
      <w:r w:rsidRPr="007F1263">
        <w:rPr>
          <w:i/>
        </w:rPr>
        <w:t xml:space="preserve">Description: </w:t>
      </w:r>
      <w:r w:rsidRPr="007F1263">
        <w:t xml:space="preserve"> </w:t>
      </w:r>
      <w:r>
        <w:t>Research of existing documentation for each stakeholder has identified a set of needed geospatial Framework data</w:t>
      </w:r>
      <w:r w:rsidR="0057015B">
        <w:t xml:space="preserve"> (see Attachment A)</w:t>
      </w:r>
      <w:r>
        <w:t xml:space="preserve">.  Each stakeholder community will be engaged to </w:t>
      </w:r>
      <w:r w:rsidRPr="00742B91">
        <w:rPr>
          <w:highlight w:val="yellow"/>
        </w:rPr>
        <w:t>validate the needed data</w:t>
      </w:r>
      <w:r>
        <w:t xml:space="preserve">.  Work </w:t>
      </w:r>
      <w:proofErr w:type="gramStart"/>
      <w:r>
        <w:t>being conducted</w:t>
      </w:r>
      <w:proofErr w:type="gramEnd"/>
      <w:r>
        <w:t xml:space="preserve"> in the 2019-21 biennium on data inventory and supply chain will </w:t>
      </w:r>
      <w:r w:rsidRPr="00742B91">
        <w:rPr>
          <w:highlight w:val="yellow"/>
        </w:rPr>
        <w:t>provide necessary information about the status of each Framework data set against which the data requirements from this task can be compared</w:t>
      </w:r>
      <w:r>
        <w:t>.</w:t>
      </w:r>
    </w:p>
    <w:p w14:paraId="5964AD60" w14:textId="77777777" w:rsidR="00723201" w:rsidRDefault="00723201" w:rsidP="00723201">
      <w:pPr>
        <w:spacing w:after="80"/>
      </w:pPr>
      <w:r>
        <w:t xml:space="preserve">Cost:  </w:t>
      </w:r>
      <w:r w:rsidR="007D12B0">
        <w:rPr>
          <w:b/>
        </w:rPr>
        <w:t>$20</w:t>
      </w:r>
      <w:r w:rsidRPr="00660C85">
        <w:rPr>
          <w:b/>
        </w:rPr>
        <w:t>,000</w:t>
      </w:r>
      <w:r>
        <w:t xml:space="preserve"> (navigatOR staff, with some assistance from contract staff)</w:t>
      </w:r>
    </w:p>
    <w:p w14:paraId="1A2E756D" w14:textId="6B0B65C1" w:rsidR="007F1263" w:rsidRDefault="2621E240" w:rsidP="2621E240">
      <w:pPr>
        <w:spacing w:before="80" w:after="80"/>
        <w:rPr>
          <w:b/>
          <w:bCs/>
        </w:rPr>
      </w:pPr>
      <w:r w:rsidRPr="2621E240">
        <w:rPr>
          <w:b/>
          <w:bCs/>
        </w:rPr>
        <w:t>3. Select high priority areas and high priority data for development</w:t>
      </w:r>
    </w:p>
    <w:p w14:paraId="5B30B703" w14:textId="77777777" w:rsidR="00723201" w:rsidRDefault="007F1263" w:rsidP="00FC3578">
      <w:pPr>
        <w:spacing w:after="80"/>
      </w:pPr>
      <w:r w:rsidRPr="007F1263">
        <w:rPr>
          <w:i/>
        </w:rPr>
        <w:t xml:space="preserve">Description: </w:t>
      </w:r>
      <w:r w:rsidRPr="007F1263">
        <w:t xml:space="preserve"> </w:t>
      </w:r>
      <w:r w:rsidR="0057015B">
        <w:t xml:space="preserve">Each stakeholder community will be engaged to select an area or areas within which geospatial data </w:t>
      </w:r>
      <w:proofErr w:type="gramStart"/>
      <w:r w:rsidR="0057015B">
        <w:t>will be developed</w:t>
      </w:r>
      <w:proofErr w:type="gramEnd"/>
      <w:r w:rsidR="0057015B">
        <w:t xml:space="preserve">.  </w:t>
      </w:r>
      <w:r w:rsidR="00723201">
        <w:t xml:space="preserve">Some of the Framework data </w:t>
      </w:r>
      <w:proofErr w:type="gramStart"/>
      <w:r w:rsidR="00723201">
        <w:t>are</w:t>
      </w:r>
      <w:r w:rsidR="007618E3">
        <w:t xml:space="preserve"> already developed</w:t>
      </w:r>
      <w:proofErr w:type="gramEnd"/>
      <w:r w:rsidR="007618E3">
        <w:t xml:space="preserve"> for each of </w:t>
      </w:r>
      <w:r w:rsidR="007D12B0">
        <w:t>the three</w:t>
      </w:r>
      <w:r w:rsidR="007618E3">
        <w:t xml:space="preserve"> identified business processes and can easily be deployed, but many data sets</w:t>
      </w:r>
      <w:r w:rsidR="00723201">
        <w:t xml:space="preserve"> will have to be developed or in some other way compiled in order to provide a set of data that fully meets stakeholder needs. </w:t>
      </w:r>
    </w:p>
    <w:p w14:paraId="117F96E8" w14:textId="77777777" w:rsidR="007618E3" w:rsidRDefault="0057015B" w:rsidP="00FC3578">
      <w:pPr>
        <w:spacing w:after="80"/>
      </w:pPr>
      <w:r>
        <w:t xml:space="preserve">The wildfire community has identified three large areas of the state that are high priority.  </w:t>
      </w:r>
      <w:r w:rsidR="007618E3">
        <w:t>It will likely</w:t>
      </w:r>
      <w:r>
        <w:t xml:space="preserve"> be necessary to narrow the area of development</w:t>
      </w:r>
      <w:r w:rsidR="007618E3">
        <w:t>,</w:t>
      </w:r>
      <w:r>
        <w:t xml:space="preserve"> with that communities help.  </w:t>
      </w:r>
      <w:r w:rsidR="007618E3">
        <w:t xml:space="preserve">The best scenario might be to select one county, or some smaller area, within each of the three high priority wildfire areas already chosen. </w:t>
      </w:r>
    </w:p>
    <w:p w14:paraId="21448318" w14:textId="77777777" w:rsidR="00FC3578" w:rsidRDefault="0057015B" w:rsidP="00FC3578">
      <w:pPr>
        <w:spacing w:after="80"/>
      </w:pPr>
      <w:r>
        <w:t>The workforce community has identified three areas that are high priority</w:t>
      </w:r>
      <w:r w:rsidR="007618E3">
        <w:t>, representing three workforce partnership regions.  The data needed to support the workforce business process is more lim</w:t>
      </w:r>
      <w:r w:rsidR="007D12B0">
        <w:t>ited than that for wildfire</w:t>
      </w:r>
      <w:r w:rsidR="007618E3">
        <w:t>, so those three regions should work well.</w:t>
      </w:r>
      <w:r>
        <w:t xml:space="preserve"> </w:t>
      </w:r>
    </w:p>
    <w:p w14:paraId="04089511" w14:textId="77777777" w:rsidR="00FC3578" w:rsidRDefault="0057015B" w:rsidP="00FC3578">
      <w:pPr>
        <w:spacing w:after="80"/>
      </w:pPr>
      <w:r>
        <w:t>The nature of the elections administration business process and the geospatial data needed to support that process will likely mean that the appropriate area of development will be the entire state.  The data development process for the nece</w:t>
      </w:r>
      <w:r w:rsidR="00FC3578">
        <w:t xml:space="preserve">ssary data to support elections administration </w:t>
      </w:r>
      <w:proofErr w:type="gramStart"/>
      <w:r w:rsidR="00FC3578">
        <w:t>is already known</w:t>
      </w:r>
      <w:proofErr w:type="gramEnd"/>
      <w:r w:rsidR="00FC3578">
        <w:t xml:space="preserve"> and is relatively simple.  Furthermore, there is likely to be some outside funding for the elections administration data development work in the 2019-21 biennium, which will lessen the need for as much funding in the 2021-23 biennium.</w:t>
      </w:r>
    </w:p>
    <w:p w14:paraId="11556A31" w14:textId="77777777" w:rsidR="00723201" w:rsidRDefault="001F5C2A" w:rsidP="00FC3578">
      <w:pPr>
        <w:spacing w:after="80"/>
      </w:pPr>
      <w:r>
        <w:t xml:space="preserve">Cost:  </w:t>
      </w:r>
      <w:r w:rsidR="0099566D">
        <w:rPr>
          <w:b/>
        </w:rPr>
        <w:t>$20</w:t>
      </w:r>
      <w:r w:rsidRPr="00660C85">
        <w:rPr>
          <w:b/>
        </w:rPr>
        <w:t>,000</w:t>
      </w:r>
      <w:r>
        <w:t xml:space="preserve"> (</w:t>
      </w:r>
      <w:r w:rsidR="00723201">
        <w:t>navigatOR staff, with some assistance from contract staff</w:t>
      </w:r>
      <w:r>
        <w:t>)</w:t>
      </w:r>
    </w:p>
    <w:p w14:paraId="230F878B" w14:textId="77777777" w:rsidR="00FC3578" w:rsidRPr="00660C85" w:rsidRDefault="00FC3578" w:rsidP="00FC3578">
      <w:pPr>
        <w:spacing w:after="80"/>
        <w:rPr>
          <w:b/>
          <w:sz w:val="24"/>
          <w:szCs w:val="24"/>
          <w:u w:val="single"/>
        </w:rPr>
      </w:pPr>
      <w:r>
        <w:rPr>
          <w:b/>
          <w:sz w:val="24"/>
          <w:szCs w:val="24"/>
          <w:u w:val="single"/>
        </w:rPr>
        <w:t>Program Validation</w:t>
      </w:r>
    </w:p>
    <w:p w14:paraId="6DE5ADFA" w14:textId="77777777" w:rsidR="00FC3578" w:rsidRDefault="00FC3578" w:rsidP="00FC3578">
      <w:pPr>
        <w:spacing w:before="80" w:after="80"/>
        <w:rPr>
          <w:b/>
        </w:rPr>
      </w:pPr>
      <w:r>
        <w:rPr>
          <w:b/>
        </w:rPr>
        <w:t>1</w:t>
      </w:r>
      <w:r w:rsidR="00BB13FF">
        <w:rPr>
          <w:b/>
        </w:rPr>
        <w:t>. Coordinate data development with stakeholder communities, government organizations, and/or contractors</w:t>
      </w:r>
    </w:p>
    <w:p w14:paraId="78D1A2DA" w14:textId="77777777" w:rsidR="00BB13FF" w:rsidRDefault="00FC3578" w:rsidP="00BB13FF">
      <w:pPr>
        <w:spacing w:before="80" w:after="120"/>
      </w:pPr>
      <w:r w:rsidRPr="007F1263">
        <w:rPr>
          <w:i/>
        </w:rPr>
        <w:t xml:space="preserve">Description: </w:t>
      </w:r>
      <w:r w:rsidRPr="007F1263">
        <w:t xml:space="preserve"> </w:t>
      </w:r>
      <w:r w:rsidR="00033055">
        <w:t>One of the</w:t>
      </w:r>
      <w:r w:rsidR="00BB13FF">
        <w:t xml:space="preserve"> role</w:t>
      </w:r>
      <w:r w:rsidR="00033055">
        <w:t>s</w:t>
      </w:r>
      <w:r w:rsidR="00BB13FF">
        <w:t xml:space="preserve"> of the navigatOR program in data development is to coordinate to ensure that </w:t>
      </w:r>
      <w:r w:rsidR="00BB13FF" w:rsidRPr="00742B91">
        <w:rPr>
          <w:highlight w:val="yellow"/>
        </w:rPr>
        <w:t>standardized da</w:t>
      </w:r>
      <w:r w:rsidR="00033055" w:rsidRPr="00742B91">
        <w:rPr>
          <w:highlight w:val="yellow"/>
        </w:rPr>
        <w:t xml:space="preserve">ta </w:t>
      </w:r>
      <w:proofErr w:type="gramStart"/>
      <w:r w:rsidR="00033055" w:rsidRPr="00742B91">
        <w:rPr>
          <w:highlight w:val="yellow"/>
        </w:rPr>
        <w:t>are</w:t>
      </w:r>
      <w:r w:rsidR="00BB13FF" w:rsidRPr="00742B91">
        <w:rPr>
          <w:highlight w:val="yellow"/>
        </w:rPr>
        <w:t xml:space="preserve"> developed</w:t>
      </w:r>
      <w:proofErr w:type="gramEnd"/>
      <w:r w:rsidR="00BB13FF" w:rsidRPr="00742B91">
        <w:rPr>
          <w:highlight w:val="yellow"/>
        </w:rPr>
        <w:t xml:space="preserve"> by the appropriate organization</w:t>
      </w:r>
      <w:r w:rsidR="00033055" w:rsidRPr="00742B91">
        <w:rPr>
          <w:highlight w:val="yellow"/>
        </w:rPr>
        <w:t>, are</w:t>
      </w:r>
      <w:r w:rsidR="00BB13FF" w:rsidRPr="00742B91">
        <w:rPr>
          <w:highlight w:val="yellow"/>
        </w:rPr>
        <w:t xml:space="preserve"> properly documented, and </w:t>
      </w:r>
      <w:r w:rsidR="00033055" w:rsidRPr="00742B91">
        <w:rPr>
          <w:highlight w:val="yellow"/>
        </w:rPr>
        <w:t>are</w:t>
      </w:r>
      <w:r w:rsidR="00BB13FF" w:rsidRPr="00742B91">
        <w:rPr>
          <w:highlight w:val="yellow"/>
        </w:rPr>
        <w:t xml:space="preserve"> made accessible for use by all other public bodies through GEOHub</w:t>
      </w:r>
      <w:r w:rsidR="00BB13FF">
        <w:t>.</w:t>
      </w:r>
      <w:r w:rsidR="001F5C2A">
        <w:t xml:space="preserve"> Funding </w:t>
      </w:r>
      <w:proofErr w:type="gramStart"/>
      <w:r w:rsidR="001F5C2A">
        <w:t>is requested</w:t>
      </w:r>
      <w:proofErr w:type="gramEnd"/>
      <w:r w:rsidR="001F5C2A">
        <w:t xml:space="preserve"> to cover the costs of developing or otherwise compiling </w:t>
      </w:r>
      <w:r w:rsidR="001F5C2A" w:rsidRPr="00742B91">
        <w:rPr>
          <w:highlight w:val="yellow"/>
        </w:rPr>
        <w:t>all the data required by the stakeholders, as validated in an earlier task, to support the business processes for the areas identified in an earlier task</w:t>
      </w:r>
      <w:r w:rsidR="001F5C2A">
        <w:t xml:space="preserve">. This funding </w:t>
      </w:r>
      <w:proofErr w:type="gramStart"/>
      <w:r w:rsidR="001F5C2A">
        <w:t>will be supplied</w:t>
      </w:r>
      <w:proofErr w:type="gramEnd"/>
      <w:r w:rsidR="001F5C2A">
        <w:t xml:space="preserve"> to appropriate stakeholders, organizations or contractors, through agreements or contracts designed to properly coordinate the work and efficiently expend the resources to acquire standardized data for use by all public bodies. </w:t>
      </w:r>
    </w:p>
    <w:p w14:paraId="05A2BD1F" w14:textId="77777777" w:rsidR="001F5C2A" w:rsidRDefault="001F5C2A" w:rsidP="001F5C2A">
      <w:pPr>
        <w:spacing w:after="80"/>
      </w:pPr>
      <w:r>
        <w:t xml:space="preserve">Cost:  </w:t>
      </w:r>
      <w:r w:rsidR="0099566D">
        <w:rPr>
          <w:b/>
        </w:rPr>
        <w:t>$4</w:t>
      </w:r>
      <w:r w:rsidR="000A38BF">
        <w:rPr>
          <w:b/>
        </w:rPr>
        <w:t>00,000</w:t>
      </w:r>
      <w:r>
        <w:t xml:space="preserve"> (</w:t>
      </w:r>
      <w:r w:rsidR="000A38BF">
        <w:t>navigatOR staff</w:t>
      </w:r>
      <w:r>
        <w:t>)</w:t>
      </w:r>
    </w:p>
    <w:p w14:paraId="419306F3" w14:textId="77777777" w:rsidR="00BB13FF" w:rsidRDefault="00BB13FF" w:rsidP="00BB13FF">
      <w:pPr>
        <w:spacing w:before="80" w:after="120"/>
        <w:rPr>
          <w:b/>
        </w:rPr>
      </w:pPr>
      <w:r>
        <w:rPr>
          <w:b/>
        </w:rPr>
        <w:t>2. Upload data into GEOHub and integrate data into existing stakeholder viewers and tools</w:t>
      </w:r>
    </w:p>
    <w:p w14:paraId="59F5D7FC" w14:textId="77777777" w:rsidR="00BB13FF" w:rsidRDefault="00BB13FF" w:rsidP="00BB13FF">
      <w:pPr>
        <w:spacing w:before="80" w:after="120"/>
      </w:pPr>
      <w:r w:rsidRPr="007F1263">
        <w:rPr>
          <w:i/>
        </w:rPr>
        <w:t xml:space="preserve">Description: </w:t>
      </w:r>
      <w:r w:rsidRPr="007F1263">
        <w:t xml:space="preserve"> </w:t>
      </w:r>
      <w:r>
        <w:t>As the data are developed to meet stakeholder needs, navigatOR staff will work with develop</w:t>
      </w:r>
      <w:r w:rsidR="00033055">
        <w:t xml:space="preserve">ers to </w:t>
      </w:r>
      <w:r w:rsidR="00033055" w:rsidRPr="00742B91">
        <w:rPr>
          <w:highlight w:val="yellow"/>
        </w:rPr>
        <w:t>ensure that the data are consumed into GEOHub or in some other appropriate manner made accessible through GEOHub to the stakeholders</w:t>
      </w:r>
      <w:r w:rsidR="00033055">
        <w:t xml:space="preserve">, and ultimately to all public bodies.  Staff will also work closely with stakeholders to </w:t>
      </w:r>
      <w:r w:rsidR="00033055" w:rsidRPr="00742B91">
        <w:rPr>
          <w:highlight w:val="yellow"/>
        </w:rPr>
        <w:t>integrate the data into existing viewers and tools in use by the stakeholder communities to conduct or support their business processes</w:t>
      </w:r>
      <w:r w:rsidR="00033055">
        <w:t>.</w:t>
      </w:r>
    </w:p>
    <w:p w14:paraId="2270D9F8" w14:textId="77777777" w:rsidR="000A38BF" w:rsidRDefault="000A38BF" w:rsidP="000A38BF">
      <w:pPr>
        <w:spacing w:after="80"/>
      </w:pPr>
      <w:r>
        <w:t xml:space="preserve">Cost:  </w:t>
      </w:r>
      <w:r>
        <w:rPr>
          <w:b/>
        </w:rPr>
        <w:t>$100</w:t>
      </w:r>
      <w:r w:rsidRPr="00660C85">
        <w:rPr>
          <w:b/>
        </w:rPr>
        <w:t>,000</w:t>
      </w:r>
      <w:r>
        <w:t xml:space="preserve"> (Contract staff, with assistance from navigatOR staff)</w:t>
      </w:r>
    </w:p>
    <w:p w14:paraId="1CC2283D" w14:textId="7B3D1CD9" w:rsidR="00033055" w:rsidRDefault="2D0A2F9F" w:rsidP="2D0A2F9F">
      <w:pPr>
        <w:spacing w:before="80" w:after="80"/>
        <w:rPr>
          <w:b/>
          <w:bCs/>
        </w:rPr>
      </w:pPr>
      <w:r w:rsidRPr="2D0A2F9F">
        <w:rPr>
          <w:b/>
          <w:bCs/>
        </w:rPr>
        <w:t>3. Validate that stakeholder needs have been met regarding business process support</w:t>
      </w:r>
    </w:p>
    <w:p w14:paraId="6498ABE1" w14:textId="77777777" w:rsidR="00033055" w:rsidRDefault="00033055" w:rsidP="00033055">
      <w:pPr>
        <w:spacing w:before="80" w:after="120"/>
      </w:pPr>
      <w:r w:rsidRPr="007F1263">
        <w:rPr>
          <w:i/>
        </w:rPr>
        <w:t xml:space="preserve">Description: </w:t>
      </w:r>
      <w:r w:rsidRPr="007F1263">
        <w:t xml:space="preserve"> </w:t>
      </w:r>
      <w:r>
        <w:t xml:space="preserve">Stakeholders will be engaged to determine and </w:t>
      </w:r>
      <w:r w:rsidRPr="00742B91">
        <w:rPr>
          <w:highlight w:val="yellow"/>
        </w:rPr>
        <w:t xml:space="preserve">ensure that business process </w:t>
      </w:r>
      <w:proofErr w:type="gramStart"/>
      <w:r w:rsidRPr="00742B91">
        <w:rPr>
          <w:highlight w:val="yellow"/>
        </w:rPr>
        <w:t>needs have been met</w:t>
      </w:r>
      <w:proofErr w:type="gramEnd"/>
      <w:r>
        <w:t xml:space="preserve"> through GEOHub and navigatOR program involvement.  This task will include </w:t>
      </w:r>
      <w:r w:rsidRPr="00742B91">
        <w:rPr>
          <w:highlight w:val="yellow"/>
        </w:rPr>
        <w:t>documentation of lessons learned, as well as resources necessary to meet stakeholder needs in terms of data development, integration of data into viewers and tools, etc.</w:t>
      </w:r>
    </w:p>
    <w:p w14:paraId="46025301" w14:textId="77777777" w:rsidR="000A38BF" w:rsidRDefault="000A38BF" w:rsidP="000A38BF">
      <w:pPr>
        <w:spacing w:after="80"/>
      </w:pPr>
      <w:r>
        <w:t xml:space="preserve">Cost:  </w:t>
      </w:r>
      <w:r w:rsidR="0099566D">
        <w:rPr>
          <w:b/>
        </w:rPr>
        <w:t>$75</w:t>
      </w:r>
      <w:r w:rsidRPr="00660C85">
        <w:rPr>
          <w:b/>
        </w:rPr>
        <w:t>,000</w:t>
      </w:r>
      <w:r>
        <w:t xml:space="preserve"> (Contract staff, with assistance from navigatOR staff)</w:t>
      </w:r>
    </w:p>
    <w:p w14:paraId="2C2192BB" w14:textId="77777777" w:rsidR="00033055" w:rsidRDefault="00033055" w:rsidP="00033055">
      <w:pPr>
        <w:spacing w:before="80" w:after="80"/>
        <w:rPr>
          <w:b/>
        </w:rPr>
      </w:pPr>
      <w:r>
        <w:rPr>
          <w:b/>
        </w:rPr>
        <w:t xml:space="preserve">4. </w:t>
      </w:r>
      <w:r w:rsidR="00F15E57">
        <w:rPr>
          <w:b/>
        </w:rPr>
        <w:t>Develop and document workflow</w:t>
      </w:r>
      <w:r>
        <w:rPr>
          <w:b/>
        </w:rPr>
        <w:t xml:space="preserve"> and supply chain elements for required data</w:t>
      </w:r>
    </w:p>
    <w:p w14:paraId="678AA9C7" w14:textId="77777777" w:rsidR="00033055" w:rsidRDefault="00033055" w:rsidP="00033055">
      <w:pPr>
        <w:spacing w:before="80" w:after="120"/>
      </w:pPr>
      <w:r w:rsidRPr="007F1263">
        <w:rPr>
          <w:i/>
        </w:rPr>
        <w:t xml:space="preserve">Description: </w:t>
      </w:r>
      <w:r w:rsidRPr="007F1263">
        <w:t xml:space="preserve"> </w:t>
      </w:r>
      <w:r w:rsidR="00F15E57">
        <w:t xml:space="preserve">There will be a need to </w:t>
      </w:r>
      <w:r w:rsidR="00F15E57" w:rsidRPr="00742B91">
        <w:rPr>
          <w:highlight w:val="yellow"/>
        </w:rPr>
        <w:t>determine and document the workflow for each Framework data element</w:t>
      </w:r>
      <w:r w:rsidR="00F15E57">
        <w:t xml:space="preserve"> developed during this phase of navigatOR program implementation.  In some cases, the workflow </w:t>
      </w:r>
      <w:proofErr w:type="gramStart"/>
      <w:r w:rsidR="00F15E57">
        <w:t>will have already been identified and documented during the work underway in the 2019-21 biennium</w:t>
      </w:r>
      <w:proofErr w:type="gramEnd"/>
      <w:r w:rsidR="00F15E57">
        <w:t xml:space="preserve">.  However, that work will not likely account for all the data needed to support the four business processes in this implementation phase. It will also be necessary to </w:t>
      </w:r>
      <w:r w:rsidR="00F15E57" w:rsidRPr="00EE0DFD">
        <w:rPr>
          <w:highlight w:val="yellow"/>
        </w:rPr>
        <w:t xml:space="preserve">document all the elements of the supply chain associated with each data element to ensure that the workflow is maintained continuously going forward and can be </w:t>
      </w:r>
      <w:r w:rsidR="007618E3" w:rsidRPr="00EE0DFD">
        <w:rPr>
          <w:highlight w:val="yellow"/>
        </w:rPr>
        <w:t>scaled up to a statewide level</w:t>
      </w:r>
      <w:r w:rsidR="007618E3">
        <w:t>.</w:t>
      </w:r>
    </w:p>
    <w:p w14:paraId="6F275F82" w14:textId="332D21E6" w:rsidR="00033055" w:rsidRDefault="2D0A2F9F" w:rsidP="000A38BF">
      <w:pPr>
        <w:spacing w:after="80"/>
      </w:pPr>
      <w:r>
        <w:t xml:space="preserve">Cost:  </w:t>
      </w:r>
      <w:r w:rsidRPr="2D0A2F9F">
        <w:rPr>
          <w:b/>
          <w:bCs/>
        </w:rPr>
        <w:t>$100,000</w:t>
      </w:r>
      <w:r>
        <w:t xml:space="preserve"> (Contract staff, with assistance from navigatOR staff)</w:t>
      </w:r>
    </w:p>
    <w:p w14:paraId="657A3EE2" w14:textId="77777777" w:rsidR="00D35F5F" w:rsidRDefault="00D35F5F" w:rsidP="002E4AF4">
      <w:pPr>
        <w:spacing w:after="240"/>
      </w:pPr>
    </w:p>
    <w:p w14:paraId="4E2F597E" w14:textId="0C423CAA" w:rsidR="00FD2188" w:rsidRPr="00D35F5F" w:rsidRDefault="2621E240" w:rsidP="2621E240">
      <w:pPr>
        <w:spacing w:before="80" w:after="120"/>
        <w:rPr>
          <w:b/>
          <w:bCs/>
          <w:color w:val="2E74B5" w:themeColor="accent1" w:themeShade="BF"/>
          <w:sz w:val="28"/>
          <w:szCs w:val="28"/>
        </w:rPr>
      </w:pPr>
      <w:r w:rsidRPr="00D35F5F">
        <w:rPr>
          <w:b/>
          <w:bCs/>
          <w:color w:val="2E74B5" w:themeColor="accent1" w:themeShade="BF"/>
          <w:sz w:val="28"/>
          <w:szCs w:val="28"/>
        </w:rPr>
        <w:t>TOTAL PROGRAM BIENNIAL INVESTMENT (minus staff) - $2,110,000</w:t>
      </w:r>
    </w:p>
    <w:p w14:paraId="7CBB0601" w14:textId="5096E631" w:rsidR="00BB13FF" w:rsidRDefault="2D0A2F9F" w:rsidP="2621E240">
      <w:pPr>
        <w:spacing w:after="80"/>
        <w:rPr>
          <w:b/>
          <w:bCs/>
          <w:sz w:val="28"/>
          <w:szCs w:val="28"/>
        </w:rPr>
      </w:pPr>
      <w:r w:rsidRPr="00D35F5F">
        <w:rPr>
          <w:b/>
          <w:bCs/>
          <w:color w:val="2E74B5" w:themeColor="accent1" w:themeShade="BF"/>
          <w:sz w:val="28"/>
          <w:szCs w:val="28"/>
        </w:rPr>
        <w:t xml:space="preserve">TOTAL PROGRAM BIENNIAL INVESTMENT (with staff) -    $2,890,379 </w:t>
      </w:r>
      <w:r w:rsidR="007D12B0" w:rsidRPr="00D35F5F">
        <w:rPr>
          <w:color w:val="2E74B5" w:themeColor="accent1" w:themeShade="BF"/>
        </w:rPr>
        <w:br/>
      </w:r>
    </w:p>
    <w:p w14:paraId="507F29BF" w14:textId="77777777" w:rsidR="000A5A57" w:rsidRDefault="000A5A57" w:rsidP="000A5A57">
      <w:pPr>
        <w:pStyle w:val="Title"/>
        <w:jc w:val="center"/>
      </w:pPr>
      <w:r>
        <w:t>Attachment A</w:t>
      </w:r>
    </w:p>
    <w:p w14:paraId="7FBCC1AD" w14:textId="77777777" w:rsidR="000A5A57" w:rsidRPr="000A5A57" w:rsidRDefault="00F245A9" w:rsidP="000A5A57">
      <w:pPr>
        <w:pStyle w:val="Title"/>
        <w:rPr>
          <w:sz w:val="36"/>
          <w:szCs w:val="36"/>
        </w:rPr>
      </w:pPr>
      <w:r>
        <w:rPr>
          <w:sz w:val="36"/>
          <w:szCs w:val="36"/>
        </w:rPr>
        <w:t>OGIC Validation</w:t>
      </w:r>
      <w:r w:rsidR="000A5A57" w:rsidRPr="000A5A57">
        <w:rPr>
          <w:sz w:val="36"/>
          <w:szCs w:val="36"/>
        </w:rPr>
        <w:t xml:space="preserve"> Project Overview</w:t>
      </w:r>
    </w:p>
    <w:p w14:paraId="57197071" w14:textId="77777777" w:rsidR="000A5A57" w:rsidRDefault="000A5A57" w:rsidP="0034030B">
      <w:pPr>
        <w:pStyle w:val="Heading1"/>
        <w:spacing w:before="80"/>
      </w:pPr>
      <w:r>
        <w:t>Project topic</w:t>
      </w:r>
    </w:p>
    <w:p w14:paraId="3A88AACC" w14:textId="77777777" w:rsidR="000A5A57" w:rsidRPr="00BB65EE" w:rsidRDefault="000A5A57" w:rsidP="0034030B">
      <w:pPr>
        <w:spacing w:after="80"/>
        <w:rPr>
          <w:sz w:val="26"/>
          <w:szCs w:val="26"/>
        </w:rPr>
      </w:pPr>
      <w:r w:rsidRPr="00BB65EE">
        <w:rPr>
          <w:noProof/>
          <w:sz w:val="26"/>
          <w:szCs w:val="26"/>
        </w:rPr>
        <w:t>Wildfire Response and Recovery</w:t>
      </w:r>
    </w:p>
    <w:p w14:paraId="39EC13BE" w14:textId="77777777" w:rsidR="000A5A57" w:rsidRDefault="000A5A57" w:rsidP="0034030B">
      <w:pPr>
        <w:pStyle w:val="Heading1"/>
        <w:spacing w:before="80"/>
      </w:pPr>
      <w:r>
        <w:t>Purpose</w:t>
      </w:r>
    </w:p>
    <w:p w14:paraId="55B87DB6" w14:textId="77777777" w:rsidR="000A5A57" w:rsidRPr="00D467DA" w:rsidRDefault="000A5A57" w:rsidP="0034030B">
      <w:pPr>
        <w:spacing w:after="80"/>
      </w:pPr>
      <w:r>
        <w:rPr>
          <w:noProof/>
        </w:rPr>
        <w:t>Additional Framework and other geospatial data is needed in a wide variety of areas to meet the key objectives of the Governor’s Wildfire Council and to implement their developing strategy.  For example, there is a need to improve tax lot, address, zoning, wildland/urban interface, structures, surface water, administrative boundary data, etc., for wildfire risk assessment and treatment determination, to move from a statewide perspective to a more granular approach for individual properties.</w:t>
      </w:r>
    </w:p>
    <w:p w14:paraId="31FF54C8" w14:textId="77777777" w:rsidR="000A5A57" w:rsidRDefault="000A5A57" w:rsidP="0034030B">
      <w:pPr>
        <w:pStyle w:val="Heading1"/>
        <w:spacing w:before="80"/>
      </w:pPr>
      <w:r>
        <w:t>Description</w:t>
      </w:r>
    </w:p>
    <w:p w14:paraId="2BD21CE7" w14:textId="77777777" w:rsidR="000A5A57" w:rsidRPr="00D467DA" w:rsidRDefault="000A5A57" w:rsidP="0034030B">
      <w:pPr>
        <w:spacing w:after="80"/>
      </w:pPr>
      <w:r>
        <w:rPr>
          <w:noProof/>
        </w:rPr>
        <w:t>Work with Governor's Wildfire Council to identify and develop/deploy Framework and domain-specific data needed to refine and implement their strategies for wildfire mitigation and suppression, as well as improving public health, promoting community and economic recovery, and modifying land use to address increasing wildfire threats.  Every aspect of the Council's strategy requires statewide Framework data for strategic and tactical planning and implementation.</w:t>
      </w:r>
    </w:p>
    <w:p w14:paraId="64370993" w14:textId="77777777" w:rsidR="000A5A57" w:rsidRDefault="000A5A57" w:rsidP="0034030B">
      <w:pPr>
        <w:pStyle w:val="Heading1"/>
        <w:spacing w:before="80"/>
      </w:pPr>
      <w:r>
        <w:t>Stakeholders</w:t>
      </w:r>
    </w:p>
    <w:p w14:paraId="63B79F38" w14:textId="77777777" w:rsidR="000A5A57" w:rsidRDefault="000A5A57" w:rsidP="000A5A57">
      <w:pPr>
        <w:spacing w:after="0"/>
        <w:rPr>
          <w:noProof/>
        </w:rPr>
      </w:pPr>
      <w:r>
        <w:rPr>
          <w:noProof/>
        </w:rPr>
        <w:t>Matt Donegan, Wildfire Council Chair</w:t>
      </w:r>
    </w:p>
    <w:p w14:paraId="63F0AC98" w14:textId="77777777" w:rsidR="000A5A57" w:rsidRDefault="000A5A57" w:rsidP="000A5A57">
      <w:pPr>
        <w:spacing w:after="0"/>
        <w:rPr>
          <w:noProof/>
        </w:rPr>
      </w:pPr>
      <w:r>
        <w:rPr>
          <w:noProof/>
        </w:rPr>
        <w:t>Jim Walker, State Fire Marshall</w:t>
      </w:r>
    </w:p>
    <w:p w14:paraId="145C1518" w14:textId="77777777" w:rsidR="000A5A57" w:rsidRDefault="000A5A57" w:rsidP="000A5A57">
      <w:pPr>
        <w:spacing w:after="0"/>
        <w:rPr>
          <w:noProof/>
        </w:rPr>
      </w:pPr>
      <w:r>
        <w:rPr>
          <w:noProof/>
        </w:rPr>
        <w:t>Doug Grafe, ODF Fire Protection Chief</w:t>
      </w:r>
    </w:p>
    <w:p w14:paraId="715ADF98" w14:textId="77777777" w:rsidR="000A5A57" w:rsidRDefault="000A5A57" w:rsidP="000A5A57">
      <w:pPr>
        <w:spacing w:after="0"/>
        <w:rPr>
          <w:noProof/>
        </w:rPr>
      </w:pPr>
      <w:r>
        <w:rPr>
          <w:noProof/>
        </w:rPr>
        <w:t>Peter Daugherty, ODF Director</w:t>
      </w:r>
    </w:p>
    <w:p w14:paraId="604F1440" w14:textId="77777777" w:rsidR="000A5A57" w:rsidRDefault="000A5A57" w:rsidP="000A5A57">
      <w:pPr>
        <w:spacing w:after="0"/>
        <w:rPr>
          <w:noProof/>
        </w:rPr>
      </w:pPr>
      <w:r>
        <w:rPr>
          <w:noProof/>
        </w:rPr>
        <w:t>Mark Bennett, Baker Co. Commissioner</w:t>
      </w:r>
    </w:p>
    <w:p w14:paraId="2C34ED5B" w14:textId="77777777" w:rsidR="000A5A57" w:rsidRDefault="000A5A57" w:rsidP="000A5A57">
      <w:pPr>
        <w:spacing w:after="0"/>
        <w:rPr>
          <w:noProof/>
        </w:rPr>
      </w:pPr>
      <w:r>
        <w:rPr>
          <w:noProof/>
        </w:rPr>
        <w:t>Sally Russell, Bend Mayor</w:t>
      </w:r>
    </w:p>
    <w:p w14:paraId="52ED9CFD" w14:textId="77777777" w:rsidR="000A5A57" w:rsidRDefault="000A5A57" w:rsidP="000A5A57">
      <w:pPr>
        <w:spacing w:after="0"/>
        <w:rPr>
          <w:noProof/>
        </w:rPr>
      </w:pPr>
      <w:r>
        <w:rPr>
          <w:noProof/>
        </w:rPr>
        <w:t>Allyson Ford, Ford Family Foundation</w:t>
      </w:r>
    </w:p>
    <w:p w14:paraId="7C206243" w14:textId="77777777" w:rsidR="000A5A57" w:rsidRDefault="000A5A57" w:rsidP="000A5A57">
      <w:pPr>
        <w:spacing w:after="0"/>
        <w:rPr>
          <w:noProof/>
        </w:rPr>
      </w:pPr>
      <w:r>
        <w:rPr>
          <w:noProof/>
        </w:rPr>
        <w:t>Tricia Connolly, IAAF - Bend Fire Dept</w:t>
      </w:r>
    </w:p>
    <w:p w14:paraId="5EE90EBF" w14:textId="77777777" w:rsidR="000A5A57" w:rsidRDefault="000A5A57" w:rsidP="000A5A57">
      <w:pPr>
        <w:spacing w:after="0"/>
        <w:rPr>
          <w:noProof/>
        </w:rPr>
      </w:pPr>
      <w:r>
        <w:rPr>
          <w:noProof/>
        </w:rPr>
        <w:t>Les Hallman, Asst. Chief - TVF&amp;R</w:t>
      </w:r>
    </w:p>
    <w:p w14:paraId="60F7793A" w14:textId="77777777" w:rsidR="000A5A57" w:rsidRDefault="000A5A57" w:rsidP="000A5A57">
      <w:pPr>
        <w:spacing w:after="0"/>
        <w:rPr>
          <w:noProof/>
        </w:rPr>
      </w:pPr>
      <w:r>
        <w:rPr>
          <w:noProof/>
        </w:rPr>
        <w:t>Rep. Pam Marsh, Oregon Legislature</w:t>
      </w:r>
    </w:p>
    <w:p w14:paraId="1E244F01" w14:textId="77777777" w:rsidR="000A5A57" w:rsidRDefault="000A5A57" w:rsidP="000A5A57">
      <w:pPr>
        <w:spacing w:after="0"/>
        <w:rPr>
          <w:noProof/>
        </w:rPr>
      </w:pPr>
      <w:r>
        <w:rPr>
          <w:noProof/>
        </w:rPr>
        <w:t>Sadie Carney, DLCD</w:t>
      </w:r>
    </w:p>
    <w:p w14:paraId="546EC593" w14:textId="77777777" w:rsidR="000A5A57" w:rsidRDefault="000A5A57" w:rsidP="000A5A57">
      <w:pPr>
        <w:spacing w:after="0"/>
        <w:rPr>
          <w:noProof/>
        </w:rPr>
      </w:pPr>
      <w:r>
        <w:rPr>
          <w:noProof/>
        </w:rPr>
        <w:t>Jason Miner, Gov. NR Policy Advisor</w:t>
      </w:r>
    </w:p>
    <w:p w14:paraId="451CE3FF" w14:textId="77777777" w:rsidR="000A5A57" w:rsidRPr="00D467DA" w:rsidRDefault="000A5A57" w:rsidP="000A5A57">
      <w:pPr>
        <w:spacing w:after="0"/>
      </w:pPr>
      <w:r>
        <w:rPr>
          <w:noProof/>
        </w:rPr>
        <w:t>Stefan Bird, Pacific Power CEO</w:t>
      </w:r>
    </w:p>
    <w:p w14:paraId="68FD15C1" w14:textId="77777777" w:rsidR="000A5A57" w:rsidRDefault="000A5A57" w:rsidP="0034030B">
      <w:pPr>
        <w:pStyle w:val="Heading1"/>
        <w:spacing w:before="80"/>
      </w:pPr>
      <w:r>
        <w:t>Geography</w:t>
      </w:r>
    </w:p>
    <w:p w14:paraId="712037FB" w14:textId="77777777" w:rsidR="000A5A57" w:rsidRPr="00D467DA" w:rsidRDefault="000A5A57" w:rsidP="0034030B">
      <w:pPr>
        <w:spacing w:after="80"/>
      </w:pPr>
      <w:r>
        <w:rPr>
          <w:noProof/>
        </w:rPr>
        <w:t>Specific locations to be selected within Council’s high priority areas</w:t>
      </w:r>
    </w:p>
    <w:p w14:paraId="793FD982" w14:textId="77777777" w:rsidR="000A5A57" w:rsidRDefault="000A5A57" w:rsidP="0034030B">
      <w:pPr>
        <w:pStyle w:val="Heading1"/>
        <w:spacing w:before="80"/>
      </w:pPr>
      <w:r>
        <w:t>Data required</w:t>
      </w:r>
    </w:p>
    <w:p w14:paraId="5E9362D6" w14:textId="77777777" w:rsidR="000A5A57" w:rsidRPr="00D467DA" w:rsidRDefault="000A5A57" w:rsidP="0034030B">
      <w:pPr>
        <w:spacing w:after="80"/>
      </w:pPr>
      <w:r>
        <w:rPr>
          <w:noProof/>
        </w:rPr>
        <w:t>Framework and domain-specific data delivered as web services for use in community-identified existing application(s):  tax lots, roads, structures, address points, zoning, land use, aerial imagery, economic development zones, surface water, vegetation, wildland/urban interface, administrative and district boundaries, weather &amp; climate data, vulnerable population locations, census demographics and socio-economic data, railroads, airports, critical infrastructure, electric transmission lines, agricultural production facilities, ski areas, historic buildings, recreation sites, cell towers and other communication facilities, sawmills, T&amp;E species locations; hydrologic unit boundaries, electricity management areas,  insect and vegetation disease outbreaks, drought areas, school locations, natural resource and tourism employment data, drinking water sources, air quality data, Public Health Surveillance System data, building codes, water and sewer infrastructure, riparian zones, estuaries, wetlands, flood zones, erosion prone areas, landslides, community comp plans, defensible space zones, under-protected and unprotected lands, INR Wildfire Risk Explorer</w:t>
      </w:r>
    </w:p>
    <w:p w14:paraId="139FBC57" w14:textId="77777777" w:rsidR="000A5A57" w:rsidRDefault="000A5A57" w:rsidP="0034030B">
      <w:pPr>
        <w:pStyle w:val="Heading1"/>
        <w:spacing w:before="80"/>
      </w:pPr>
      <w:r>
        <w:t>Will use GEOHub</w:t>
      </w:r>
    </w:p>
    <w:p w14:paraId="5B7FDD25" w14:textId="77777777" w:rsidR="000A5A57" w:rsidRPr="00D467DA" w:rsidRDefault="000A5A57" w:rsidP="0034030B">
      <w:pPr>
        <w:spacing w:after="80"/>
      </w:pPr>
      <w:r>
        <w:rPr>
          <w:noProof/>
        </w:rPr>
        <w:t>Yes</w:t>
      </w:r>
    </w:p>
    <w:p w14:paraId="6D3D45CB" w14:textId="77777777" w:rsidR="000A5A57" w:rsidRDefault="000A5A57" w:rsidP="0034030B">
      <w:pPr>
        <w:pStyle w:val="Heading1"/>
        <w:spacing w:before="80"/>
      </w:pPr>
      <w:r>
        <w:t>Value</w:t>
      </w:r>
    </w:p>
    <w:p w14:paraId="7E177962" w14:textId="77777777" w:rsidR="000A5A57" w:rsidRDefault="000A5A57" w:rsidP="000A5A57">
      <w:pPr>
        <w:spacing w:after="0"/>
        <w:rPr>
          <w:noProof/>
        </w:rPr>
      </w:pPr>
      <w:r>
        <w:rPr>
          <w:noProof/>
        </w:rPr>
        <w:t>High</w:t>
      </w:r>
    </w:p>
    <w:p w14:paraId="3E1426D5" w14:textId="77777777" w:rsidR="000A5A57" w:rsidRDefault="000A5A57" w:rsidP="000A5A57">
      <w:pPr>
        <w:spacing w:after="120"/>
        <w:rPr>
          <w:noProof/>
        </w:rPr>
      </w:pPr>
      <w:r>
        <w:rPr>
          <w:noProof/>
        </w:rPr>
        <mc:AlternateContent>
          <mc:Choice Requires="wps">
            <w:drawing>
              <wp:anchor distT="0" distB="0" distL="114300" distR="114300" simplePos="0" relativeHeight="251659264" behindDoc="0" locked="0" layoutInCell="1" allowOverlap="1" wp14:anchorId="465C1475" wp14:editId="5589A4FE">
                <wp:simplePos x="0" y="0"/>
                <wp:positionH relativeFrom="column">
                  <wp:posOffset>12699</wp:posOffset>
                </wp:positionH>
                <wp:positionV relativeFrom="paragraph">
                  <wp:posOffset>128482</wp:posOffset>
                </wp:positionV>
                <wp:extent cx="3920067" cy="0"/>
                <wp:effectExtent l="0" t="19050" r="23495" b="19050"/>
                <wp:wrapNone/>
                <wp:docPr id="1" name="Straight Connector 1"/>
                <wp:cNvGraphicFramePr/>
                <a:graphic xmlns:a="http://schemas.openxmlformats.org/drawingml/2006/main">
                  <a:graphicData uri="http://schemas.microsoft.com/office/word/2010/wordprocessingShape">
                    <wps:wsp>
                      <wps:cNvCnPr/>
                      <wps:spPr>
                        <a:xfrm>
                          <a:off x="0" y="0"/>
                          <a:ext cx="3920067"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45F2068C">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3pt" from="1pt,10.1pt" to="309.65pt,10.1pt" w14:anchorId="7CF0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">
                <v:stroke joinstyle="miter"/>
              </v:line>
            </w:pict>
          </mc:Fallback>
        </mc:AlternateContent>
      </w:r>
    </w:p>
    <w:p w14:paraId="14BA9B1F" w14:textId="77777777" w:rsidR="000A5A57" w:rsidRDefault="000A5A57" w:rsidP="000A5A57">
      <w:pPr>
        <w:pStyle w:val="Heading1"/>
        <w:spacing w:before="120"/>
      </w:pPr>
      <w:r>
        <w:t>Project topic</w:t>
      </w:r>
    </w:p>
    <w:p w14:paraId="12A7210C" w14:textId="77777777" w:rsidR="000A5A57" w:rsidRPr="008B530D" w:rsidRDefault="003B669E" w:rsidP="000A5A57">
      <w:pPr>
        <w:rPr>
          <w:sz w:val="26"/>
          <w:szCs w:val="26"/>
        </w:rPr>
      </w:pPr>
      <w:r>
        <w:rPr>
          <w:noProof/>
          <w:sz w:val="26"/>
          <w:szCs w:val="26"/>
        </w:rPr>
        <w:t>Election Administration</w:t>
      </w:r>
    </w:p>
    <w:p w14:paraId="426690FC" w14:textId="77777777" w:rsidR="000A5A57" w:rsidRDefault="000A5A57" w:rsidP="000A5A57">
      <w:pPr>
        <w:pStyle w:val="Heading1"/>
        <w:spacing w:before="120"/>
      </w:pPr>
      <w:r>
        <w:t>Purpose</w:t>
      </w:r>
    </w:p>
    <w:p w14:paraId="6A05A809" w14:textId="77777777" w:rsidR="00230CC3" w:rsidRDefault="00230CC3" w:rsidP="000A5A57">
      <w:pPr>
        <w:spacing w:after="0"/>
        <w:rPr>
          <w:noProof/>
        </w:rPr>
        <w:sectPr w:rsidR="00230CC3" w:rsidSect="00660C85">
          <w:type w:val="continuous"/>
          <w:pgSz w:w="12240" w:h="15840"/>
          <w:pgMar w:top="792" w:right="936" w:bottom="792" w:left="936" w:header="720" w:footer="720" w:gutter="0"/>
          <w:cols w:space="720"/>
          <w:docGrid w:linePitch="360"/>
        </w:sectPr>
      </w:pPr>
    </w:p>
    <w:p w14:paraId="64383C4D" w14:textId="77777777" w:rsidR="000A5A57" w:rsidRDefault="000A5A57" w:rsidP="00D2278F">
      <w:pPr>
        <w:spacing w:after="0"/>
        <w:ind w:right="54"/>
        <w:rPr>
          <w:noProof/>
        </w:rPr>
      </w:pPr>
      <w:r>
        <w:rPr>
          <w:noProof/>
        </w:rPr>
        <w:t>a. Check voter addresses against precinct/ district boundaries</w:t>
      </w:r>
    </w:p>
    <w:p w14:paraId="7C08AFA5" w14:textId="77777777" w:rsidR="000A5A57" w:rsidRDefault="000A5A57" w:rsidP="000A5A57">
      <w:pPr>
        <w:spacing w:after="0"/>
        <w:rPr>
          <w:noProof/>
        </w:rPr>
      </w:pPr>
      <w:r>
        <w:rPr>
          <w:noProof/>
        </w:rPr>
        <w:t>b. Answer question: What district do I live in?</w:t>
      </w:r>
    </w:p>
    <w:p w14:paraId="14D9C231" w14:textId="77777777" w:rsidR="000A5A57" w:rsidRDefault="000A5A57" w:rsidP="000A5A57">
      <w:pPr>
        <w:spacing w:after="0"/>
        <w:rPr>
          <w:noProof/>
        </w:rPr>
      </w:pPr>
      <w:r>
        <w:rPr>
          <w:noProof/>
        </w:rPr>
        <w:t>c. Answer question: What districts is this property in?</w:t>
      </w:r>
    </w:p>
    <w:p w14:paraId="58DB51FB" w14:textId="77777777" w:rsidR="000A5A57" w:rsidRDefault="000A5A57" w:rsidP="000A5A57">
      <w:pPr>
        <w:spacing w:after="0"/>
        <w:rPr>
          <w:noProof/>
        </w:rPr>
      </w:pPr>
      <w:r>
        <w:rPr>
          <w:noProof/>
        </w:rPr>
        <w:t>d. Does political candidate live in district?</w:t>
      </w:r>
    </w:p>
    <w:p w14:paraId="22229FA5" w14:textId="77777777" w:rsidR="000A5A57" w:rsidRDefault="000A5A57" w:rsidP="000A5A57">
      <w:pPr>
        <w:spacing w:after="0"/>
        <w:rPr>
          <w:noProof/>
        </w:rPr>
      </w:pPr>
      <w:r>
        <w:rPr>
          <w:noProof/>
        </w:rPr>
        <w:t>e. Check accuracy of taxlots in districts</w:t>
      </w:r>
    </w:p>
    <w:p w14:paraId="2790D6C1" w14:textId="77777777" w:rsidR="00230CC3" w:rsidRDefault="000A5A57" w:rsidP="000A5A57">
      <w:pPr>
        <w:spacing w:after="0"/>
        <w:rPr>
          <w:noProof/>
        </w:rPr>
      </w:pPr>
      <w:r>
        <w:rPr>
          <w:noProof/>
        </w:rPr>
        <w:t xml:space="preserve">f. </w:t>
      </w:r>
      <w:r w:rsidR="00230CC3">
        <w:rPr>
          <w:noProof/>
        </w:rPr>
        <w:t xml:space="preserve">Geolocate vacation rentals by county, city, and tourist regions </w:t>
      </w:r>
    </w:p>
    <w:p w14:paraId="060E62A1" w14:textId="77777777" w:rsidR="000A5A57" w:rsidRDefault="00230CC3" w:rsidP="000A5A57">
      <w:pPr>
        <w:spacing w:after="0"/>
        <w:rPr>
          <w:noProof/>
        </w:rPr>
      </w:pPr>
      <w:r>
        <w:rPr>
          <w:noProof/>
        </w:rPr>
        <w:t>g.</w:t>
      </w:r>
      <w:r w:rsidR="000A5A57">
        <w:rPr>
          <w:noProof/>
        </w:rPr>
        <w:t>Utility annexation notification</w:t>
      </w:r>
    </w:p>
    <w:p w14:paraId="1DAC27CA" w14:textId="77777777" w:rsidR="000A5A57" w:rsidRDefault="00230CC3" w:rsidP="000A5A57">
      <w:pPr>
        <w:spacing w:after="0"/>
        <w:rPr>
          <w:noProof/>
        </w:rPr>
      </w:pPr>
      <w:r>
        <w:rPr>
          <w:noProof/>
        </w:rPr>
        <w:t>h</w:t>
      </w:r>
      <w:r w:rsidR="000A5A57">
        <w:rPr>
          <w:noProof/>
        </w:rPr>
        <w:t>. Districts for public safety dispatch</w:t>
      </w:r>
    </w:p>
    <w:p w14:paraId="29C84069" w14:textId="77777777" w:rsidR="000A5A57" w:rsidRDefault="00230CC3" w:rsidP="000A5A57">
      <w:pPr>
        <w:spacing w:after="0"/>
        <w:rPr>
          <w:noProof/>
        </w:rPr>
      </w:pPr>
      <w:r>
        <w:rPr>
          <w:noProof/>
        </w:rPr>
        <w:t>i</w:t>
      </w:r>
      <w:r w:rsidR="000A5A57">
        <w:rPr>
          <w:noProof/>
        </w:rPr>
        <w:t>. Produce paper service maps for districts</w:t>
      </w:r>
    </w:p>
    <w:p w14:paraId="70BFFF09" w14:textId="77777777" w:rsidR="000A5A57" w:rsidRDefault="00230CC3" w:rsidP="000A5A57">
      <w:pPr>
        <w:spacing w:after="0"/>
        <w:rPr>
          <w:noProof/>
        </w:rPr>
      </w:pPr>
      <w:r>
        <w:rPr>
          <w:noProof/>
        </w:rPr>
        <w:t>j</w:t>
      </w:r>
      <w:r w:rsidR="000A5A57">
        <w:rPr>
          <w:noProof/>
        </w:rPr>
        <w:t>. Provide digital fire districts to fire depts.</w:t>
      </w:r>
    </w:p>
    <w:p w14:paraId="3E5B6AEF" w14:textId="77777777" w:rsidR="000A5A57" w:rsidRDefault="00230CC3" w:rsidP="000A5A57">
      <w:pPr>
        <w:spacing w:after="0"/>
        <w:rPr>
          <w:noProof/>
        </w:rPr>
      </w:pPr>
      <w:r>
        <w:rPr>
          <w:noProof/>
        </w:rPr>
        <w:t>k</w:t>
      </w:r>
      <w:r w:rsidR="000A5A57">
        <w:rPr>
          <w:noProof/>
        </w:rPr>
        <w:t>. Provide digital districts for download</w:t>
      </w:r>
    </w:p>
    <w:p w14:paraId="4F87A3DD" w14:textId="77777777" w:rsidR="000A5A57" w:rsidRDefault="00230CC3" w:rsidP="000A5A57">
      <w:pPr>
        <w:spacing w:after="0"/>
        <w:rPr>
          <w:noProof/>
        </w:rPr>
      </w:pPr>
      <w:r>
        <w:rPr>
          <w:noProof/>
        </w:rPr>
        <w:t>l</w:t>
      </w:r>
      <w:r w:rsidR="000A5A57">
        <w:rPr>
          <w:noProof/>
        </w:rPr>
        <w:t>. Locate property relative to city limits</w:t>
      </w:r>
    </w:p>
    <w:p w14:paraId="66144D84" w14:textId="77777777" w:rsidR="000A5A57" w:rsidRDefault="00230CC3" w:rsidP="000A5A57">
      <w:pPr>
        <w:spacing w:after="0"/>
        <w:rPr>
          <w:noProof/>
        </w:rPr>
      </w:pPr>
      <w:r>
        <w:rPr>
          <w:noProof/>
        </w:rPr>
        <w:t>m</w:t>
      </w:r>
      <w:r w:rsidR="000A5A57">
        <w:rPr>
          <w:noProof/>
        </w:rPr>
        <w:t>. Make maps for features in city limits</w:t>
      </w:r>
    </w:p>
    <w:p w14:paraId="72014EC1" w14:textId="77777777" w:rsidR="000A5A57" w:rsidRDefault="00230CC3" w:rsidP="000A5A57">
      <w:pPr>
        <w:spacing w:after="0"/>
        <w:rPr>
          <w:noProof/>
        </w:rPr>
      </w:pPr>
      <w:r>
        <w:rPr>
          <w:noProof/>
        </w:rPr>
        <w:t>n</w:t>
      </w:r>
      <w:r w:rsidR="000A5A57">
        <w:rPr>
          <w:noProof/>
        </w:rPr>
        <w:t>. District boundary maps</w:t>
      </w:r>
    </w:p>
    <w:p w14:paraId="3553AC80" w14:textId="77777777" w:rsidR="000A5A57" w:rsidRDefault="00230CC3" w:rsidP="000A5A57">
      <w:pPr>
        <w:spacing w:after="0"/>
        <w:rPr>
          <w:noProof/>
        </w:rPr>
      </w:pPr>
      <w:r>
        <w:rPr>
          <w:noProof/>
        </w:rPr>
        <w:t>o</w:t>
      </w:r>
      <w:r w:rsidR="000A5A57">
        <w:rPr>
          <w:noProof/>
        </w:rPr>
        <w:t>. City/County zoning /plan review</w:t>
      </w:r>
    </w:p>
    <w:p w14:paraId="6D815E1F" w14:textId="77777777" w:rsidR="000A5A57" w:rsidRDefault="00230CC3" w:rsidP="000A5A57">
      <w:pPr>
        <w:spacing w:after="0"/>
        <w:rPr>
          <w:noProof/>
        </w:rPr>
      </w:pPr>
      <w:r>
        <w:rPr>
          <w:noProof/>
        </w:rPr>
        <w:t>p</w:t>
      </w:r>
      <w:r w:rsidR="000A5A57">
        <w:rPr>
          <w:noProof/>
        </w:rPr>
        <w:t>. Urban renewal districts for eco devo</w:t>
      </w:r>
    </w:p>
    <w:p w14:paraId="46002D73" w14:textId="77777777" w:rsidR="000A5A57" w:rsidRDefault="000A5A57" w:rsidP="000A5A57">
      <w:pPr>
        <w:spacing w:after="0"/>
        <w:rPr>
          <w:noProof/>
        </w:rPr>
      </w:pPr>
      <w:r>
        <w:rPr>
          <w:noProof/>
        </w:rPr>
        <w:t>q. Geolocate pot stores by county and city</w:t>
      </w:r>
    </w:p>
    <w:p w14:paraId="023182FD" w14:textId="77777777" w:rsidR="000A5A57" w:rsidRPr="00D467DA" w:rsidRDefault="000A5A57" w:rsidP="000A5A57">
      <w:pPr>
        <w:spacing w:after="0"/>
      </w:pPr>
      <w:r>
        <w:rPr>
          <w:noProof/>
        </w:rPr>
        <w:t>r. Geolocate employees by transit districts</w:t>
      </w:r>
    </w:p>
    <w:p w14:paraId="5A39BBE3" w14:textId="77777777" w:rsidR="00230CC3" w:rsidRDefault="00230CC3" w:rsidP="000A5A57">
      <w:pPr>
        <w:pStyle w:val="Heading1"/>
        <w:spacing w:before="120"/>
        <w:sectPr w:rsidR="00230CC3" w:rsidSect="00D2278F">
          <w:type w:val="continuous"/>
          <w:pgSz w:w="12240" w:h="15840"/>
          <w:pgMar w:top="792" w:right="936" w:bottom="792" w:left="936" w:header="720" w:footer="720" w:gutter="0"/>
          <w:cols w:num="2" w:space="720" w:equalWidth="0">
            <w:col w:w="5760" w:space="720"/>
            <w:col w:w="3888"/>
          </w:cols>
          <w:docGrid w:linePitch="360"/>
        </w:sectPr>
      </w:pPr>
    </w:p>
    <w:p w14:paraId="02F99ED9" w14:textId="77777777" w:rsidR="000A5A57" w:rsidRDefault="000A5A57" w:rsidP="000A5A57">
      <w:pPr>
        <w:pStyle w:val="Heading1"/>
        <w:spacing w:before="120"/>
      </w:pPr>
      <w:r>
        <w:t>Description</w:t>
      </w:r>
    </w:p>
    <w:p w14:paraId="47BA6189" w14:textId="77777777" w:rsidR="000A5A57" w:rsidRPr="00D467DA" w:rsidRDefault="000A5A57" w:rsidP="000A5A57">
      <w:pPr>
        <w:spacing w:after="120"/>
      </w:pPr>
      <w:r>
        <w:rPr>
          <w:noProof/>
        </w:rPr>
        <w:t>Many administrative boundaries such as city limits, fire districts, and school districts are derived from taxcodes as mapped and maintained by the County Cartographers in partnership with the Department of Revenue.  Currently taxcodes are part of the cadastral map standard and are made accessible to state agencies as part of the ORMAP program.  Taxcodes are updated annually using annexations. The processing of annexations is a formal process that involves both the cartographer and Department of Revenue staff.  Many counties generate administrative boundaries using the taxcode boundaries and cross reference tables that link the mapped taxcode to administrative districts.   This project will expand on the recent Framework project completed by Lane Council of Governments.  This project will be used to review the data standard for impacted administrative boundaries, identify the best method for maintenance , explore how these boundaries can be made accessible, estimate costs and identify any gaps or problems that may exist as part of this process.</w:t>
      </w:r>
      <w:r w:rsidR="00D2278F">
        <w:rPr>
          <w:noProof/>
        </w:rPr>
        <w:t xml:space="preserve">  This project will provide significant value to elections administration, providing the ability to geo-enable elections to ensure that addresses are in the correct taxing district and that the correct ballots are generated for each address.  Providing this authoritative data from a central source, rather than having individual counties, cities and districts compiling it will result in cost savings.  And as indicated by the use case examples above, the data will be very useful for many other purposes.</w:t>
      </w:r>
    </w:p>
    <w:p w14:paraId="1E31C6C6" w14:textId="77777777" w:rsidR="000A5A57" w:rsidRDefault="000A5A57" w:rsidP="000A5A57">
      <w:pPr>
        <w:pStyle w:val="Heading1"/>
        <w:spacing w:before="120"/>
      </w:pPr>
      <w:r>
        <w:t>Stakeholders</w:t>
      </w:r>
    </w:p>
    <w:p w14:paraId="7D76231F" w14:textId="77777777" w:rsidR="000A5A57" w:rsidRDefault="000A5A57" w:rsidP="000A5A57">
      <w:pPr>
        <w:spacing w:after="0"/>
        <w:rPr>
          <w:noProof/>
        </w:rPr>
      </w:pPr>
      <w:r>
        <w:rPr>
          <w:noProof/>
        </w:rPr>
        <w:t>Xann Culver, Kelvin Adkins-Heljeson, Christopher Smart – Oregon Dept. of Revenue</w:t>
      </w:r>
    </w:p>
    <w:p w14:paraId="65F2B2FA" w14:textId="77777777" w:rsidR="000A5A57" w:rsidRDefault="000A5A57" w:rsidP="000A5A57">
      <w:pPr>
        <w:spacing w:after="0"/>
        <w:rPr>
          <w:noProof/>
        </w:rPr>
      </w:pPr>
      <w:r>
        <w:rPr>
          <w:noProof/>
        </w:rPr>
        <w:t>Tom Rohlfing, Marion Co. Assessor</w:t>
      </w:r>
    </w:p>
    <w:p w14:paraId="0C2B3CAC" w14:textId="77777777" w:rsidR="000A5A57" w:rsidRDefault="000A5A57" w:rsidP="000A5A57">
      <w:pPr>
        <w:spacing w:after="0"/>
        <w:rPr>
          <w:noProof/>
        </w:rPr>
      </w:pPr>
      <w:r>
        <w:rPr>
          <w:noProof/>
        </w:rPr>
        <w:t>Brian Beebe, Hood River Co. Assessor</w:t>
      </w:r>
      <w:r w:rsidR="003B669E">
        <w:rPr>
          <w:noProof/>
        </w:rPr>
        <w:t>/County Clerk</w:t>
      </w:r>
    </w:p>
    <w:p w14:paraId="6988BC00" w14:textId="77777777" w:rsidR="000A5A57" w:rsidRDefault="000A5A57" w:rsidP="000A5A57">
      <w:pPr>
        <w:spacing w:after="0"/>
        <w:rPr>
          <w:noProof/>
        </w:rPr>
      </w:pPr>
      <w:r>
        <w:rPr>
          <w:noProof/>
        </w:rPr>
        <w:t xml:space="preserve">David Arrasmith, Jackson Co.Assessor </w:t>
      </w:r>
    </w:p>
    <w:p w14:paraId="14E97835" w14:textId="77777777" w:rsidR="000A5A57" w:rsidRDefault="000A5A57" w:rsidP="000A5A57">
      <w:pPr>
        <w:spacing w:after="0"/>
        <w:rPr>
          <w:noProof/>
        </w:rPr>
      </w:pPr>
      <w:r>
        <w:rPr>
          <w:noProof/>
        </w:rPr>
        <w:t xml:space="preserve">Scot Langton, Deschutes Co Assessor </w:t>
      </w:r>
    </w:p>
    <w:p w14:paraId="11663BE3" w14:textId="77777777" w:rsidR="000A5A57" w:rsidRDefault="000A5A57" w:rsidP="000A5A57">
      <w:pPr>
        <w:spacing w:after="0"/>
        <w:rPr>
          <w:noProof/>
        </w:rPr>
      </w:pPr>
      <w:r>
        <w:rPr>
          <w:noProof/>
        </w:rPr>
        <w:t>Mike Cowles, Lane County Assessor</w:t>
      </w:r>
    </w:p>
    <w:p w14:paraId="3196E38B" w14:textId="77777777" w:rsidR="000A5A57" w:rsidRDefault="000A5A57" w:rsidP="000A5A57">
      <w:pPr>
        <w:spacing w:after="0"/>
        <w:rPr>
          <w:noProof/>
        </w:rPr>
      </w:pPr>
      <w:r>
        <w:rPr>
          <w:noProof/>
        </w:rPr>
        <w:t>J. Chenard, City of Monmouth</w:t>
      </w:r>
    </w:p>
    <w:p w14:paraId="5CCC7FA4" w14:textId="77777777" w:rsidR="000A5A57" w:rsidRDefault="000A5A57" w:rsidP="000A5A57">
      <w:pPr>
        <w:spacing w:after="0"/>
        <w:rPr>
          <w:noProof/>
        </w:rPr>
      </w:pPr>
      <w:r>
        <w:rPr>
          <w:noProof/>
        </w:rPr>
        <w:t>Celina Patterson, DCBS</w:t>
      </w:r>
    </w:p>
    <w:p w14:paraId="4C3CBFC3" w14:textId="77777777" w:rsidR="000A5A57" w:rsidRDefault="000A5A57" w:rsidP="000A5A57">
      <w:pPr>
        <w:spacing w:after="0"/>
        <w:rPr>
          <w:noProof/>
        </w:rPr>
      </w:pPr>
      <w:r>
        <w:rPr>
          <w:noProof/>
        </w:rPr>
        <w:t>Susan Blohm, City of Salem</w:t>
      </w:r>
    </w:p>
    <w:p w14:paraId="6A896A00" w14:textId="77777777" w:rsidR="000A5A57" w:rsidRDefault="000A5A57" w:rsidP="000A5A57">
      <w:pPr>
        <w:spacing w:after="0"/>
        <w:rPr>
          <w:noProof/>
        </w:rPr>
      </w:pPr>
      <w:r>
        <w:rPr>
          <w:noProof/>
        </w:rPr>
        <w:t>Daniel Stoelb, OEM</w:t>
      </w:r>
    </w:p>
    <w:p w14:paraId="5FCF6EE8" w14:textId="77777777" w:rsidR="000A5A57" w:rsidRDefault="000A5A57" w:rsidP="000A5A57">
      <w:pPr>
        <w:spacing w:after="0"/>
        <w:rPr>
          <w:noProof/>
        </w:rPr>
      </w:pPr>
      <w:r>
        <w:rPr>
          <w:noProof/>
        </w:rPr>
        <w:t>Rep. Greg Smith, Oregon Legislature</w:t>
      </w:r>
    </w:p>
    <w:p w14:paraId="7123506D" w14:textId="77777777" w:rsidR="000A5A57" w:rsidRDefault="000A5A57" w:rsidP="000A5A57">
      <w:pPr>
        <w:spacing w:after="0"/>
        <w:rPr>
          <w:noProof/>
        </w:rPr>
      </w:pPr>
      <w:r>
        <w:rPr>
          <w:noProof/>
        </w:rPr>
        <w:t>Rep. Nancy Nathanson, Oregon Legislature</w:t>
      </w:r>
    </w:p>
    <w:p w14:paraId="1CD48667" w14:textId="77777777" w:rsidR="000A5A57" w:rsidRPr="00D467DA" w:rsidRDefault="000A5A57" w:rsidP="000A5A57">
      <w:pPr>
        <w:spacing w:after="0"/>
      </w:pPr>
      <w:r>
        <w:rPr>
          <w:noProof/>
        </w:rPr>
        <w:t>Steve Trout, State Elections Director</w:t>
      </w:r>
    </w:p>
    <w:p w14:paraId="4A8D010E" w14:textId="77777777" w:rsidR="000A5A57" w:rsidRDefault="000A5A57" w:rsidP="000A5A57">
      <w:pPr>
        <w:pStyle w:val="Heading1"/>
        <w:spacing w:before="120"/>
      </w:pPr>
      <w:r>
        <w:t>Geography</w:t>
      </w:r>
    </w:p>
    <w:p w14:paraId="190FDDDA" w14:textId="77777777" w:rsidR="000A5A57" w:rsidRPr="00D467DA" w:rsidRDefault="000A5A57" w:rsidP="000A5A57">
      <w:pPr>
        <w:spacing w:after="120"/>
      </w:pPr>
      <w:r>
        <w:rPr>
          <w:noProof/>
        </w:rPr>
        <w:t>Statewide</w:t>
      </w:r>
    </w:p>
    <w:p w14:paraId="33451AF2" w14:textId="77777777" w:rsidR="000A5A57" w:rsidRDefault="000A5A57" w:rsidP="000A5A57">
      <w:pPr>
        <w:pStyle w:val="Heading1"/>
        <w:spacing w:before="120"/>
      </w:pPr>
      <w:r>
        <w:t>Data required</w:t>
      </w:r>
    </w:p>
    <w:p w14:paraId="5AC2E243" w14:textId="77777777" w:rsidR="000A5A57" w:rsidRPr="00D467DA" w:rsidRDefault="000A5A57" w:rsidP="000A5A57">
      <w:pPr>
        <w:spacing w:after="120"/>
      </w:pPr>
      <w:r>
        <w:rPr>
          <w:noProof/>
        </w:rPr>
        <w:t>All administrative boundaries generated from taxcodes, including but not limited to: City, Water, School, Fire, Transit, Cemetery, Urban Renewal, Library, Water, Water Control, and Community College.</w:t>
      </w:r>
    </w:p>
    <w:p w14:paraId="30999534" w14:textId="77777777" w:rsidR="000A5A57" w:rsidRDefault="000A5A57" w:rsidP="000A5A57">
      <w:pPr>
        <w:pStyle w:val="Heading1"/>
        <w:spacing w:before="120"/>
      </w:pPr>
      <w:r>
        <w:t>Will use GEOHub</w:t>
      </w:r>
    </w:p>
    <w:p w14:paraId="55239733" w14:textId="77777777" w:rsidR="000A5A57" w:rsidRPr="00D467DA" w:rsidRDefault="000A5A57" w:rsidP="000A5A57">
      <w:pPr>
        <w:spacing w:after="120"/>
      </w:pPr>
      <w:r>
        <w:rPr>
          <w:noProof/>
        </w:rPr>
        <w:t>Yes</w:t>
      </w:r>
    </w:p>
    <w:p w14:paraId="1628354A" w14:textId="77777777" w:rsidR="000A5A57" w:rsidRDefault="000A5A57" w:rsidP="000A5A57">
      <w:pPr>
        <w:pStyle w:val="Heading1"/>
        <w:spacing w:before="120"/>
      </w:pPr>
      <w:r>
        <w:t>Value</w:t>
      </w:r>
    </w:p>
    <w:p w14:paraId="05FAD91F" w14:textId="77777777" w:rsidR="000A5A57" w:rsidRDefault="000A5A57" w:rsidP="000A5A57">
      <w:pPr>
        <w:spacing w:after="0"/>
        <w:rPr>
          <w:noProof/>
        </w:rPr>
      </w:pPr>
      <w:r>
        <w:rPr>
          <w:noProof/>
        </w:rPr>
        <w:t>High</w:t>
      </w:r>
    </w:p>
    <w:p w14:paraId="05B8A2BC" w14:textId="77777777" w:rsidR="000A5A57" w:rsidRDefault="000A5A57" w:rsidP="000A5A57">
      <w:pPr>
        <w:pStyle w:val="Heading1"/>
        <w:spacing w:before="120"/>
      </w:pPr>
      <w:r>
        <w:rPr>
          <w:noProof/>
        </w:rPr>
        <mc:AlternateContent>
          <mc:Choice Requires="wps">
            <w:drawing>
              <wp:anchor distT="0" distB="0" distL="114300" distR="114300" simplePos="0" relativeHeight="251661312" behindDoc="0" locked="0" layoutInCell="1" allowOverlap="1" wp14:anchorId="0AFC97AC" wp14:editId="17535FE7">
                <wp:simplePos x="0" y="0"/>
                <wp:positionH relativeFrom="column">
                  <wp:posOffset>0</wp:posOffset>
                </wp:positionH>
                <wp:positionV relativeFrom="paragraph">
                  <wp:posOffset>204258</wp:posOffset>
                </wp:positionV>
                <wp:extent cx="3920067" cy="0"/>
                <wp:effectExtent l="0" t="19050" r="23495" b="19050"/>
                <wp:wrapNone/>
                <wp:docPr id="3" name="Straight Connector 3"/>
                <wp:cNvGraphicFramePr/>
                <a:graphic xmlns:a="http://schemas.openxmlformats.org/drawingml/2006/main">
                  <a:graphicData uri="http://schemas.microsoft.com/office/word/2010/wordprocessingShape">
                    <wps:wsp>
                      <wps:cNvCnPr/>
                      <wps:spPr>
                        <a:xfrm>
                          <a:off x="0" y="0"/>
                          <a:ext cx="3920067"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18B76076">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3pt" from="0,16.1pt" to="308.65pt,16.1pt" w14:anchorId="2410B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">
                <v:stroke joinstyle="miter"/>
              </v:line>
            </w:pict>
          </mc:Fallback>
        </mc:AlternateContent>
      </w:r>
    </w:p>
    <w:p w14:paraId="1941A149" w14:textId="77777777" w:rsidR="000A5A57" w:rsidRDefault="000A5A57" w:rsidP="000A5A57">
      <w:pPr>
        <w:pStyle w:val="Heading1"/>
        <w:spacing w:before="120"/>
      </w:pPr>
      <w:r>
        <w:t>Project topic</w:t>
      </w:r>
    </w:p>
    <w:p w14:paraId="0A708A85" w14:textId="77777777" w:rsidR="000A5A57" w:rsidRPr="008B530D" w:rsidRDefault="000A5A57" w:rsidP="000A5A57">
      <w:pPr>
        <w:spacing w:after="120"/>
        <w:rPr>
          <w:sz w:val="26"/>
          <w:szCs w:val="26"/>
        </w:rPr>
      </w:pPr>
      <w:r w:rsidRPr="008B530D">
        <w:rPr>
          <w:noProof/>
          <w:sz w:val="26"/>
          <w:szCs w:val="26"/>
        </w:rPr>
        <w:t>Workforce Partnership Common Operating Picture</w:t>
      </w:r>
    </w:p>
    <w:p w14:paraId="5F9A1F46" w14:textId="77777777" w:rsidR="000A5A57" w:rsidRDefault="000A5A57" w:rsidP="000A5A57">
      <w:pPr>
        <w:pStyle w:val="Heading1"/>
        <w:spacing w:before="120"/>
      </w:pPr>
      <w:r>
        <w:t>Purpose</w:t>
      </w:r>
    </w:p>
    <w:p w14:paraId="6F47DE6D" w14:textId="77777777" w:rsidR="000A5A57" w:rsidRPr="00D467DA" w:rsidRDefault="000A5A57" w:rsidP="000A5A57">
      <w:pPr>
        <w:spacing w:after="120"/>
      </w:pPr>
      <w:r>
        <w:rPr>
          <w:noProof/>
        </w:rPr>
        <w:t>People who need a job also often need other services, like child care, drug &amp; alcohol treatment, housing, transportation, training, etc.  Those services are provided by organizations in different government and non-government silos.  The providers don't have a good way of coordinating the service they provide to clients.  They are often unaware of the precise location and specific services other providers offer.  And the clients have a difficult time finding all the providers and getting to their offices.  They need a mapping tool that they can all use, with both a public facing interface and a provider facing interface, that gives them information about all the workforce providers.  The result would be the ability to provide a coordinated response to every client.</w:t>
      </w:r>
    </w:p>
    <w:p w14:paraId="513D93E2" w14:textId="77777777" w:rsidR="000A5A57" w:rsidRDefault="000A5A57" w:rsidP="000A5A57">
      <w:pPr>
        <w:pStyle w:val="Heading1"/>
        <w:spacing w:before="120"/>
      </w:pPr>
      <w:r>
        <w:t>Description</w:t>
      </w:r>
    </w:p>
    <w:p w14:paraId="1F6836BD" w14:textId="77777777" w:rsidR="000A5A57" w:rsidRPr="00D467DA" w:rsidRDefault="000A5A57" w:rsidP="000A5A57">
      <w:pPr>
        <w:spacing w:after="120"/>
      </w:pPr>
      <w:r>
        <w:rPr>
          <w:noProof/>
        </w:rPr>
        <w:t>Build on the proof of concept initiated by GEO with the Clackamas Workforce Partnership.  Conduct a validation project with three workforce partnership districts to validate a mapping tool that provides front-line workforce providers with a common operating picture enabling them to coordinate their work with other providers.  This validation project will provide information needed to properly scope the effort to develop necessary data statewide to support a workforce common operating picture.  The ultimate result will be a more coordinated approach to service provision for each client to meet their unique needs.</w:t>
      </w:r>
    </w:p>
    <w:p w14:paraId="7583BB72" w14:textId="77777777" w:rsidR="000A5A57" w:rsidRDefault="000A5A57" w:rsidP="000A5A57">
      <w:pPr>
        <w:pStyle w:val="Heading1"/>
        <w:spacing w:before="120"/>
      </w:pPr>
      <w:r>
        <w:t>Stakeholders</w:t>
      </w:r>
    </w:p>
    <w:p w14:paraId="3729A9B0" w14:textId="77777777" w:rsidR="000A5A57" w:rsidRPr="001E1222" w:rsidRDefault="000A5A57" w:rsidP="000A5A57">
      <w:pPr>
        <w:spacing w:after="0"/>
        <w:rPr>
          <w:noProof/>
        </w:rPr>
      </w:pPr>
      <w:r w:rsidRPr="001E1222">
        <w:rPr>
          <w:noProof/>
        </w:rPr>
        <w:t>Bridget Dazey, Clackamas Workforce Partnership Executive Director</w:t>
      </w:r>
    </w:p>
    <w:p w14:paraId="76CB3BF0" w14:textId="77777777" w:rsidR="000A5A57" w:rsidRPr="001E1222" w:rsidRDefault="000A5A57" w:rsidP="000A5A57">
      <w:pPr>
        <w:spacing w:after="0"/>
        <w:rPr>
          <w:noProof/>
        </w:rPr>
      </w:pPr>
      <w:r w:rsidRPr="001E1222">
        <w:rPr>
          <w:noProof/>
        </w:rPr>
        <w:t>Oregon Workforce Partnership Board</w:t>
      </w:r>
    </w:p>
    <w:p w14:paraId="0C9E1E24" w14:textId="77777777" w:rsidR="000A5A57" w:rsidRPr="001E1222" w:rsidRDefault="000A5A57" w:rsidP="000A5A57">
      <w:pPr>
        <w:spacing w:after="0"/>
        <w:rPr>
          <w:noProof/>
        </w:rPr>
      </w:pPr>
      <w:r w:rsidRPr="001E1222">
        <w:rPr>
          <w:noProof/>
        </w:rPr>
        <w:t>Jim Fong, Rogue Workforce Partnership Executive Director</w:t>
      </w:r>
    </w:p>
    <w:p w14:paraId="1B674928" w14:textId="77777777" w:rsidR="000A5A57" w:rsidRPr="001E1222" w:rsidRDefault="000A5A57" w:rsidP="000A5A57">
      <w:pPr>
        <w:spacing w:after="0"/>
        <w:rPr>
          <w:noProof/>
        </w:rPr>
      </w:pPr>
      <w:r w:rsidRPr="001E1222">
        <w:rPr>
          <w:noProof/>
        </w:rPr>
        <w:t>Heather Desart, Northwest Oregon Works Executive Director</w:t>
      </w:r>
    </w:p>
    <w:p w14:paraId="06299E72" w14:textId="77777777" w:rsidR="000A5A57" w:rsidRPr="001E1222" w:rsidRDefault="000A5A57" w:rsidP="000A5A57">
      <w:pPr>
        <w:spacing w:after="0"/>
        <w:rPr>
          <w:noProof/>
        </w:rPr>
      </w:pPr>
      <w:r w:rsidRPr="001E1222">
        <w:rPr>
          <w:noProof/>
        </w:rPr>
        <w:t>Kay Erickson, Employment Dept. Director</w:t>
      </w:r>
    </w:p>
    <w:p w14:paraId="7625200B" w14:textId="77777777" w:rsidR="000A5A57" w:rsidRPr="001E1222" w:rsidRDefault="000A5A57" w:rsidP="000A5A57">
      <w:pPr>
        <w:spacing w:after="120"/>
      </w:pPr>
      <w:r w:rsidRPr="001E1222">
        <w:t>Department of Human Services (VRS and Self-Sufficiency</w:t>
      </w:r>
      <w:proofErr w:type="gramStart"/>
      <w:r w:rsidRPr="001E1222">
        <w:t>)</w:t>
      </w:r>
      <w:proofErr w:type="gramEnd"/>
      <w:r w:rsidRPr="001E1222">
        <w:br/>
        <w:t>Oregon Commission for the Blind</w:t>
      </w:r>
      <w:r w:rsidRPr="001E1222">
        <w:br/>
        <w:t>Clackamas Workforce Partnership (CWP) partners with the following specific organizations, and the other workforce partnership regions would mirror these partnerships:</w:t>
      </w:r>
    </w:p>
    <w:p w14:paraId="2E6DCBBE"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Clackamas Community College</w:t>
      </w:r>
    </w:p>
    <w:p w14:paraId="297505A5"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Clackamas County – Board of County Commissioners; Health, Housing, and Human</w:t>
      </w:r>
      <w:r>
        <w:rPr>
          <w:sz w:val="22"/>
          <w:szCs w:val="22"/>
        </w:rPr>
        <w:t xml:space="preserve"> Services; Sheriff’s office, Community Corrections, jail, </w:t>
      </w:r>
      <w:r w:rsidRPr="001E1222">
        <w:rPr>
          <w:sz w:val="22"/>
          <w:szCs w:val="22"/>
        </w:rPr>
        <w:t>Clackamas Substance Abuse Progr</w:t>
      </w:r>
      <w:r>
        <w:rPr>
          <w:sz w:val="22"/>
          <w:szCs w:val="22"/>
        </w:rPr>
        <w:t>am; Early Learning Hub; Econ.</w:t>
      </w:r>
      <w:r w:rsidRPr="001E1222">
        <w:rPr>
          <w:sz w:val="22"/>
          <w:szCs w:val="22"/>
        </w:rPr>
        <w:t xml:space="preserve"> Developm</w:t>
      </w:r>
      <w:r>
        <w:rPr>
          <w:sz w:val="22"/>
          <w:szCs w:val="22"/>
        </w:rPr>
        <w:t>ent</w:t>
      </w:r>
    </w:p>
    <w:p w14:paraId="19479F04"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 xml:space="preserve">Oregon Tech </w:t>
      </w:r>
    </w:p>
    <w:p w14:paraId="399DEE8C"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Clackamas Education Service District</w:t>
      </w:r>
    </w:p>
    <w:p w14:paraId="250FC57C"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Child Care Resource &amp; Referral</w:t>
      </w:r>
    </w:p>
    <w:p w14:paraId="03292219"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proofErr w:type="spellStart"/>
      <w:r w:rsidRPr="001E1222">
        <w:rPr>
          <w:sz w:val="22"/>
          <w:szCs w:val="22"/>
        </w:rPr>
        <w:t>Easterseals</w:t>
      </w:r>
      <w:proofErr w:type="spellEnd"/>
      <w:r w:rsidRPr="001E1222">
        <w:rPr>
          <w:sz w:val="22"/>
          <w:szCs w:val="22"/>
        </w:rPr>
        <w:t xml:space="preserve"> Oregon</w:t>
      </w:r>
    </w:p>
    <w:p w14:paraId="5D21C72A"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Timberlake Job Corps</w:t>
      </w:r>
    </w:p>
    <w:p w14:paraId="56E86DDB"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Immigrant, Refugee, Community Organization</w:t>
      </w:r>
    </w:p>
    <w:p w14:paraId="1B00986A"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Oregon Manufacturing Extension Partnership</w:t>
      </w:r>
    </w:p>
    <w:p w14:paraId="3E231C8F"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Greater Portland, Inc.</w:t>
      </w:r>
    </w:p>
    <w:p w14:paraId="711387AC" w14:textId="77777777" w:rsidR="000A5A57" w:rsidRPr="008F6A09" w:rsidRDefault="000A5A57" w:rsidP="008F6A09">
      <w:pPr>
        <w:pStyle w:val="ListParagraph"/>
        <w:numPr>
          <w:ilvl w:val="0"/>
          <w:numId w:val="7"/>
        </w:numPr>
        <w:spacing w:before="0" w:after="0" w:line="240" w:lineRule="auto"/>
        <w:ind w:left="720" w:hanging="450"/>
        <w:contextualSpacing w:val="0"/>
        <w:rPr>
          <w:sz w:val="22"/>
          <w:szCs w:val="22"/>
        </w:rPr>
      </w:pPr>
      <w:r w:rsidRPr="001E1222">
        <w:rPr>
          <w:sz w:val="22"/>
          <w:szCs w:val="22"/>
        </w:rPr>
        <w:t>South-Metro STEM Partnership</w:t>
      </w:r>
    </w:p>
    <w:p w14:paraId="3A027A48"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Clackamas County Children’s Center</w:t>
      </w:r>
    </w:p>
    <w:p w14:paraId="28E8F05C" w14:textId="77777777" w:rsidR="000A5A57" w:rsidRPr="008F6A09" w:rsidRDefault="000A5A57" w:rsidP="008F6A09">
      <w:pPr>
        <w:pStyle w:val="ListParagraph"/>
        <w:numPr>
          <w:ilvl w:val="0"/>
          <w:numId w:val="7"/>
        </w:numPr>
        <w:spacing w:before="0" w:after="0" w:line="240" w:lineRule="auto"/>
        <w:ind w:left="720" w:hanging="450"/>
        <w:contextualSpacing w:val="0"/>
        <w:rPr>
          <w:sz w:val="22"/>
          <w:szCs w:val="22"/>
        </w:rPr>
      </w:pPr>
      <w:r w:rsidRPr="001E1222">
        <w:rPr>
          <w:sz w:val="22"/>
          <w:szCs w:val="22"/>
        </w:rPr>
        <w:t>Head Start programs</w:t>
      </w:r>
    </w:p>
    <w:p w14:paraId="5ADF1CB8"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Point West Credit Union</w:t>
      </w:r>
    </w:p>
    <w:p w14:paraId="5E29E2B5"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 xml:space="preserve">Clackamas Women’s Services </w:t>
      </w:r>
    </w:p>
    <w:p w14:paraId="1EC2153D"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Goodwill</w:t>
      </w:r>
    </w:p>
    <w:p w14:paraId="2CD72553"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Local Chambers of Commerce: North Clackamas; Canby; Oregon City; Sandy; Hispanic Metropolitan Chamber; Portland Area Business Alliance (to name a few)</w:t>
      </w:r>
    </w:p>
    <w:p w14:paraId="06C0C45F"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Health Share</w:t>
      </w:r>
    </w:p>
    <w:p w14:paraId="24579857"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Leadership Lab</w:t>
      </w:r>
    </w:p>
    <w:p w14:paraId="42983CDD" w14:textId="77777777" w:rsidR="000A5A57" w:rsidRPr="001E1222" w:rsidRDefault="000A5A57" w:rsidP="000A5A57">
      <w:pPr>
        <w:pStyle w:val="ListParagraph"/>
        <w:numPr>
          <w:ilvl w:val="0"/>
          <w:numId w:val="7"/>
        </w:numPr>
        <w:spacing w:before="0" w:after="0" w:line="240" w:lineRule="auto"/>
        <w:ind w:left="720" w:hanging="450"/>
        <w:contextualSpacing w:val="0"/>
        <w:rPr>
          <w:sz w:val="22"/>
          <w:szCs w:val="22"/>
        </w:rPr>
      </w:pPr>
      <w:r w:rsidRPr="001E1222">
        <w:rPr>
          <w:sz w:val="22"/>
          <w:szCs w:val="22"/>
        </w:rPr>
        <w:t>Local libraries through LINCC</w:t>
      </w:r>
    </w:p>
    <w:p w14:paraId="3F1F267F" w14:textId="77777777" w:rsidR="000A5A57" w:rsidRDefault="000A5A57" w:rsidP="000A5A57">
      <w:pPr>
        <w:pStyle w:val="Heading1"/>
        <w:spacing w:before="120"/>
      </w:pPr>
      <w:r>
        <w:t>Geography</w:t>
      </w:r>
    </w:p>
    <w:p w14:paraId="4F3CD6B4" w14:textId="77777777" w:rsidR="000A5A57" w:rsidRPr="00D467DA" w:rsidRDefault="000A5A57" w:rsidP="000A5A57">
      <w:pPr>
        <w:spacing w:after="120"/>
      </w:pPr>
      <w:r>
        <w:rPr>
          <w:noProof/>
        </w:rPr>
        <w:t>Columbia, Clatsop, Tillamook, Lincoln, Benton, Jackson, Josephine, Clackamas</w:t>
      </w:r>
    </w:p>
    <w:p w14:paraId="6D4B9C70" w14:textId="77777777" w:rsidR="000A5A57" w:rsidRDefault="000A5A57" w:rsidP="000A5A57">
      <w:pPr>
        <w:pStyle w:val="Heading1"/>
        <w:spacing w:before="120"/>
      </w:pPr>
      <w:r>
        <w:t>Data required</w:t>
      </w:r>
    </w:p>
    <w:p w14:paraId="6CF18970" w14:textId="77777777" w:rsidR="000A5A57" w:rsidRPr="00D467DA" w:rsidRDefault="000A5A57" w:rsidP="000A5A57">
      <w:pPr>
        <w:spacing w:after="120"/>
      </w:pPr>
      <w:r>
        <w:rPr>
          <w:noProof/>
        </w:rPr>
        <w:t>Schools, community colleges, training centers, vocational rehabilitation centers, worksource offices, food banks, housing assistance offices, homeless shelters, hospitals, health care facilities, drug and alcohol treatments centers, child care facilities, transit facilities, roads, addresses, mental health clinics, family support offices, urgent care facilities</w:t>
      </w:r>
    </w:p>
    <w:p w14:paraId="0A2A6FBF" w14:textId="77777777" w:rsidR="000A5A57" w:rsidRDefault="000A5A57" w:rsidP="000A5A57">
      <w:pPr>
        <w:pStyle w:val="Heading1"/>
        <w:spacing w:before="120"/>
      </w:pPr>
      <w:r>
        <w:t>Will use GEOHub</w:t>
      </w:r>
    </w:p>
    <w:p w14:paraId="55764F03" w14:textId="77777777" w:rsidR="000A5A57" w:rsidRPr="00D467DA" w:rsidRDefault="000A5A57" w:rsidP="000A5A57">
      <w:pPr>
        <w:spacing w:after="120"/>
      </w:pPr>
      <w:r>
        <w:rPr>
          <w:noProof/>
        </w:rPr>
        <w:t>Yes</w:t>
      </w:r>
    </w:p>
    <w:p w14:paraId="5422737E" w14:textId="77777777" w:rsidR="000A5A57" w:rsidRDefault="000A5A57" w:rsidP="000A5A57">
      <w:pPr>
        <w:pStyle w:val="Heading1"/>
        <w:spacing w:before="120"/>
      </w:pPr>
      <w:r>
        <w:t>Value</w:t>
      </w:r>
    </w:p>
    <w:p w14:paraId="4D4E7786" w14:textId="77777777" w:rsidR="00FD71F0" w:rsidRPr="00047770" w:rsidRDefault="000A5A57" w:rsidP="008F6A09">
      <w:pPr>
        <w:spacing w:after="0"/>
        <w:rPr>
          <w:noProof/>
        </w:rPr>
      </w:pPr>
      <w:r>
        <w:rPr>
          <w:noProof/>
        </w:rPr>
        <w:t>High</w:t>
      </w:r>
    </w:p>
    <w:sectPr w:rsidR="00FD71F0" w:rsidRPr="00047770" w:rsidSect="00660C85">
      <w:type w:val="continuous"/>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3D3EC" w14:textId="77777777" w:rsidR="00742B91" w:rsidRDefault="00742B91" w:rsidP="00742B91">
      <w:pPr>
        <w:spacing w:after="0" w:line="240" w:lineRule="auto"/>
      </w:pPr>
      <w:r>
        <w:separator/>
      </w:r>
    </w:p>
  </w:endnote>
  <w:endnote w:type="continuationSeparator" w:id="0">
    <w:p w14:paraId="0D0B940D" w14:textId="77777777" w:rsidR="00742B91" w:rsidRDefault="00742B91" w:rsidP="0074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F396" w14:textId="77777777" w:rsidR="00742B91" w:rsidRDefault="00742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B00A" w14:textId="77777777" w:rsidR="00742B91" w:rsidRDefault="00742B91" w:rsidP="00742B91">
      <w:pPr>
        <w:spacing w:after="0" w:line="240" w:lineRule="auto"/>
      </w:pPr>
      <w:r>
        <w:separator/>
      </w:r>
    </w:p>
  </w:footnote>
  <w:footnote w:type="continuationSeparator" w:id="0">
    <w:p w14:paraId="60061E4C" w14:textId="77777777" w:rsidR="00742B91" w:rsidRDefault="00742B91" w:rsidP="00742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130B"/>
    <w:multiLevelType w:val="hybridMultilevel"/>
    <w:tmpl w:val="A5727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5C2517"/>
    <w:multiLevelType w:val="hybridMultilevel"/>
    <w:tmpl w:val="272053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AC942B6"/>
    <w:multiLevelType w:val="multilevel"/>
    <w:tmpl w:val="2368A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D127B9"/>
    <w:multiLevelType w:val="hybridMultilevel"/>
    <w:tmpl w:val="1BE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A6DA1"/>
    <w:multiLevelType w:val="multilevel"/>
    <w:tmpl w:val="FE8872E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5EF475A8"/>
    <w:multiLevelType w:val="hybridMultilevel"/>
    <w:tmpl w:val="0120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B1BBB"/>
    <w:multiLevelType w:val="multilevel"/>
    <w:tmpl w:val="34C85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A6464A"/>
    <w:multiLevelType w:val="hybridMultilevel"/>
    <w:tmpl w:val="8164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E3D17"/>
    <w:multiLevelType w:val="hybridMultilevel"/>
    <w:tmpl w:val="E5768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20DE6"/>
    <w:multiLevelType w:val="hybridMultilevel"/>
    <w:tmpl w:val="30EAC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9"/>
  </w:num>
  <w:num w:numId="5">
    <w:abstractNumId w:val="8"/>
  </w:num>
  <w:num w:numId="6">
    <w:abstractNumId w:val="7"/>
  </w:num>
  <w:num w:numId="7">
    <w:abstractNumId w:val="1"/>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0D"/>
    <w:rsid w:val="00017051"/>
    <w:rsid w:val="00033055"/>
    <w:rsid w:val="000432FA"/>
    <w:rsid w:val="000456F8"/>
    <w:rsid w:val="00047770"/>
    <w:rsid w:val="00086A34"/>
    <w:rsid w:val="000A38BF"/>
    <w:rsid w:val="000A5A57"/>
    <w:rsid w:val="00107B04"/>
    <w:rsid w:val="00125EE0"/>
    <w:rsid w:val="001A69CA"/>
    <w:rsid w:val="001F5C2A"/>
    <w:rsid w:val="00230CC3"/>
    <w:rsid w:val="002326E8"/>
    <w:rsid w:val="00276DAC"/>
    <w:rsid w:val="002A4433"/>
    <w:rsid w:val="002B5F36"/>
    <w:rsid w:val="002C5B9C"/>
    <w:rsid w:val="002C6823"/>
    <w:rsid w:val="002C6B92"/>
    <w:rsid w:val="002E4AF4"/>
    <w:rsid w:val="003247E3"/>
    <w:rsid w:val="0034030B"/>
    <w:rsid w:val="00350E00"/>
    <w:rsid w:val="003B669E"/>
    <w:rsid w:val="003C75D8"/>
    <w:rsid w:val="003F1072"/>
    <w:rsid w:val="00445F19"/>
    <w:rsid w:val="00475B71"/>
    <w:rsid w:val="00486430"/>
    <w:rsid w:val="004A25AD"/>
    <w:rsid w:val="004D2047"/>
    <w:rsid w:val="004E224E"/>
    <w:rsid w:val="0054401E"/>
    <w:rsid w:val="00561E49"/>
    <w:rsid w:val="0057015B"/>
    <w:rsid w:val="0059607D"/>
    <w:rsid w:val="005B1425"/>
    <w:rsid w:val="005B6BDD"/>
    <w:rsid w:val="00660C85"/>
    <w:rsid w:val="0068722D"/>
    <w:rsid w:val="006B4397"/>
    <w:rsid w:val="006C531D"/>
    <w:rsid w:val="006D4535"/>
    <w:rsid w:val="00706E45"/>
    <w:rsid w:val="00723201"/>
    <w:rsid w:val="00742B91"/>
    <w:rsid w:val="007618E3"/>
    <w:rsid w:val="00777795"/>
    <w:rsid w:val="007A3B47"/>
    <w:rsid w:val="007C3A71"/>
    <w:rsid w:val="007D12B0"/>
    <w:rsid w:val="007E1AA7"/>
    <w:rsid w:val="007F1263"/>
    <w:rsid w:val="008141B1"/>
    <w:rsid w:val="00832283"/>
    <w:rsid w:val="0085226D"/>
    <w:rsid w:val="0085270A"/>
    <w:rsid w:val="008550CB"/>
    <w:rsid w:val="008673B8"/>
    <w:rsid w:val="008E48D0"/>
    <w:rsid w:val="008E565C"/>
    <w:rsid w:val="008F6A09"/>
    <w:rsid w:val="0090110D"/>
    <w:rsid w:val="009504C9"/>
    <w:rsid w:val="0099566D"/>
    <w:rsid w:val="009A42F8"/>
    <w:rsid w:val="009A46B6"/>
    <w:rsid w:val="009D1005"/>
    <w:rsid w:val="009D74E3"/>
    <w:rsid w:val="009E60BA"/>
    <w:rsid w:val="00A36CD3"/>
    <w:rsid w:val="00A52390"/>
    <w:rsid w:val="00A75137"/>
    <w:rsid w:val="00B441C9"/>
    <w:rsid w:val="00B6482B"/>
    <w:rsid w:val="00B85F75"/>
    <w:rsid w:val="00BB13FF"/>
    <w:rsid w:val="00C41F92"/>
    <w:rsid w:val="00C52CD4"/>
    <w:rsid w:val="00C5468A"/>
    <w:rsid w:val="00C815AC"/>
    <w:rsid w:val="00D2159C"/>
    <w:rsid w:val="00D2278F"/>
    <w:rsid w:val="00D35F5F"/>
    <w:rsid w:val="00D55E2F"/>
    <w:rsid w:val="00D84CF7"/>
    <w:rsid w:val="00D93F91"/>
    <w:rsid w:val="00DA48C2"/>
    <w:rsid w:val="00DC20C7"/>
    <w:rsid w:val="00E00682"/>
    <w:rsid w:val="00E14DA7"/>
    <w:rsid w:val="00E60673"/>
    <w:rsid w:val="00EE0DFD"/>
    <w:rsid w:val="00EF4D40"/>
    <w:rsid w:val="00F02CC8"/>
    <w:rsid w:val="00F04B19"/>
    <w:rsid w:val="00F15E57"/>
    <w:rsid w:val="00F245A9"/>
    <w:rsid w:val="00F41B9F"/>
    <w:rsid w:val="00FB7106"/>
    <w:rsid w:val="00FC3578"/>
    <w:rsid w:val="00FD2188"/>
    <w:rsid w:val="00FD71F0"/>
    <w:rsid w:val="00FD76AC"/>
    <w:rsid w:val="15276BD5"/>
    <w:rsid w:val="2621E240"/>
    <w:rsid w:val="2D0A2F9F"/>
    <w:rsid w:val="6A0A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8A26"/>
  <w15:chartTrackingRefBased/>
  <w15:docId w15:val="{1788644E-3A73-4367-A24C-BE12273F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5A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110D"/>
    <w:pPr>
      <w:spacing w:before="100" w:after="200" w:line="276" w:lineRule="auto"/>
      <w:ind w:left="720"/>
      <w:contextualSpacing/>
    </w:pPr>
    <w:rPr>
      <w:rFonts w:eastAsiaTheme="minorEastAsia"/>
      <w:sz w:val="20"/>
      <w:szCs w:val="20"/>
    </w:rPr>
  </w:style>
  <w:style w:type="character" w:customStyle="1" w:styleId="ListParagraphChar">
    <w:name w:val="List Paragraph Char"/>
    <w:basedOn w:val="DefaultParagraphFont"/>
    <w:link w:val="ListParagraph"/>
    <w:uiPriority w:val="34"/>
    <w:locked/>
    <w:rsid w:val="0090110D"/>
    <w:rPr>
      <w:rFonts w:eastAsiaTheme="minorEastAsia"/>
      <w:sz w:val="20"/>
      <w:szCs w:val="20"/>
    </w:rPr>
  </w:style>
  <w:style w:type="table" w:styleId="TableGrid">
    <w:name w:val="Table Grid"/>
    <w:basedOn w:val="TableNormal"/>
    <w:uiPriority w:val="39"/>
    <w:rsid w:val="0070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5A5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A5A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A5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42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B91"/>
  </w:style>
  <w:style w:type="paragraph" w:styleId="Footer">
    <w:name w:val="footer"/>
    <w:basedOn w:val="Normal"/>
    <w:link w:val="FooterChar"/>
    <w:uiPriority w:val="99"/>
    <w:unhideWhenUsed/>
    <w:rsid w:val="00742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B91"/>
  </w:style>
  <w:style w:type="character" w:customStyle="1" w:styleId="normaltextrun">
    <w:name w:val="normaltextrun"/>
    <w:basedOn w:val="DefaultParagraphFont"/>
    <w:rsid w:val="00D93F91"/>
  </w:style>
  <w:style w:type="paragraph" w:customStyle="1" w:styleId="paragraph">
    <w:name w:val="paragraph"/>
    <w:basedOn w:val="Normal"/>
    <w:rsid w:val="009E60BA"/>
    <w:pPr>
      <w:spacing w:before="100" w:beforeAutospacing="1" w:after="100" w:afterAutospacing="1" w:line="240" w:lineRule="auto"/>
    </w:pPr>
    <w:rPr>
      <w:rFonts w:ascii="Times New Roman" w:hAnsi="Times New Roman" w:cs="Times New Roman"/>
      <w:sz w:val="24"/>
      <w:szCs w:val="24"/>
    </w:rPr>
  </w:style>
  <w:style w:type="character" w:customStyle="1" w:styleId="eop">
    <w:name w:val="eop"/>
    <w:basedOn w:val="DefaultParagraphFont"/>
    <w:rsid w:val="009E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DBA0EF3CB0145B37A94860E9C079E" ma:contentTypeVersion="11" ma:contentTypeDescription="Create a new document." ma:contentTypeScope="" ma:versionID="a381881d53597baba1e984ac741cd6bb">
  <xsd:schema xmlns:xsd="http://www.w3.org/2001/XMLSchema" xmlns:xs="http://www.w3.org/2001/XMLSchema" xmlns:p="http://schemas.microsoft.com/office/2006/metadata/properties" xmlns:ns2="c9a21035-096d-4290-a05d-78a098e15bad" xmlns:ns3="0e8848ec-ed1c-41cb-a8df-52816b6f2170" targetNamespace="http://schemas.microsoft.com/office/2006/metadata/properties" ma:root="true" ma:fieldsID="20d663a77dc19e083e21c3c5b664394e" ns2:_="" ns3:_="">
    <xsd:import namespace="c9a21035-096d-4290-a05d-78a098e15bad"/>
    <xsd:import namespace="0e8848ec-ed1c-41cb-a8df-52816b6f21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21035-096d-4290-a05d-78a098e15b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8848ec-ed1c-41cb-a8df-52816b6f217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Status" ma:index="16" nillable="true" ma:displayName="Status" ma:default="New" ma:internalName="Status">
      <xsd:simpleType>
        <xsd:restriction base="dms:Text">
          <xsd:maxLength value="20"/>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8848ec-ed1c-41cb-a8df-52816b6f2170">New</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B0EB-B8C3-499C-9EA8-12595599A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21035-096d-4290-a05d-78a098e15bad"/>
    <ds:schemaRef ds:uri="0e8848ec-ed1c-41cb-a8df-52816b6f2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03BE7-72FF-4C86-8AF6-D28C0D13CEB9}">
  <ds:schemaRefs>
    <ds:schemaRef ds:uri="http://purl.org/dc/terms/"/>
    <ds:schemaRef ds:uri="0e8848ec-ed1c-41cb-a8df-52816b6f2170"/>
    <ds:schemaRef ds:uri="http://schemas.microsoft.com/office/2006/documentManagement/types"/>
    <ds:schemaRef ds:uri="http://schemas.microsoft.com/office/infopath/2007/PartnerControls"/>
    <ds:schemaRef ds:uri="c9a21035-096d-4290-a05d-78a098e15ba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DC73331-545A-40E8-9A2D-96CE2382D04D}">
  <ds:schemaRefs>
    <ds:schemaRef ds:uri="http://schemas.microsoft.com/sharepoint/v3/contenttype/forms"/>
  </ds:schemaRefs>
</ds:datastoreItem>
</file>

<file path=customXml/itemProps4.xml><?xml version="1.0" encoding="utf-8"?>
<ds:datastoreItem xmlns:ds="http://schemas.openxmlformats.org/officeDocument/2006/customXml" ds:itemID="{29C738F0-C469-47D2-BE7E-C816DF3F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Joshua * DAS</dc:creator>
  <cp:keywords/>
  <dc:description/>
  <cp:lastModifiedBy>SMITH Cy * DAS</cp:lastModifiedBy>
  <cp:revision>4</cp:revision>
  <dcterms:created xsi:type="dcterms:W3CDTF">2019-11-26T21:22:00Z</dcterms:created>
  <dcterms:modified xsi:type="dcterms:W3CDTF">2019-11-26T21:56:00Z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0x010100354DBA0EF3CB0145B37A94860E9C079E</vt:lpwstr>
  </property>
</Properties>
</file>