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C3F4" w14:textId="0E988F6A" w:rsidR="00E70079" w:rsidRPr="006C08F4" w:rsidRDefault="00E70079" w:rsidP="006C08F4">
      <w:pPr>
        <w:pStyle w:val="Title"/>
        <w:rPr>
          <w:sz w:val="36"/>
          <w:szCs w:val="36"/>
        </w:rPr>
      </w:pPr>
      <w:r w:rsidRPr="006C08F4">
        <w:rPr>
          <w:sz w:val="36"/>
          <w:szCs w:val="36"/>
        </w:rPr>
        <w:t xml:space="preserve">Understanding Nonprofit Bylaws </w:t>
      </w:r>
    </w:p>
    <w:p w14:paraId="7A133E8E" w14:textId="3E254E8F" w:rsidR="00E70079" w:rsidRPr="00E70079" w:rsidRDefault="00E70079" w:rsidP="006C08F4">
      <w:pPr>
        <w:spacing w:before="120" w:line="240" w:lineRule="auto"/>
      </w:pPr>
      <w:r w:rsidRPr="00E70079">
        <w:rPr>
          <w:rStyle w:val="Heading2Char"/>
        </w:rPr>
        <w:t>What are bylaws?</w:t>
      </w:r>
      <w:r w:rsidRPr="00E70079">
        <w:rPr>
          <w:rStyle w:val="Heading2Char"/>
        </w:rPr>
        <w:br/>
      </w:r>
      <w:r w:rsidRPr="00E70079">
        <w:t xml:space="preserve">Bylaws are the internal rules that govern how your nonprofit operates. They define how your board of </w:t>
      </w:r>
      <w:r w:rsidRPr="00E70079">
        <w:t>directors’</w:t>
      </w:r>
      <w:r w:rsidRPr="00E70079">
        <w:t xml:space="preserve"> functions, how decisions are made, and how responsibilities are shared among officers, committees, and members. Think of them as your nonprofit’s </w:t>
      </w:r>
      <w:r w:rsidRPr="00E70079">
        <w:rPr>
          <w:i/>
          <w:iCs/>
        </w:rPr>
        <w:t>operating manual</w:t>
      </w:r>
      <w:r w:rsidRPr="00E70079">
        <w:t>—they provide structure, consistency, and legal protection.</w:t>
      </w:r>
    </w:p>
    <w:p w14:paraId="4F53C266" w14:textId="77777777" w:rsidR="00E70079" w:rsidRPr="00E70079" w:rsidRDefault="00E70079" w:rsidP="006C08F4">
      <w:pPr>
        <w:spacing w:line="240" w:lineRule="auto"/>
      </w:pPr>
      <w:r w:rsidRPr="00E70079">
        <w:t xml:space="preserve">In Oregon, nonprofit bylaws must align with the </w:t>
      </w:r>
      <w:r w:rsidRPr="00E70079">
        <w:rPr>
          <w:b/>
          <w:bCs/>
        </w:rPr>
        <w:t>Oregon Nonprofit Corporation Act (ORS Chapter 65)</w:t>
      </w:r>
      <w:r w:rsidRPr="00E70079">
        <w:t>. While the law allows flexibility, certain provisions are required or strongly recommended to ensure compliance, good governance, and accountability.</w:t>
      </w:r>
    </w:p>
    <w:p w14:paraId="7F7942F6" w14:textId="77777777" w:rsidR="00E70079" w:rsidRPr="00E70079" w:rsidRDefault="00E70079" w:rsidP="006C08F4">
      <w:pPr>
        <w:pStyle w:val="Heading2"/>
      </w:pPr>
      <w:r w:rsidRPr="00E70079">
        <w:t>Tips for Strong, Practical Bylaws</w:t>
      </w:r>
    </w:p>
    <w:p w14:paraId="6A0ADB9D" w14:textId="77777777" w:rsidR="00E70079" w:rsidRPr="00E70079" w:rsidRDefault="00E70079" w:rsidP="006C08F4">
      <w:pPr>
        <w:numPr>
          <w:ilvl w:val="0"/>
          <w:numId w:val="1"/>
        </w:numPr>
        <w:spacing w:line="240" w:lineRule="auto"/>
      </w:pPr>
      <w:r w:rsidRPr="00E70079">
        <w:rPr>
          <w:b/>
          <w:bCs/>
        </w:rPr>
        <w:t>Keep them simple and clear.</w:t>
      </w:r>
      <w:r w:rsidRPr="00E70079">
        <w:t xml:space="preserve"> Avoid overly legalistic or rigid language. Bylaws should be easy for all board members to understand and follow.</w:t>
      </w:r>
    </w:p>
    <w:p w14:paraId="3D9806CD" w14:textId="77777777" w:rsidR="00E70079" w:rsidRPr="00E70079" w:rsidRDefault="00E70079" w:rsidP="006C08F4">
      <w:pPr>
        <w:numPr>
          <w:ilvl w:val="0"/>
          <w:numId w:val="1"/>
        </w:numPr>
        <w:spacing w:line="240" w:lineRule="auto"/>
      </w:pPr>
      <w:r w:rsidRPr="00E70079">
        <w:rPr>
          <w:b/>
          <w:bCs/>
        </w:rPr>
        <w:t>Build in flexibility.</w:t>
      </w:r>
      <w:r w:rsidRPr="00E70079">
        <w:t xml:space="preserve"> Don’t include overly specific details (like meeting dates or exact committee names) that may change </w:t>
      </w:r>
      <w:proofErr w:type="gramStart"/>
      <w:r w:rsidRPr="00E70079">
        <w:t>often—</w:t>
      </w:r>
      <w:proofErr w:type="gramEnd"/>
      <w:r w:rsidRPr="00E70079">
        <w:t>these can be covered in policies or procedures instead.</w:t>
      </w:r>
    </w:p>
    <w:p w14:paraId="0C49CE7A" w14:textId="77777777" w:rsidR="00E70079" w:rsidRPr="00E70079" w:rsidRDefault="00E70079" w:rsidP="006C08F4">
      <w:pPr>
        <w:numPr>
          <w:ilvl w:val="0"/>
          <w:numId w:val="1"/>
        </w:numPr>
        <w:spacing w:line="240" w:lineRule="auto"/>
      </w:pPr>
      <w:r w:rsidRPr="00E70079">
        <w:rPr>
          <w:b/>
          <w:bCs/>
        </w:rPr>
        <w:t>Ensure legal compliance.</w:t>
      </w:r>
      <w:r w:rsidRPr="00E70079">
        <w:t xml:space="preserve"> Check your bylaws against Oregon law (ORS Chapter 65) and federal requirements for 501(c)(3) organizations.</w:t>
      </w:r>
    </w:p>
    <w:p w14:paraId="0682D64C" w14:textId="77777777" w:rsidR="00E70079" w:rsidRPr="00E70079" w:rsidRDefault="00E70079" w:rsidP="006C08F4">
      <w:pPr>
        <w:numPr>
          <w:ilvl w:val="0"/>
          <w:numId w:val="1"/>
        </w:numPr>
        <w:spacing w:line="240" w:lineRule="auto"/>
      </w:pPr>
      <w:r w:rsidRPr="00E70079">
        <w:rPr>
          <w:b/>
          <w:bCs/>
        </w:rPr>
        <w:t>Review regularly.</w:t>
      </w:r>
      <w:r w:rsidRPr="00E70079">
        <w:t xml:space="preserve"> Revisit your bylaws every three years or when major organizational changes occur.</w:t>
      </w:r>
    </w:p>
    <w:p w14:paraId="6463C905" w14:textId="77777777" w:rsidR="00E70079" w:rsidRPr="00E70079" w:rsidRDefault="00E70079" w:rsidP="006C08F4">
      <w:pPr>
        <w:numPr>
          <w:ilvl w:val="0"/>
          <w:numId w:val="1"/>
        </w:numPr>
        <w:spacing w:line="240" w:lineRule="auto"/>
      </w:pPr>
      <w:r w:rsidRPr="00E70079">
        <w:rPr>
          <w:b/>
          <w:bCs/>
        </w:rPr>
        <w:t>Document changes.</w:t>
      </w:r>
      <w:r w:rsidRPr="00E70079">
        <w:t xml:space="preserve"> Attach any amendments directly to the executive director’s official copy and record them in the board minutes.</w:t>
      </w:r>
    </w:p>
    <w:p w14:paraId="6BA980C0" w14:textId="31867FF2" w:rsidR="00E70079" w:rsidRPr="00E70079" w:rsidRDefault="00E70079" w:rsidP="006C08F4">
      <w:pPr>
        <w:pStyle w:val="Heading2"/>
      </w:pPr>
      <w:r w:rsidRPr="00E70079">
        <w:t>Checklist</w:t>
      </w:r>
      <w:r w:rsidR="00B07EAF">
        <w:t xml:space="preserve"> of Things to Consider Including in Bylaws</w:t>
      </w:r>
    </w:p>
    <w:p w14:paraId="60BD2462" w14:textId="3EA93A25" w:rsidR="00E70079" w:rsidRPr="00E70079" w:rsidRDefault="00E70079" w:rsidP="006C08F4">
      <w:pPr>
        <w:spacing w:before="120" w:line="240" w:lineRule="auto"/>
      </w:pPr>
      <w:r w:rsidRPr="00E70079">
        <w:t>Below is a comprehensive checklist combining legal requirements, Oregon-specific guidance, and best practices</w:t>
      </w:r>
      <w:r w:rsidR="00B07EAF">
        <w:t xml:space="preserve"> as a starting point for reviewing and updating your bylaws</w:t>
      </w:r>
      <w:r w:rsidRPr="00E70079">
        <w:t>.</w:t>
      </w:r>
    </w:p>
    <w:p w14:paraId="5329AD53" w14:textId="77777777" w:rsidR="00E70079" w:rsidRPr="00E70079" w:rsidRDefault="00E70079" w:rsidP="006C08F4">
      <w:pPr>
        <w:spacing w:line="240" w:lineRule="auto"/>
        <w:rPr>
          <w:b/>
          <w:bCs/>
        </w:rPr>
      </w:pPr>
      <w:r w:rsidRPr="00E70079">
        <w:rPr>
          <w:b/>
          <w:bCs/>
        </w:rPr>
        <w:t>1. General Information</w:t>
      </w:r>
    </w:p>
    <w:p w14:paraId="00EB2E4F" w14:textId="29C5D08A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Name and principal office</w:t>
      </w:r>
      <w:r w:rsidRPr="00E70079">
        <w:t xml:space="preserve"> – as stated in Articles of Incorporation</w:t>
      </w:r>
    </w:p>
    <w:p w14:paraId="595C486A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Statement of purpose</w:t>
      </w:r>
      <w:r w:rsidRPr="00E70079">
        <w:t xml:space="preserve"> – align with your charitable mission and IRS 501(c)(3) purposes</w:t>
      </w:r>
    </w:p>
    <w:p w14:paraId="445301CB" w14:textId="77777777" w:rsidR="00E70079" w:rsidRPr="00E70079" w:rsidRDefault="00E70079" w:rsidP="006C08F4">
      <w:pPr>
        <w:spacing w:after="240" w:line="240" w:lineRule="auto"/>
      </w:pPr>
      <w:r w:rsidRPr="00E70079">
        <w:t xml:space="preserve">☐ </w:t>
      </w:r>
      <w:r w:rsidRPr="00E70079">
        <w:rPr>
          <w:b/>
          <w:bCs/>
        </w:rPr>
        <w:t>Fiscal year</w:t>
      </w:r>
      <w:r w:rsidRPr="00E70079">
        <w:t xml:space="preserve"> – specify start and end dates</w:t>
      </w:r>
    </w:p>
    <w:p w14:paraId="14B6E700" w14:textId="77777777" w:rsidR="00E70079" w:rsidRPr="00E70079" w:rsidRDefault="00E70079" w:rsidP="006C08F4">
      <w:pPr>
        <w:spacing w:before="120" w:line="240" w:lineRule="auto"/>
        <w:rPr>
          <w:b/>
          <w:bCs/>
        </w:rPr>
      </w:pPr>
      <w:r w:rsidRPr="00E70079">
        <w:rPr>
          <w:b/>
          <w:bCs/>
        </w:rPr>
        <w:t>2. Membership (if applicable)</w:t>
      </w:r>
    </w:p>
    <w:p w14:paraId="47C8A24C" w14:textId="77777777" w:rsidR="00E70079" w:rsidRPr="00E70079" w:rsidRDefault="00E70079" w:rsidP="006C08F4">
      <w:pPr>
        <w:spacing w:line="240" w:lineRule="auto"/>
      </w:pPr>
      <w:r w:rsidRPr="00E70079">
        <w:t xml:space="preserve">Oregon allows both </w:t>
      </w:r>
      <w:r w:rsidRPr="00E70079">
        <w:rPr>
          <w:i/>
          <w:iCs/>
        </w:rPr>
        <w:t>member</w:t>
      </w:r>
      <w:r w:rsidRPr="00E70079">
        <w:t xml:space="preserve"> and </w:t>
      </w:r>
      <w:r w:rsidRPr="00E70079">
        <w:rPr>
          <w:i/>
          <w:iCs/>
        </w:rPr>
        <w:t>non-member</w:t>
      </w:r>
      <w:r w:rsidRPr="00E70079">
        <w:t xml:space="preserve"> nonprofits (ORS 65.001).</w:t>
      </w:r>
    </w:p>
    <w:p w14:paraId="77071965" w14:textId="77777777" w:rsidR="00E70079" w:rsidRPr="00E70079" w:rsidRDefault="00E70079" w:rsidP="006C08F4">
      <w:pPr>
        <w:spacing w:line="240" w:lineRule="auto"/>
      </w:pPr>
      <w:r w:rsidRPr="00E70079">
        <w:t>☐ Whether the corporation has members</w:t>
      </w:r>
    </w:p>
    <w:p w14:paraId="66662516" w14:textId="77777777" w:rsidR="00E70079" w:rsidRPr="00E70079" w:rsidRDefault="00E70079" w:rsidP="006C08F4">
      <w:pPr>
        <w:spacing w:line="240" w:lineRule="auto"/>
      </w:pPr>
      <w:r w:rsidRPr="00E70079">
        <w:t>☐ Rights and responsibilities of members (voting, dues, notice, etc.)</w:t>
      </w:r>
    </w:p>
    <w:p w14:paraId="77A99E52" w14:textId="77777777" w:rsidR="00E70079" w:rsidRPr="00E70079" w:rsidRDefault="00E70079" w:rsidP="006C08F4">
      <w:pPr>
        <w:spacing w:line="240" w:lineRule="auto"/>
      </w:pPr>
      <w:r w:rsidRPr="00E70079">
        <w:t>☐ Process for admitting and removing members</w:t>
      </w:r>
    </w:p>
    <w:p w14:paraId="412BAE1E" w14:textId="77777777" w:rsidR="00E70079" w:rsidRPr="00E70079" w:rsidRDefault="00E70079" w:rsidP="006C08F4">
      <w:pPr>
        <w:spacing w:line="240" w:lineRule="auto"/>
      </w:pPr>
      <w:r w:rsidRPr="00E70079">
        <w:t>☐ Membership meetings (frequency, quorum, and notice requirements)</w:t>
      </w:r>
    </w:p>
    <w:p w14:paraId="43C39854" w14:textId="4AB158F7" w:rsidR="00E70079" w:rsidRPr="00E70079" w:rsidRDefault="00E70079" w:rsidP="006C08F4">
      <w:pPr>
        <w:pStyle w:val="ListParagraph"/>
        <w:numPr>
          <w:ilvl w:val="0"/>
          <w:numId w:val="14"/>
        </w:numPr>
        <w:spacing w:line="240" w:lineRule="auto"/>
      </w:pPr>
      <w:r w:rsidRPr="00F137EC">
        <w:t xml:space="preserve">Even if </w:t>
      </w:r>
      <w:r>
        <w:t>your organization doesn’t</w:t>
      </w:r>
      <w:r w:rsidRPr="00F137EC">
        <w:t xml:space="preserve"> have members with legally enforceable membership rights such as voting rights, you can still have people called “members,” but the distinction should be clarified in the bylaws.</w:t>
      </w:r>
    </w:p>
    <w:p w14:paraId="41B7A9C7" w14:textId="48BA47C0" w:rsidR="00E70079" w:rsidRPr="00E70079" w:rsidRDefault="00E70079" w:rsidP="006C08F4">
      <w:pPr>
        <w:spacing w:line="240" w:lineRule="auto"/>
      </w:pPr>
    </w:p>
    <w:p w14:paraId="3DF91A46" w14:textId="77777777" w:rsidR="00E70079" w:rsidRPr="00E70079" w:rsidRDefault="00E70079" w:rsidP="006C08F4">
      <w:pPr>
        <w:spacing w:line="240" w:lineRule="auto"/>
        <w:rPr>
          <w:b/>
          <w:bCs/>
        </w:rPr>
      </w:pPr>
      <w:r w:rsidRPr="00E70079">
        <w:rPr>
          <w:b/>
          <w:bCs/>
        </w:rPr>
        <w:lastRenderedPageBreak/>
        <w:t>3. Board of Directors</w:t>
      </w:r>
    </w:p>
    <w:p w14:paraId="1871C740" w14:textId="77777777" w:rsidR="00E70079" w:rsidRPr="00E70079" w:rsidRDefault="00E70079" w:rsidP="006C08F4">
      <w:pPr>
        <w:spacing w:line="240" w:lineRule="auto"/>
      </w:pPr>
      <w:r w:rsidRPr="00E70079">
        <w:t>Oregon law (ORS 65.307–65.334) requires:</w:t>
      </w:r>
    </w:p>
    <w:p w14:paraId="5FF5913A" w14:textId="129AF08B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Number of directors</w:t>
      </w:r>
      <w:r w:rsidRPr="00E70079">
        <w:t xml:space="preserve"> – minimum of three (ORS 65.307(2)); consider a range (e.g., </w:t>
      </w:r>
      <w:r>
        <w:t>9</w:t>
      </w:r>
      <w:r w:rsidRPr="00E70079">
        <w:t>–1</w:t>
      </w:r>
      <w:r>
        <w:t>1</w:t>
      </w:r>
      <w:r w:rsidRPr="00E70079">
        <w:t>)</w:t>
      </w:r>
    </w:p>
    <w:p w14:paraId="6AD15A00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Election/appointment process</w:t>
      </w:r>
      <w:r w:rsidRPr="00E70079">
        <w:t xml:space="preserve"> – how and when directors are selected</w:t>
      </w:r>
    </w:p>
    <w:p w14:paraId="7C769C78" w14:textId="433FC10E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Terms and term limits</w:t>
      </w:r>
      <w:r w:rsidRPr="00E70079">
        <w:t xml:space="preserve"> – typical: 2–3 years, with limits such as </w:t>
      </w:r>
      <w:r>
        <w:t>two to three</w:t>
      </w:r>
      <w:r w:rsidRPr="00E70079">
        <w:t xml:space="preserve"> consecutive terms</w:t>
      </w:r>
      <w:r>
        <w:t xml:space="preserve"> before stepping off for at least a year</w:t>
      </w:r>
    </w:p>
    <w:p w14:paraId="6D5DAC24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Quorum</w:t>
      </w:r>
      <w:r w:rsidRPr="00E70079">
        <w:t xml:space="preserve"> – define what constitutes a quorum (at least one-third of directors per ORS 65.337)</w:t>
      </w:r>
    </w:p>
    <w:p w14:paraId="3DA1C75B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Board meetings</w:t>
      </w:r>
      <w:r w:rsidRPr="00E70079">
        <w:t xml:space="preserve"> – frequency (e.g., at least quarterly) and notice requirements</w:t>
      </w:r>
    </w:p>
    <w:p w14:paraId="0269C5A7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Special or emergency meetings</w:t>
      </w:r>
      <w:r w:rsidRPr="00E70079">
        <w:t xml:space="preserve"> – who can call them and how notice is given</w:t>
      </w:r>
    </w:p>
    <w:p w14:paraId="2ED0581C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Voting</w:t>
      </w:r>
      <w:r w:rsidRPr="00E70079">
        <w:t xml:space="preserve"> – in-person, virtual, or electronic (ORS 65.205 and 65.337 allow remote meetings)</w:t>
      </w:r>
    </w:p>
    <w:p w14:paraId="09D0E5BF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Removal of directors</w:t>
      </w:r>
      <w:r w:rsidRPr="00E70079">
        <w:t xml:space="preserve"> – procedure for removing a director for cause or inactivity</w:t>
      </w:r>
    </w:p>
    <w:p w14:paraId="2E0A8404" w14:textId="77777777" w:rsidR="00E70079" w:rsidRPr="00E70079" w:rsidRDefault="00E70079" w:rsidP="006C08F4">
      <w:pPr>
        <w:spacing w:after="240" w:line="240" w:lineRule="auto"/>
      </w:pPr>
      <w:r w:rsidRPr="00E70079">
        <w:t xml:space="preserve">☐ </w:t>
      </w:r>
      <w:r w:rsidRPr="00E70079">
        <w:rPr>
          <w:b/>
          <w:bCs/>
        </w:rPr>
        <w:t>Vacancies</w:t>
      </w:r>
      <w:r w:rsidRPr="00E70079">
        <w:t xml:space="preserve"> – how they are filled</w:t>
      </w:r>
    </w:p>
    <w:p w14:paraId="4EE0122D" w14:textId="77777777" w:rsidR="00E70079" w:rsidRPr="00E70079" w:rsidRDefault="00E70079" w:rsidP="006C08F4">
      <w:pPr>
        <w:spacing w:line="240" w:lineRule="auto"/>
        <w:rPr>
          <w:b/>
          <w:bCs/>
        </w:rPr>
      </w:pPr>
      <w:r w:rsidRPr="00E70079">
        <w:rPr>
          <w:b/>
          <w:bCs/>
        </w:rPr>
        <w:t>4. Officers</w:t>
      </w:r>
    </w:p>
    <w:p w14:paraId="05261753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Required officers</w:t>
      </w:r>
      <w:r w:rsidRPr="00E70079">
        <w:t xml:space="preserve"> – President/Chair, Secretary, and Treasurer (ORS 65.371)</w:t>
      </w:r>
    </w:p>
    <w:p w14:paraId="21598FDD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Election and terms</w:t>
      </w:r>
      <w:r w:rsidRPr="00E70079">
        <w:t xml:space="preserve"> – who elects officers, term length, and limits</w:t>
      </w:r>
    </w:p>
    <w:p w14:paraId="03F0DA6B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Duties</w:t>
      </w:r>
      <w:r w:rsidRPr="00E70079">
        <w:t xml:space="preserve"> – role descriptions for each office</w:t>
      </w:r>
    </w:p>
    <w:p w14:paraId="49F7F923" w14:textId="77777777" w:rsidR="00E70079" w:rsidRPr="00E70079" w:rsidRDefault="00E70079" w:rsidP="006C08F4">
      <w:pPr>
        <w:spacing w:after="240" w:line="240" w:lineRule="auto"/>
      </w:pPr>
      <w:r w:rsidRPr="00E70079">
        <w:t xml:space="preserve">☐ </w:t>
      </w:r>
      <w:r w:rsidRPr="00E70079">
        <w:rPr>
          <w:b/>
          <w:bCs/>
        </w:rPr>
        <w:t>Removal and vacancies</w:t>
      </w:r>
      <w:r w:rsidRPr="00E70079">
        <w:t xml:space="preserve"> – how officers may be replaced</w:t>
      </w:r>
    </w:p>
    <w:p w14:paraId="0D78F603" w14:textId="77777777" w:rsidR="00E70079" w:rsidRPr="00E70079" w:rsidRDefault="00E70079" w:rsidP="006C08F4">
      <w:pPr>
        <w:spacing w:line="240" w:lineRule="auto"/>
        <w:rPr>
          <w:b/>
          <w:bCs/>
        </w:rPr>
      </w:pPr>
      <w:r w:rsidRPr="00E70079">
        <w:rPr>
          <w:b/>
          <w:bCs/>
        </w:rPr>
        <w:t>5. Committees</w:t>
      </w:r>
    </w:p>
    <w:p w14:paraId="74828889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Authorization</w:t>
      </w:r>
      <w:r w:rsidRPr="00E70079">
        <w:t xml:space="preserve"> – whether and how committees may be established or dissolved</w:t>
      </w:r>
    </w:p>
    <w:p w14:paraId="4EBCD97E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Standing committees</w:t>
      </w:r>
      <w:r w:rsidRPr="00E70079">
        <w:t xml:space="preserve"> – e.g., Executive or Finance Committee, if any</w:t>
      </w:r>
    </w:p>
    <w:p w14:paraId="3DF09C01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Appointment</w:t>
      </w:r>
      <w:r w:rsidRPr="00E70079">
        <w:t xml:space="preserve"> – who appoints members (board or chair)</w:t>
      </w:r>
    </w:p>
    <w:p w14:paraId="529D950C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Authority</w:t>
      </w:r>
      <w:r w:rsidRPr="00E70079">
        <w:t xml:space="preserve"> – what actions committees can take (note: only the board may exercise ultimate governance authority per ORS 65.354)</w:t>
      </w:r>
    </w:p>
    <w:p w14:paraId="026BE087" w14:textId="77777777" w:rsidR="00E70079" w:rsidRPr="00E70079" w:rsidRDefault="00E70079" w:rsidP="006C08F4">
      <w:pPr>
        <w:spacing w:after="240" w:line="240" w:lineRule="auto"/>
      </w:pPr>
      <w:r w:rsidRPr="00E70079">
        <w:t xml:space="preserve">☐ </w:t>
      </w:r>
      <w:r w:rsidRPr="00E70079">
        <w:rPr>
          <w:b/>
          <w:bCs/>
        </w:rPr>
        <w:t>Non-director members</w:t>
      </w:r>
      <w:r w:rsidRPr="00E70079">
        <w:t xml:space="preserve"> – whether non-board individuals may serve</w:t>
      </w:r>
    </w:p>
    <w:p w14:paraId="058969F8" w14:textId="77777777" w:rsidR="00E70079" w:rsidRPr="00E70079" w:rsidRDefault="00E70079" w:rsidP="006C08F4">
      <w:pPr>
        <w:spacing w:line="240" w:lineRule="auto"/>
        <w:rPr>
          <w:b/>
          <w:bCs/>
        </w:rPr>
      </w:pPr>
      <w:r w:rsidRPr="00E70079">
        <w:rPr>
          <w:b/>
          <w:bCs/>
        </w:rPr>
        <w:t>6. Indemnification &amp; Liability Protection</w:t>
      </w:r>
    </w:p>
    <w:p w14:paraId="03B2F323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Indemnification statement</w:t>
      </w:r>
      <w:r w:rsidRPr="00E70079">
        <w:t xml:space="preserve"> – limit personal liability of directors/officers to the extent allowed by ORS 65.391–65.414</w:t>
      </w:r>
    </w:p>
    <w:p w14:paraId="0326475B" w14:textId="77777777" w:rsidR="00E70079" w:rsidRPr="00E70079" w:rsidRDefault="00E70079" w:rsidP="006C08F4">
      <w:pPr>
        <w:spacing w:after="240" w:line="240" w:lineRule="auto"/>
      </w:pPr>
      <w:r w:rsidRPr="00E70079">
        <w:t xml:space="preserve">☐ </w:t>
      </w:r>
      <w:r w:rsidRPr="00E70079">
        <w:rPr>
          <w:b/>
          <w:bCs/>
        </w:rPr>
        <w:t>Insurance authorization</w:t>
      </w:r>
      <w:r w:rsidRPr="00E70079">
        <w:t xml:space="preserve"> – permit purchase of directors’ and officers’ (D&amp;O) insurance</w:t>
      </w:r>
    </w:p>
    <w:p w14:paraId="119BCEB0" w14:textId="77777777" w:rsidR="00E70079" w:rsidRPr="00E70079" w:rsidRDefault="00E70079" w:rsidP="006C08F4">
      <w:pPr>
        <w:spacing w:line="240" w:lineRule="auto"/>
        <w:rPr>
          <w:b/>
          <w:bCs/>
        </w:rPr>
      </w:pPr>
      <w:r w:rsidRPr="00E70079">
        <w:rPr>
          <w:b/>
          <w:bCs/>
        </w:rPr>
        <w:t>7. Conflict of Interest</w:t>
      </w:r>
    </w:p>
    <w:p w14:paraId="2154EEF6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Policy reference</w:t>
      </w:r>
      <w:r w:rsidRPr="00E70079">
        <w:t xml:space="preserve"> – either include the full policy or state that a separate policy exists</w:t>
      </w:r>
    </w:p>
    <w:p w14:paraId="52600F9C" w14:textId="77777777" w:rsidR="00E70079" w:rsidRPr="00E70079" w:rsidRDefault="00E70079" w:rsidP="006C08F4">
      <w:pPr>
        <w:spacing w:after="240" w:line="240" w:lineRule="auto"/>
      </w:pPr>
      <w:r w:rsidRPr="00E70079">
        <w:t xml:space="preserve">☐ </w:t>
      </w:r>
      <w:r w:rsidRPr="00E70079">
        <w:rPr>
          <w:b/>
          <w:bCs/>
        </w:rPr>
        <w:t>Disclosure requirements</w:t>
      </w:r>
      <w:r w:rsidRPr="00E70079">
        <w:t xml:space="preserve"> – directors must disclose potential conflicts and recuse themselves when appropriate</w:t>
      </w:r>
    </w:p>
    <w:p w14:paraId="219DC9AD" w14:textId="77777777" w:rsidR="00E70079" w:rsidRPr="00E70079" w:rsidRDefault="00E70079" w:rsidP="006C08F4">
      <w:pPr>
        <w:spacing w:line="240" w:lineRule="auto"/>
        <w:rPr>
          <w:b/>
          <w:bCs/>
        </w:rPr>
      </w:pPr>
      <w:r w:rsidRPr="00E70079">
        <w:rPr>
          <w:b/>
          <w:bCs/>
        </w:rPr>
        <w:lastRenderedPageBreak/>
        <w:t>8. Meetings &amp; Decision-Making</w:t>
      </w:r>
    </w:p>
    <w:p w14:paraId="3D4EC58B" w14:textId="6329E6B1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Regular meeting schedule</w:t>
      </w:r>
      <w:r w:rsidRPr="00E70079">
        <w:t xml:space="preserve"> – e.g., at least </w:t>
      </w:r>
      <w:r>
        <w:t>quarterly but monthly is best practices for main street organizations</w:t>
      </w:r>
    </w:p>
    <w:p w14:paraId="11FD3B38" w14:textId="06E39E4D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Notice and agenda requirements</w:t>
      </w:r>
      <w:r w:rsidRPr="00E70079">
        <w:t xml:space="preserve"> – how far in advance and what form of notice is required</w:t>
      </w:r>
      <w:r>
        <w:t xml:space="preserve">, best practices </w:t>
      </w:r>
      <w:proofErr w:type="gramStart"/>
      <w:r>
        <w:t>is</w:t>
      </w:r>
      <w:proofErr w:type="gramEnd"/>
      <w:r>
        <w:t xml:space="preserve"> 10 to 14 days in advance for main street organizations</w:t>
      </w:r>
    </w:p>
    <w:p w14:paraId="3AD57F07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Electronic meetings</w:t>
      </w:r>
      <w:r w:rsidRPr="00E70079">
        <w:t xml:space="preserve"> – clarify procedures for virtual participation and voting</w:t>
      </w:r>
    </w:p>
    <w:p w14:paraId="2B77056A" w14:textId="77777777" w:rsidR="00E70079" w:rsidRPr="00E70079" w:rsidRDefault="00E70079" w:rsidP="006C08F4">
      <w:pPr>
        <w:spacing w:after="240" w:line="240" w:lineRule="auto"/>
      </w:pPr>
      <w:r w:rsidRPr="00E70079">
        <w:t xml:space="preserve">☐ </w:t>
      </w:r>
      <w:r w:rsidRPr="00E70079">
        <w:rPr>
          <w:b/>
          <w:bCs/>
        </w:rPr>
        <w:t>Action without a meeting</w:t>
      </w:r>
      <w:r w:rsidRPr="00E70079">
        <w:t xml:space="preserve"> – specify if written consent or unanimous email vote is allowed (ORS 65.341)</w:t>
      </w:r>
    </w:p>
    <w:p w14:paraId="6DC2589D" w14:textId="77777777" w:rsidR="00E70079" w:rsidRPr="00E70079" w:rsidRDefault="00E70079" w:rsidP="006C08F4">
      <w:pPr>
        <w:spacing w:line="240" w:lineRule="auto"/>
        <w:rPr>
          <w:b/>
          <w:bCs/>
        </w:rPr>
      </w:pPr>
      <w:r w:rsidRPr="00E70079">
        <w:rPr>
          <w:b/>
          <w:bCs/>
        </w:rPr>
        <w:t>9. Compensation &amp; Reimbursement</w:t>
      </w:r>
    </w:p>
    <w:p w14:paraId="53CE5FC4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Director compensation</w:t>
      </w:r>
      <w:r w:rsidRPr="00E70079">
        <w:t xml:space="preserve"> – clarify whether board members are unpaid (typical for 501(c)(3)s)</w:t>
      </w:r>
    </w:p>
    <w:p w14:paraId="2F3CCF3A" w14:textId="77777777" w:rsidR="00E70079" w:rsidRPr="00E70079" w:rsidRDefault="00E70079" w:rsidP="006C08F4">
      <w:pPr>
        <w:spacing w:after="240" w:line="240" w:lineRule="auto"/>
      </w:pPr>
      <w:r w:rsidRPr="00E70079">
        <w:t xml:space="preserve">☐ </w:t>
      </w:r>
      <w:r w:rsidRPr="00E70079">
        <w:rPr>
          <w:b/>
          <w:bCs/>
        </w:rPr>
        <w:t>Reimbursement policy</w:t>
      </w:r>
      <w:r w:rsidRPr="00E70079">
        <w:t xml:space="preserve"> – specify allowable reimbursement for expenses</w:t>
      </w:r>
    </w:p>
    <w:p w14:paraId="0CF73486" w14:textId="77777777" w:rsidR="00E70079" w:rsidRPr="00E70079" w:rsidRDefault="00E70079" w:rsidP="006C08F4">
      <w:pPr>
        <w:spacing w:line="240" w:lineRule="auto"/>
        <w:rPr>
          <w:b/>
          <w:bCs/>
        </w:rPr>
      </w:pPr>
      <w:r w:rsidRPr="00E70079">
        <w:rPr>
          <w:b/>
          <w:bCs/>
        </w:rPr>
        <w:t>10. Amendment of Bylaws</w:t>
      </w:r>
    </w:p>
    <w:p w14:paraId="02A6B3BA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Authority to amend</w:t>
      </w:r>
      <w:r w:rsidRPr="00E70079">
        <w:t xml:space="preserve"> – typically, the board of directors</w:t>
      </w:r>
    </w:p>
    <w:p w14:paraId="50499F24" w14:textId="77777777" w:rsidR="00E70079" w:rsidRPr="00E70079" w:rsidRDefault="00E70079" w:rsidP="006C08F4">
      <w:pPr>
        <w:spacing w:line="240" w:lineRule="auto"/>
      </w:pPr>
      <w:r w:rsidRPr="00E70079">
        <w:t xml:space="preserve">☐ </w:t>
      </w:r>
      <w:r w:rsidRPr="00E70079">
        <w:rPr>
          <w:b/>
          <w:bCs/>
        </w:rPr>
        <w:t>Notice period</w:t>
      </w:r>
      <w:r w:rsidRPr="00E70079">
        <w:t xml:space="preserve"> – e.g., proposed changes distributed at least two weeks in advance</w:t>
      </w:r>
    </w:p>
    <w:p w14:paraId="336B073E" w14:textId="77777777" w:rsidR="00E70079" w:rsidRPr="00E70079" w:rsidRDefault="00E70079" w:rsidP="006C08F4">
      <w:pPr>
        <w:spacing w:after="240" w:line="240" w:lineRule="auto"/>
      </w:pPr>
      <w:r w:rsidRPr="00E70079">
        <w:t xml:space="preserve">☐ </w:t>
      </w:r>
      <w:r w:rsidRPr="00E70079">
        <w:rPr>
          <w:b/>
          <w:bCs/>
        </w:rPr>
        <w:t>Voting threshold</w:t>
      </w:r>
      <w:r w:rsidRPr="00E70079">
        <w:t xml:space="preserve"> – usually majority or two-thirds of </w:t>
      </w:r>
      <w:proofErr w:type="gramStart"/>
      <w:r w:rsidRPr="00E70079">
        <w:t>directors</w:t>
      </w:r>
      <w:proofErr w:type="gramEnd"/>
      <w:r w:rsidRPr="00E70079">
        <w:t xml:space="preserve"> present</w:t>
      </w:r>
    </w:p>
    <w:p w14:paraId="539263EB" w14:textId="77777777" w:rsidR="00E70079" w:rsidRPr="00E70079" w:rsidRDefault="00E70079" w:rsidP="006C08F4">
      <w:pPr>
        <w:spacing w:line="240" w:lineRule="auto"/>
        <w:rPr>
          <w:b/>
          <w:bCs/>
        </w:rPr>
      </w:pPr>
      <w:r w:rsidRPr="00E70079">
        <w:rPr>
          <w:b/>
          <w:bCs/>
        </w:rPr>
        <w:t>11. Dissolution Clause</w:t>
      </w:r>
    </w:p>
    <w:p w14:paraId="32101805" w14:textId="77777777" w:rsidR="00E70079" w:rsidRPr="00E70079" w:rsidRDefault="00E70079" w:rsidP="006C08F4">
      <w:pPr>
        <w:spacing w:line="240" w:lineRule="auto"/>
      </w:pPr>
      <w:r w:rsidRPr="00E70079">
        <w:t>☐ Statement that upon dissolution, assets will be distributed to another 501(c)(3) organization in accordance with IRS and Oregon law (ORS 65.637–65.661).</w:t>
      </w:r>
    </w:p>
    <w:p w14:paraId="0CCE2435" w14:textId="77777777" w:rsidR="00E70079" w:rsidRPr="00E70079" w:rsidRDefault="00E70079" w:rsidP="006C08F4">
      <w:pPr>
        <w:pStyle w:val="Heading2"/>
      </w:pPr>
      <w:r w:rsidRPr="00E70079">
        <w:t>Best Practices</w:t>
      </w:r>
    </w:p>
    <w:p w14:paraId="5B4FAF70" w14:textId="77777777" w:rsidR="00E70079" w:rsidRPr="00E70079" w:rsidRDefault="00E70079" w:rsidP="006C08F4">
      <w:pPr>
        <w:numPr>
          <w:ilvl w:val="0"/>
          <w:numId w:val="13"/>
        </w:numPr>
        <w:spacing w:line="240" w:lineRule="auto"/>
      </w:pPr>
      <w:r w:rsidRPr="00E70079">
        <w:rPr>
          <w:b/>
          <w:bCs/>
        </w:rPr>
        <w:t>Review cycle:</w:t>
      </w:r>
      <w:r w:rsidRPr="00E70079">
        <w:t xml:space="preserve"> Every 3 years or when significant changes occur.</w:t>
      </w:r>
    </w:p>
    <w:p w14:paraId="1B0A3FA5" w14:textId="77777777" w:rsidR="00E70079" w:rsidRPr="00E70079" w:rsidRDefault="00E70079" w:rsidP="006C08F4">
      <w:pPr>
        <w:numPr>
          <w:ilvl w:val="0"/>
          <w:numId w:val="13"/>
        </w:numPr>
        <w:spacing w:line="240" w:lineRule="auto"/>
      </w:pPr>
      <w:r w:rsidRPr="00E70079">
        <w:rPr>
          <w:b/>
          <w:bCs/>
        </w:rPr>
        <w:t>Documentation:</w:t>
      </w:r>
      <w:r w:rsidRPr="00E70079">
        <w:t xml:space="preserve"> Attach all amendments to the official master copy and file with your corporate records.</w:t>
      </w:r>
    </w:p>
    <w:p w14:paraId="73385C41" w14:textId="77777777" w:rsidR="00E70079" w:rsidRPr="00E70079" w:rsidRDefault="00E70079" w:rsidP="006C08F4">
      <w:pPr>
        <w:numPr>
          <w:ilvl w:val="0"/>
          <w:numId w:val="13"/>
        </w:numPr>
        <w:spacing w:line="240" w:lineRule="auto"/>
      </w:pPr>
      <w:r w:rsidRPr="00E70079">
        <w:rPr>
          <w:b/>
          <w:bCs/>
        </w:rPr>
        <w:t>Legal review:</w:t>
      </w:r>
      <w:r w:rsidRPr="00E70079">
        <w:t xml:space="preserve"> Have bylaws reviewed by an attorney experienced in Oregon nonprofit law.</w:t>
      </w:r>
    </w:p>
    <w:p w14:paraId="7893B952" w14:textId="08C3F03F" w:rsidR="00676E2D" w:rsidRDefault="00E70079" w:rsidP="006C08F4">
      <w:pPr>
        <w:numPr>
          <w:ilvl w:val="0"/>
          <w:numId w:val="13"/>
        </w:numPr>
        <w:spacing w:line="240" w:lineRule="auto"/>
      </w:pPr>
      <w:r w:rsidRPr="00E70079">
        <w:rPr>
          <w:b/>
          <w:bCs/>
        </w:rPr>
        <w:t>Transparency:</w:t>
      </w:r>
      <w:r w:rsidRPr="00E70079">
        <w:t xml:space="preserve"> Provide each board member with a copy</w:t>
      </w:r>
      <w:r w:rsidR="00B07EAF" w:rsidRPr="00B07EAF">
        <w:t xml:space="preserve"> </w:t>
      </w:r>
      <w:r w:rsidR="00B07EAF" w:rsidRPr="00B07EAF">
        <w:t>of the articles of incorporation, the IRS and state determination letters, and the bylaws.</w:t>
      </w:r>
    </w:p>
    <w:sectPr w:rsidR="00676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F34"/>
    <w:multiLevelType w:val="multilevel"/>
    <w:tmpl w:val="5064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6EA3"/>
    <w:multiLevelType w:val="multilevel"/>
    <w:tmpl w:val="85FA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A498B"/>
    <w:multiLevelType w:val="multilevel"/>
    <w:tmpl w:val="322E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4172A"/>
    <w:multiLevelType w:val="multilevel"/>
    <w:tmpl w:val="BCF2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F7FF8"/>
    <w:multiLevelType w:val="multilevel"/>
    <w:tmpl w:val="4296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A4EC4"/>
    <w:multiLevelType w:val="multilevel"/>
    <w:tmpl w:val="E1E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C70A5"/>
    <w:multiLevelType w:val="multilevel"/>
    <w:tmpl w:val="8AC8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558FE"/>
    <w:multiLevelType w:val="hybridMultilevel"/>
    <w:tmpl w:val="B1C8BA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115A6D"/>
    <w:multiLevelType w:val="multilevel"/>
    <w:tmpl w:val="A534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60DD5"/>
    <w:multiLevelType w:val="multilevel"/>
    <w:tmpl w:val="D2A6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81006"/>
    <w:multiLevelType w:val="multilevel"/>
    <w:tmpl w:val="E968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A2443"/>
    <w:multiLevelType w:val="multilevel"/>
    <w:tmpl w:val="A820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E6173"/>
    <w:multiLevelType w:val="multilevel"/>
    <w:tmpl w:val="9936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15C2C"/>
    <w:multiLevelType w:val="multilevel"/>
    <w:tmpl w:val="8AEC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447211">
    <w:abstractNumId w:val="6"/>
  </w:num>
  <w:num w:numId="2" w16cid:durableId="644626478">
    <w:abstractNumId w:val="1"/>
  </w:num>
  <w:num w:numId="3" w16cid:durableId="741946158">
    <w:abstractNumId w:val="10"/>
  </w:num>
  <w:num w:numId="4" w16cid:durableId="1718508852">
    <w:abstractNumId w:val="11"/>
  </w:num>
  <w:num w:numId="5" w16cid:durableId="1592926696">
    <w:abstractNumId w:val="9"/>
  </w:num>
  <w:num w:numId="6" w16cid:durableId="298848693">
    <w:abstractNumId w:val="0"/>
  </w:num>
  <w:num w:numId="7" w16cid:durableId="2143040292">
    <w:abstractNumId w:val="13"/>
  </w:num>
  <w:num w:numId="8" w16cid:durableId="1977104525">
    <w:abstractNumId w:val="3"/>
  </w:num>
  <w:num w:numId="9" w16cid:durableId="1219316829">
    <w:abstractNumId w:val="4"/>
  </w:num>
  <w:num w:numId="10" w16cid:durableId="1257209781">
    <w:abstractNumId w:val="5"/>
  </w:num>
  <w:num w:numId="11" w16cid:durableId="1674870724">
    <w:abstractNumId w:val="2"/>
  </w:num>
  <w:num w:numId="12" w16cid:durableId="543250814">
    <w:abstractNumId w:val="8"/>
  </w:num>
  <w:num w:numId="13" w16cid:durableId="1599757532">
    <w:abstractNumId w:val="12"/>
  </w:num>
  <w:num w:numId="14" w16cid:durableId="399720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79"/>
    <w:rsid w:val="000F13B4"/>
    <w:rsid w:val="00165F7E"/>
    <w:rsid w:val="00190925"/>
    <w:rsid w:val="005720CF"/>
    <w:rsid w:val="00676E2D"/>
    <w:rsid w:val="006C08F4"/>
    <w:rsid w:val="008C0BB2"/>
    <w:rsid w:val="00B07EAF"/>
    <w:rsid w:val="00D30860"/>
    <w:rsid w:val="00E70079"/>
    <w:rsid w:val="00E834D4"/>
    <w:rsid w:val="00F0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E650"/>
  <w15:chartTrackingRefBased/>
  <w15:docId w15:val="{7E0456D1-0837-4171-8119-AF052354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B2"/>
  </w:style>
  <w:style w:type="paragraph" w:styleId="Heading1">
    <w:name w:val="heading 1"/>
    <w:basedOn w:val="Normal"/>
    <w:next w:val="Normal"/>
    <w:link w:val="Heading1Char"/>
    <w:uiPriority w:val="9"/>
    <w:qFormat/>
    <w:rsid w:val="008C0BB2"/>
    <w:pPr>
      <w:keepNext/>
      <w:keepLines/>
      <w:pBdr>
        <w:bottom w:val="single" w:sz="4" w:space="1" w:color="37AFB1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98284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BB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9828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BB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B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BB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BB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BB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BB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BB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BB2"/>
    <w:rPr>
      <w:rFonts w:asciiTheme="majorHAnsi" w:eastAsiaTheme="majorEastAsia" w:hAnsiTheme="majorHAnsi" w:cstheme="majorBidi"/>
      <w:color w:val="298284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C0BB2"/>
    <w:rPr>
      <w:rFonts w:asciiTheme="majorHAnsi" w:eastAsiaTheme="majorEastAsia" w:hAnsiTheme="majorHAnsi" w:cstheme="majorBidi"/>
      <w:color w:val="298284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BB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BB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B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BB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BB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BB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BB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0BB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C0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98284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C0BB2"/>
    <w:rPr>
      <w:rFonts w:asciiTheme="majorHAnsi" w:eastAsiaTheme="majorEastAsia" w:hAnsiTheme="majorHAnsi" w:cstheme="majorBidi"/>
      <w:color w:val="298284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BB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C0BB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8C0BB2"/>
    <w:rPr>
      <w:b/>
      <w:bCs/>
    </w:rPr>
  </w:style>
  <w:style w:type="character" w:styleId="Emphasis">
    <w:name w:val="Emphasis"/>
    <w:basedOn w:val="DefaultParagraphFont"/>
    <w:uiPriority w:val="20"/>
    <w:qFormat/>
    <w:rsid w:val="008C0BB2"/>
    <w:rPr>
      <w:i/>
      <w:iCs/>
    </w:rPr>
  </w:style>
  <w:style w:type="paragraph" w:styleId="NoSpacing">
    <w:name w:val="No Spacing"/>
    <w:uiPriority w:val="1"/>
    <w:qFormat/>
    <w:rsid w:val="008C0B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0B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0BB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C0BB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BB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7AFB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BB2"/>
    <w:rPr>
      <w:rFonts w:asciiTheme="majorHAnsi" w:eastAsiaTheme="majorEastAsia" w:hAnsiTheme="majorHAnsi" w:cstheme="majorBidi"/>
      <w:color w:val="37AFB1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C0BB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C0BB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C0BB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C0BB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C0BB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0B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5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1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sis">
  <a:themeElements>
    <a:clrScheme name="Custom 2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37AFB1"/>
      </a:accent1>
      <a:accent2>
        <a:srgbClr val="FF3012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Sheri * OPRD</dc:creator>
  <cp:keywords/>
  <dc:description/>
  <cp:lastModifiedBy>STUART Sheri * OPRD</cp:lastModifiedBy>
  <cp:revision>1</cp:revision>
  <dcterms:created xsi:type="dcterms:W3CDTF">2025-10-31T19:55:00Z</dcterms:created>
  <dcterms:modified xsi:type="dcterms:W3CDTF">2025-10-31T20:24:00Z</dcterms:modified>
</cp:coreProperties>
</file>