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76" w:rsidRPr="00AF4375" w:rsidRDefault="00AF4375" w:rsidP="00605E42">
      <w:pPr>
        <w:rPr>
          <w:b/>
        </w:rPr>
      </w:pPr>
      <w:r w:rsidRPr="00AF4375">
        <w:rPr>
          <w:b/>
        </w:rPr>
        <w:t>MEMORANDUM</w:t>
      </w:r>
    </w:p>
    <w:p w:rsidR="00AF4375" w:rsidRPr="00AF4375" w:rsidRDefault="00AF4375" w:rsidP="00605E42">
      <w:pPr>
        <w:rPr>
          <w:b/>
        </w:rPr>
      </w:pPr>
    </w:p>
    <w:p w:rsidR="00AF4375" w:rsidRPr="00AF4375" w:rsidRDefault="00AF4375" w:rsidP="00605E42">
      <w:pPr>
        <w:rPr>
          <w:b/>
        </w:rPr>
      </w:pPr>
    </w:p>
    <w:p w:rsidR="00AF4375" w:rsidRPr="00AF4375" w:rsidRDefault="00AF4375" w:rsidP="00AF4375">
      <w:pPr>
        <w:tabs>
          <w:tab w:val="left" w:pos="1440"/>
        </w:tabs>
        <w:spacing w:line="276" w:lineRule="auto"/>
        <w:rPr>
          <w:b/>
        </w:rPr>
      </w:pPr>
      <w:r w:rsidRPr="00AF4375">
        <w:rPr>
          <w:b/>
        </w:rPr>
        <w:t>DATE:</w:t>
      </w:r>
      <w:r>
        <w:rPr>
          <w:b/>
        </w:rPr>
        <w:tab/>
      </w:r>
      <w:r>
        <w:rPr>
          <w:b/>
        </w:rPr>
        <w:tab/>
      </w:r>
      <w:r>
        <w:rPr>
          <w:b/>
        </w:rPr>
        <w:tab/>
      </w:r>
      <w:r w:rsidR="0017502E">
        <w:rPr>
          <w:b/>
        </w:rPr>
        <w:tab/>
        <w:t xml:space="preserve">February </w:t>
      </w:r>
      <w:r w:rsidR="00C67AEF">
        <w:rPr>
          <w:b/>
        </w:rPr>
        <w:t>25</w:t>
      </w:r>
      <w:r w:rsidR="007474EA">
        <w:rPr>
          <w:b/>
        </w:rPr>
        <w:t>, 2013</w:t>
      </w:r>
    </w:p>
    <w:p w:rsidR="00AF4375" w:rsidRPr="00AF4375" w:rsidRDefault="00AF4375" w:rsidP="00AF4375">
      <w:pPr>
        <w:spacing w:line="276" w:lineRule="auto"/>
        <w:rPr>
          <w:b/>
        </w:rPr>
      </w:pPr>
    </w:p>
    <w:p w:rsidR="00AF4375" w:rsidRPr="00AF4375" w:rsidRDefault="00AF4375" w:rsidP="00AF4375">
      <w:pPr>
        <w:tabs>
          <w:tab w:val="left" w:pos="1440"/>
          <w:tab w:val="left" w:pos="1980"/>
        </w:tabs>
        <w:spacing w:line="276" w:lineRule="auto"/>
        <w:rPr>
          <w:b/>
        </w:rPr>
      </w:pPr>
      <w:r w:rsidRPr="00AF4375">
        <w:rPr>
          <w:b/>
        </w:rPr>
        <w:t>TO:</w:t>
      </w:r>
      <w:r>
        <w:rPr>
          <w:b/>
        </w:rPr>
        <w:tab/>
      </w:r>
      <w:r w:rsidR="00E65B9E">
        <w:rPr>
          <w:b/>
        </w:rPr>
        <w:t xml:space="preserve">HR Offices in </w:t>
      </w:r>
      <w:r w:rsidR="007474EA">
        <w:rPr>
          <w:b/>
        </w:rPr>
        <w:t>SEIU Represented Agencies</w:t>
      </w:r>
      <w:r w:rsidR="007474EA">
        <w:rPr>
          <w:b/>
        </w:rPr>
        <w:tab/>
      </w:r>
    </w:p>
    <w:p w:rsidR="00AF4375" w:rsidRPr="00AF4375" w:rsidRDefault="00AF4375" w:rsidP="00AF4375">
      <w:pPr>
        <w:spacing w:line="276" w:lineRule="auto"/>
        <w:rPr>
          <w:b/>
        </w:rPr>
      </w:pPr>
    </w:p>
    <w:p w:rsidR="00AF4375" w:rsidRDefault="00AF4375" w:rsidP="00AF4375">
      <w:pPr>
        <w:tabs>
          <w:tab w:val="left" w:pos="1440"/>
        </w:tabs>
        <w:spacing w:line="276" w:lineRule="auto"/>
        <w:rPr>
          <w:b/>
        </w:rPr>
      </w:pPr>
      <w:r w:rsidRPr="00AF4375">
        <w:rPr>
          <w:b/>
        </w:rPr>
        <w:t>FROM:</w:t>
      </w:r>
      <w:r w:rsidR="007474EA">
        <w:rPr>
          <w:b/>
        </w:rPr>
        <w:tab/>
        <w:t>Thomas Perry,</w:t>
      </w:r>
    </w:p>
    <w:p w:rsidR="007474EA" w:rsidRPr="00AF4375" w:rsidRDefault="007474EA" w:rsidP="00AF4375">
      <w:pPr>
        <w:tabs>
          <w:tab w:val="left" w:pos="1440"/>
        </w:tabs>
        <w:spacing w:line="276" w:lineRule="auto"/>
        <w:rPr>
          <w:b/>
        </w:rPr>
      </w:pPr>
      <w:r>
        <w:rPr>
          <w:b/>
        </w:rPr>
        <w:tab/>
        <w:t>Labor Relations Unit Manager</w:t>
      </w:r>
    </w:p>
    <w:p w:rsidR="00AF4375" w:rsidRPr="00AF4375" w:rsidRDefault="00AF4375" w:rsidP="00AF4375">
      <w:pPr>
        <w:spacing w:line="276" w:lineRule="auto"/>
        <w:rPr>
          <w:b/>
        </w:rPr>
      </w:pPr>
    </w:p>
    <w:p w:rsidR="00AF4375" w:rsidRPr="00AF4375" w:rsidRDefault="00AF4375" w:rsidP="00AF4375">
      <w:pPr>
        <w:pBdr>
          <w:bottom w:val="single" w:sz="12" w:space="1" w:color="auto"/>
        </w:pBdr>
        <w:tabs>
          <w:tab w:val="left" w:pos="1440"/>
        </w:tabs>
        <w:spacing w:line="276" w:lineRule="auto"/>
        <w:rPr>
          <w:b/>
        </w:rPr>
      </w:pPr>
      <w:r w:rsidRPr="00AF4375">
        <w:rPr>
          <w:b/>
        </w:rPr>
        <w:t>SUBJECT:</w:t>
      </w:r>
      <w:r>
        <w:rPr>
          <w:b/>
        </w:rPr>
        <w:tab/>
      </w:r>
      <w:r w:rsidR="007474EA">
        <w:rPr>
          <w:b/>
        </w:rPr>
        <w:t>Work Out of Class Pay differential</w:t>
      </w:r>
    </w:p>
    <w:p w:rsidR="007474EA" w:rsidRDefault="007474EA" w:rsidP="00605E42"/>
    <w:p w:rsidR="00E65B9E" w:rsidRPr="00E65B9E" w:rsidRDefault="00E65B9E" w:rsidP="00E65B9E">
      <w:pPr>
        <w:spacing w:before="240"/>
        <w:rPr>
          <w:b/>
        </w:rPr>
      </w:pPr>
      <w:r>
        <w:rPr>
          <w:b/>
        </w:rPr>
        <w:t>Background:</w:t>
      </w:r>
    </w:p>
    <w:p w:rsidR="00E65B9E" w:rsidRDefault="00E65B9E" w:rsidP="00E65B9E">
      <w:pPr>
        <w:spacing w:before="240"/>
      </w:pPr>
      <w:r>
        <w:t xml:space="preserve">Several employees in a SEIU-represented agency worked out of class in management positions, whose salary ranges were the same as the employees’ current SR.  One employee had been doing so for two years.  The employees requested the 5.0% WOC pay differential per Article 26, Section 10(a).  The agency denied the differential based on the DAS interpretation of the phrase </w:t>
      </w:r>
      <w:r>
        <w:rPr>
          <w:i/>
        </w:rPr>
        <w:t xml:space="preserve">at a higher level </w:t>
      </w:r>
      <w:proofErr w:type="gramStart"/>
      <w:r>
        <w:rPr>
          <w:i/>
        </w:rPr>
        <w:t>classification</w:t>
      </w:r>
      <w:proofErr w:type="gramEnd"/>
      <w:r>
        <w:rPr>
          <w:i/>
        </w:rPr>
        <w:t xml:space="preserve">, </w:t>
      </w:r>
      <w:r>
        <w:t xml:space="preserve">which we indicated meant a higher numbered salary range.  </w:t>
      </w:r>
    </w:p>
    <w:p w:rsidR="00E65B9E" w:rsidRDefault="00E65B9E" w:rsidP="00E65B9E">
      <w:pPr>
        <w:spacing w:before="240"/>
      </w:pPr>
      <w:r>
        <w:t xml:space="preserve">SEIU filed a grievance, and it resulted in an arbitration hearing on October 12, 2012.  Arbitrator Ronald Miller issued the attached decision on January 11, 2013.  </w:t>
      </w:r>
    </w:p>
    <w:p w:rsidR="00B864D5" w:rsidRDefault="00B864D5" w:rsidP="00E65B9E">
      <w:pPr>
        <w:spacing w:before="240"/>
      </w:pPr>
      <w:r>
        <w:rPr>
          <w:b/>
        </w:rPr>
        <w:t>Arbitration Decision:</w:t>
      </w:r>
    </w:p>
    <w:p w:rsidR="00B864D5" w:rsidRDefault="00B864D5" w:rsidP="00E65B9E">
      <w:pPr>
        <w:spacing w:before="240"/>
      </w:pPr>
      <w:r>
        <w:t xml:space="preserve">The State prevailed in its interpretation that WOC is to be paid for </w:t>
      </w:r>
      <w:r>
        <w:rPr>
          <w:i/>
        </w:rPr>
        <w:t xml:space="preserve">performing the duties of a position at a higher level classification, </w:t>
      </w:r>
      <w:r>
        <w:t xml:space="preserve">and the phrase </w:t>
      </w:r>
      <w:r w:rsidRPr="00B864D5">
        <w:rPr>
          <w:b/>
          <w:i/>
        </w:rPr>
        <w:t>higher level classification</w:t>
      </w:r>
      <w:r w:rsidRPr="00B864D5">
        <w:rPr>
          <w:b/>
        </w:rPr>
        <w:t xml:space="preserve"> </w:t>
      </w:r>
      <w:r w:rsidRPr="00B864D5">
        <w:t>means</w:t>
      </w:r>
      <w:r w:rsidRPr="00B864D5">
        <w:rPr>
          <w:b/>
        </w:rPr>
        <w:t xml:space="preserve"> a higher salary range number.</w:t>
      </w:r>
      <w:r>
        <w:t xml:space="preserve">  </w:t>
      </w:r>
      <w:r w:rsidR="00886D0A">
        <w:t>The arbitrator reached his deci</w:t>
      </w:r>
      <w:r w:rsidR="0026536F">
        <w:t xml:space="preserve">sion by </w:t>
      </w:r>
      <w:r w:rsidR="0017502E">
        <w:t>validating</w:t>
      </w:r>
      <w:r w:rsidR="00886D0A">
        <w:t xml:space="preserve"> o</w:t>
      </w:r>
      <w:r w:rsidR="0017502E">
        <w:t>f the structured method</w:t>
      </w:r>
      <w:r w:rsidR="00886D0A">
        <w:t xml:space="preserve"> </w:t>
      </w:r>
      <w:r w:rsidR="0017502E">
        <w:t>used by the State to assign</w:t>
      </w:r>
      <w:r w:rsidR="00886D0A">
        <w:t xml:space="preserve"> salary ranges.  The State used the Hay method of evaluating the content of </w:t>
      </w:r>
      <w:r w:rsidR="0017502E">
        <w:t xml:space="preserve">duties and responsibilities which employees perform, and used those </w:t>
      </w:r>
      <w:r w:rsidR="00886D0A">
        <w:t>results to assign a salary range number.  Thus, salary range numbers mea</w:t>
      </w:r>
      <w:r w:rsidR="0017502E">
        <w:t>sure the level of duties and responsibilities</w:t>
      </w:r>
      <w:r w:rsidR="00886D0A">
        <w:t xml:space="preserve">.  </w:t>
      </w:r>
    </w:p>
    <w:p w:rsidR="00886D0A" w:rsidRDefault="00886D0A" w:rsidP="00E65B9E">
      <w:pPr>
        <w:spacing w:before="240"/>
      </w:pPr>
      <w:r>
        <w:t xml:space="preserve">SEIU argued that </w:t>
      </w:r>
      <w:r w:rsidR="0017502E">
        <w:t xml:space="preserve">because the individual steps of management salary ranges are often higher than the same steps in the same salary range number for represented employees, the </w:t>
      </w:r>
      <w:r w:rsidR="008D427D">
        <w:t xml:space="preserve">higher intrinsic </w:t>
      </w:r>
      <w:r w:rsidR="0017502E">
        <w:t>pay meant greater</w:t>
      </w:r>
      <w:r w:rsidR="008D427D">
        <w:t xml:space="preserve"> responsibilities,. However, Arbitrator Miller rejected that argument, saying that union salary step amounts are subject to negotiations, whereas management salary steps are subject to unilateral decisions imposed without negotiations.  Thus, the Hay analysis prevails over the dollar amount.  Since the salary range numbers are the same, the level of responsibility is the same, and no additional payment is warranted.</w:t>
      </w:r>
      <w:r w:rsidR="0026536F">
        <w:t xml:space="preserve">  It also doesn’t matter whether the salary range number has different alpha prefixes, such as SR 28i, 28x, or 28m.  The only relevant measure is the </w:t>
      </w:r>
      <w:r w:rsidR="0017502E">
        <w:t xml:space="preserve">salary range </w:t>
      </w:r>
      <w:r w:rsidR="0026536F">
        <w:t>number.</w:t>
      </w:r>
    </w:p>
    <w:p w:rsidR="00B864D5" w:rsidRDefault="00886D0A" w:rsidP="00E65B9E">
      <w:pPr>
        <w:spacing w:before="240"/>
      </w:pPr>
      <w:r>
        <w:rPr>
          <w:b/>
        </w:rPr>
        <w:lastRenderedPageBreak/>
        <w:t>Effect on Agencies:</w:t>
      </w:r>
    </w:p>
    <w:p w:rsidR="00B877C1" w:rsidRDefault="00886D0A" w:rsidP="00E65B9E">
      <w:pPr>
        <w:spacing w:before="240"/>
      </w:pPr>
      <w:r>
        <w:t xml:space="preserve">Part of the testimony in the grievance hearing identified 44 instances in the last several years in which agencies paid WOC for represented persons working out of class in management classifications </w:t>
      </w:r>
      <w:r>
        <w:rPr>
          <w:i/>
        </w:rPr>
        <w:t xml:space="preserve">at the same salary range number. </w:t>
      </w:r>
      <w:r w:rsidR="006979DC">
        <w:t xml:space="preserve"> </w:t>
      </w:r>
      <w:r w:rsidR="00B877C1">
        <w:t xml:space="preserve">We have attached the decision for your reference.  </w:t>
      </w:r>
    </w:p>
    <w:p w:rsidR="0017502E" w:rsidRDefault="006979DC" w:rsidP="00E65B9E">
      <w:pPr>
        <w:spacing w:before="240"/>
      </w:pPr>
      <w:r>
        <w:t>While the 44 instances are</w:t>
      </w:r>
      <w:r w:rsidR="00886D0A">
        <w:t xml:space="preserve"> not statistically significant</w:t>
      </w:r>
      <w:r w:rsidR="0017502E">
        <w:t xml:space="preserve"> compared to the thousands of WOC assignments</w:t>
      </w:r>
      <w:r w:rsidR="00B877C1">
        <w:t xml:space="preserve"> in the state</w:t>
      </w:r>
      <w:r w:rsidR="00FC71DC">
        <w:t>, they do</w:t>
      </w:r>
      <w:r w:rsidR="00886D0A">
        <w:t xml:space="preserve"> raise issues of consistency.  </w:t>
      </w:r>
      <w:r w:rsidR="00B877C1">
        <w:t>Inconsistencies in observing contract language can weaken our position in future arbitrations if this matter is grieved in the future.  Accordingly, if your agency is</w:t>
      </w:r>
      <w:r w:rsidR="00886D0A">
        <w:t xml:space="preserve"> not in compliance with the </w:t>
      </w:r>
      <w:r w:rsidR="008D427D">
        <w:t xml:space="preserve">arbitration </w:t>
      </w:r>
      <w:r w:rsidR="00886D0A">
        <w:t>decisi</w:t>
      </w:r>
      <w:r w:rsidR="00B877C1">
        <w:t>on, please rectify the status</w:t>
      </w:r>
      <w:r w:rsidR="00886D0A">
        <w:t xml:space="preserve"> without delay.</w:t>
      </w:r>
      <w:r w:rsidR="00B877C1">
        <w:t xml:space="preserve">  </w:t>
      </w:r>
    </w:p>
    <w:p w:rsidR="00B877C1" w:rsidRDefault="00FC71DC" w:rsidP="00E65B9E">
      <w:pPr>
        <w:spacing w:before="240"/>
      </w:pPr>
      <w:r>
        <w:t>Thank you for your</w:t>
      </w:r>
      <w:r w:rsidR="00B877C1">
        <w:t xml:space="preserve"> </w:t>
      </w:r>
      <w:r w:rsidR="0017502E">
        <w:t>attention to this matter.</w:t>
      </w:r>
      <w:r w:rsidR="00B877C1">
        <w:t xml:space="preserve">  </w:t>
      </w:r>
    </w:p>
    <w:p w:rsidR="00C67AEF" w:rsidRDefault="00B877C1" w:rsidP="00E65B9E">
      <w:pPr>
        <w:spacing w:before="240"/>
      </w:pPr>
      <w:r>
        <w:t>If you have any questions, please direct them to</w:t>
      </w:r>
      <w:r w:rsidR="00C67AEF">
        <w:t>:</w:t>
      </w:r>
      <w:r>
        <w:t xml:space="preserve"> </w:t>
      </w:r>
    </w:p>
    <w:p w:rsidR="0017502E" w:rsidRDefault="00B877C1" w:rsidP="00E65B9E">
      <w:pPr>
        <w:spacing w:before="240"/>
      </w:pPr>
      <w:r>
        <w:t>Tom Perry @ 503 378 42</w:t>
      </w:r>
      <w:r w:rsidR="00C67AEF">
        <w:t>01 or Nettie Pye @ 503 378 3138</w:t>
      </w:r>
    </w:p>
    <w:p w:rsidR="008D427D" w:rsidRPr="00886D0A" w:rsidRDefault="008D427D" w:rsidP="00E65B9E">
      <w:pPr>
        <w:spacing w:before="240"/>
      </w:pPr>
    </w:p>
    <w:sectPr w:rsidR="008D427D" w:rsidRPr="00886D0A" w:rsidSect="00FC71DC">
      <w:headerReference w:type="default" r:id="rId8"/>
      <w:headerReference w:type="first" r:id="rId9"/>
      <w:footerReference w:type="first" r:id="rId10"/>
      <w:pgSz w:w="12240" w:h="15840" w:code="1"/>
      <w:pgMar w:top="1440" w:right="1080" w:bottom="1440" w:left="1080" w:header="720"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BAD" w:rsidRDefault="001D0BAD">
      <w:r>
        <w:separator/>
      </w:r>
    </w:p>
  </w:endnote>
  <w:endnote w:type="continuationSeparator" w:id="0">
    <w:p w:rsidR="001D0BAD" w:rsidRDefault="001D0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0A" w:rsidRPr="00AA57E6" w:rsidRDefault="00CC2491">
    <w:pPr>
      <w:pStyle w:val="Footer"/>
      <w:rPr>
        <w:sz w:val="16"/>
        <w:szCs w:val="16"/>
      </w:rPr>
    </w:pPr>
    <w:fldSimple w:instr=" FILENAME  \p  \* MERGEFORMAT ">
      <w:r w:rsidR="008D427D" w:rsidRPr="008D427D">
        <w:rPr>
          <w:noProof/>
          <w:sz w:val="16"/>
          <w:szCs w:val="16"/>
        </w:rPr>
        <w:t>U:\SEIU\Grievances-Settlements\WOC decision Miller LRU.docx</w:t>
      </w:r>
    </w:fldSimple>
  </w:p>
  <w:p w:rsidR="00886D0A" w:rsidRDefault="00886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BAD" w:rsidRDefault="001D0BAD">
      <w:r>
        <w:separator/>
      </w:r>
    </w:p>
  </w:footnote>
  <w:footnote w:type="continuationSeparator" w:id="0">
    <w:p w:rsidR="001D0BAD" w:rsidRDefault="001D0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27D" w:rsidRDefault="008D42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0A" w:rsidRDefault="00CC2491" w:rsidP="00045990">
    <w:pPr>
      <w:ind w:right="-274"/>
      <w:rPr>
        <w:rFonts w:ascii="Century Gothic" w:hAnsi="Century Gothic"/>
        <w:sz w:val="16"/>
        <w:szCs w:val="16"/>
      </w:rPr>
    </w:pPr>
    <w:r w:rsidRPr="00CC2491">
      <w:rPr>
        <w:rFonts w:ascii="Century Gothic" w:hAnsi="Century Gothic"/>
        <w:noProof/>
        <w:sz w:val="20"/>
      </w:rPr>
      <w:pict>
        <v:group id="_x0000_s2050" style="position:absolute;margin-left:76.05pt;margin-top:9.2pt;width:414pt;height:76.5pt;z-index:-251658752" coordorigin="192,2544" coordsize="3762,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92;top:2544;width:3762;height:480" fillcolor="window" stroked="t" strokecolor="white">
            <v:imagedata r:id="rId1" o:title=""/>
          </v:shape>
          <v:group id="_x0000_s2052" style="position:absolute;left:240;top:2928;width:1392;height:125" coordorigin="240,2928" coordsize="1392,125">
            <v:rect id="_x0000_s2053" style="position:absolute;left:336;top:2928;width:960;height:96;v-text-anchor:middle" stroked="f"/>
            <v:shapetype id="_x0000_t202" coordsize="21600,21600" o:spt="202" path="m,l,21600r21600,l21600,xe">
              <v:stroke joinstyle="miter"/>
              <v:path gradientshapeok="t" o:connecttype="rect"/>
            </v:shapetype>
            <v:shape id="_x0000_s2054" type="#_x0000_t202" style="position:absolute;left:240;top:2928;width:1392;height:125" filled="f" fillcolor="#0c9" stroked="f">
              <v:textbox style="mso-next-textbox:#_x0000_s2054">
                <w:txbxContent>
                  <w:p w:rsidR="00886D0A" w:rsidRPr="00C4677F" w:rsidRDefault="00886D0A" w:rsidP="004D3C40">
                    <w:pPr>
                      <w:autoSpaceDE w:val="0"/>
                      <w:autoSpaceDN w:val="0"/>
                      <w:adjustRightInd w:val="0"/>
                      <w:rPr>
                        <w:rFonts w:ascii="Century Gothic" w:hAnsi="Century Gothic"/>
                        <w:i/>
                        <w:color w:val="000000"/>
                        <w:sz w:val="16"/>
                        <w:szCs w:val="16"/>
                      </w:rPr>
                    </w:pPr>
                    <w:r>
                      <w:rPr>
                        <w:rFonts w:ascii="Century Gothic" w:hAnsi="Century Gothic"/>
                        <w:i/>
                        <w:color w:val="000000"/>
                        <w:sz w:val="16"/>
                        <w:szCs w:val="16"/>
                      </w:rPr>
                      <w:t>John A. Kitzhaber</w:t>
                    </w:r>
                    <w:r w:rsidRPr="00C4677F">
                      <w:rPr>
                        <w:rFonts w:ascii="Century Gothic" w:hAnsi="Century Gothic"/>
                        <w:i/>
                        <w:color w:val="000000"/>
                        <w:sz w:val="16"/>
                        <w:szCs w:val="16"/>
                      </w:rPr>
                      <w:t>,</w:t>
                    </w:r>
                    <w:r>
                      <w:rPr>
                        <w:rFonts w:ascii="Century Gothic" w:hAnsi="Century Gothic"/>
                        <w:i/>
                        <w:color w:val="000000"/>
                        <w:sz w:val="16"/>
                        <w:szCs w:val="16"/>
                      </w:rPr>
                      <w:t xml:space="preserve"> MD,</w:t>
                    </w:r>
                    <w:r w:rsidRPr="00C4677F">
                      <w:rPr>
                        <w:rFonts w:ascii="Century Gothic" w:hAnsi="Century Gothic"/>
                        <w:i/>
                        <w:color w:val="000000"/>
                        <w:sz w:val="16"/>
                        <w:szCs w:val="16"/>
                      </w:rPr>
                      <w:t xml:space="preserve"> Governor</w:t>
                    </w:r>
                  </w:p>
                </w:txbxContent>
              </v:textbox>
            </v:shape>
          </v:group>
        </v:group>
      </w:pict>
    </w:r>
    <w:r w:rsidR="00886D0A">
      <w:rPr>
        <w:rFonts w:ascii="Century Gothic" w:hAnsi="Century Gothic"/>
        <w:noProof/>
      </w:rPr>
      <w:drawing>
        <wp:anchor distT="0" distB="0" distL="114300" distR="114300" simplePos="0" relativeHeight="251658752" behindDoc="1" locked="0" layoutInCell="1" allowOverlap="1">
          <wp:simplePos x="0" y="0"/>
          <wp:positionH relativeFrom="column">
            <wp:posOffset>4623435</wp:posOffset>
          </wp:positionH>
          <wp:positionV relativeFrom="paragraph">
            <wp:posOffset>116840</wp:posOffset>
          </wp:positionV>
          <wp:extent cx="1371600" cy="316230"/>
          <wp:effectExtent l="19050" t="0" r="0" b="0"/>
          <wp:wrapTight wrapText="bothSides">
            <wp:wrapPolygon edited="0">
              <wp:start x="-300" y="0"/>
              <wp:lineTo x="-300" y="20819"/>
              <wp:lineTo x="21600" y="20819"/>
              <wp:lineTo x="21600" y="0"/>
              <wp:lineTo x="-30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srcRect/>
                  <a:stretch>
                    <a:fillRect/>
                  </a:stretch>
                </pic:blipFill>
                <pic:spPr bwMode="auto">
                  <a:xfrm>
                    <a:off x="0" y="0"/>
                    <a:ext cx="1371600" cy="316230"/>
                  </a:xfrm>
                  <a:prstGeom prst="rect">
                    <a:avLst/>
                  </a:prstGeom>
                  <a:noFill/>
                </pic:spPr>
              </pic:pic>
            </a:graphicData>
          </a:graphic>
        </wp:anchor>
      </w:drawing>
    </w:r>
    <w:r w:rsidRPr="00CC2491">
      <w:rPr>
        <w:rFonts w:ascii="Century Gothic" w:hAnsi="Century Gothic"/>
        <w:noProof/>
      </w:rPr>
      <w:pict>
        <v:shape id="_x0000_s2049" type="#_x0000_t202" style="position:absolute;margin-left:40.05pt;margin-top:27.2pt;width:108pt;height:102.25pt;z-index:251656704;mso-position-horizontal-relative:page;mso-position-vertical-relative:page" filled="f" stroked="f">
          <o:lock v:ext="edit" aspectratio="t"/>
          <v:textbox style="mso-next-textbox:#_x0000_s2049;mso-fit-shape-to-text:t">
            <w:txbxContent>
              <w:p w:rsidR="00886D0A" w:rsidRDefault="00886D0A" w:rsidP="004D3C40">
                <w:r>
                  <w:rPr>
                    <w:noProof/>
                  </w:rPr>
                  <w:drawing>
                    <wp:inline distT="0" distB="0" distL="0" distR="0">
                      <wp:extent cx="1162050" cy="1209675"/>
                      <wp:effectExtent l="19050" t="0" r="0" b="0"/>
                      <wp:docPr id="2" name="Picture 2"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SEAL"/>
                              <pic:cNvPicPr>
                                <a:picLocks noChangeAspect="1" noChangeArrowheads="1"/>
                              </pic:cNvPicPr>
                            </pic:nvPicPr>
                            <pic:blipFill>
                              <a:blip r:embed="rId3"/>
                              <a:srcRect/>
                              <a:stretch>
                                <a:fillRect/>
                              </a:stretch>
                            </pic:blipFill>
                            <pic:spPr bwMode="auto">
                              <a:xfrm>
                                <a:off x="0" y="0"/>
                                <a:ext cx="1162050" cy="1209675"/>
                              </a:xfrm>
                              <a:prstGeom prst="rect">
                                <a:avLst/>
                              </a:prstGeom>
                              <a:noFill/>
                              <a:ln w="9525">
                                <a:noFill/>
                                <a:miter lim="800000"/>
                                <a:headEnd/>
                                <a:tailEnd/>
                              </a:ln>
                            </pic:spPr>
                          </pic:pic>
                        </a:graphicData>
                      </a:graphic>
                    </wp:inline>
                  </w:drawing>
                </w:r>
              </w:p>
            </w:txbxContent>
          </v:textbox>
          <w10:wrap type="topAndBottom" anchorx="page" anchory="page"/>
        </v:shape>
      </w:pict>
    </w:r>
  </w:p>
  <w:p w:rsidR="00886D0A" w:rsidRDefault="00886D0A" w:rsidP="00045990">
    <w:pPr>
      <w:ind w:right="-274"/>
      <w:rPr>
        <w:rFonts w:ascii="Century Gothic" w:hAnsi="Century Gothic"/>
        <w:sz w:val="20"/>
      </w:rPr>
    </w:pPr>
  </w:p>
  <w:p w:rsidR="00886D0A" w:rsidRPr="00045990" w:rsidRDefault="00886D0A" w:rsidP="00045990">
    <w:pPr>
      <w:ind w:right="-274"/>
      <w:rPr>
        <w:rFonts w:ascii="Century Gothic" w:hAnsi="Century Gothic"/>
        <w:sz w:val="20"/>
      </w:rPr>
    </w:pPr>
  </w:p>
  <w:p w:rsidR="00886D0A" w:rsidRPr="00C4677F" w:rsidRDefault="00886D0A" w:rsidP="00E40209">
    <w:pPr>
      <w:tabs>
        <w:tab w:val="left" w:pos="2520"/>
        <w:tab w:val="left" w:pos="2550"/>
        <w:tab w:val="right" w:pos="9450"/>
      </w:tabs>
      <w:rPr>
        <w:rFonts w:ascii="Century Gothic" w:hAnsi="Century Gothic"/>
        <w:b/>
        <w:bCs/>
        <w:i/>
        <w:iCs/>
        <w:sz w:val="16"/>
        <w:szCs w:val="16"/>
        <w:u w:val="single"/>
      </w:rPr>
    </w:pPr>
    <w:r w:rsidRPr="00E72883">
      <w:rPr>
        <w:rFonts w:ascii="Century Gothic" w:hAnsi="Century Gothic" w:cs="Arial"/>
        <w:color w:val="000000"/>
        <w:sz w:val="18"/>
        <w:szCs w:val="18"/>
      </w:rPr>
      <w:tab/>
    </w:r>
    <w:r>
      <w:rPr>
        <w:rFonts w:ascii="Century Gothic" w:hAnsi="Century Gothic" w:cs="Arial"/>
        <w:color w:val="000000"/>
        <w:sz w:val="18"/>
        <w:szCs w:val="18"/>
      </w:rPr>
      <w:tab/>
    </w:r>
    <w:r w:rsidRPr="00E72883">
      <w:rPr>
        <w:rFonts w:ascii="Century Gothic" w:hAnsi="Century Gothic" w:cs="Arial"/>
        <w:color w:val="000000"/>
        <w:sz w:val="18"/>
        <w:szCs w:val="18"/>
      </w:rPr>
      <w:tab/>
    </w:r>
    <w:r w:rsidRPr="00C4677F">
      <w:rPr>
        <w:rFonts w:ascii="Century Gothic" w:hAnsi="Century Gothic" w:cs="Arial"/>
        <w:color w:val="000000"/>
        <w:sz w:val="16"/>
        <w:szCs w:val="16"/>
      </w:rPr>
      <w:t>Labor Relations</w:t>
    </w:r>
    <w:r>
      <w:rPr>
        <w:rFonts w:ascii="Century Gothic" w:hAnsi="Century Gothic" w:cs="Arial"/>
        <w:color w:val="000000"/>
        <w:sz w:val="16"/>
        <w:szCs w:val="16"/>
      </w:rPr>
      <w:t xml:space="preserve"> Unit</w:t>
    </w:r>
  </w:p>
  <w:p w:rsidR="00886D0A" w:rsidRDefault="00886D0A" w:rsidP="00C4677F">
    <w:pPr>
      <w:tabs>
        <w:tab w:val="right" w:pos="9720"/>
      </w:tabs>
      <w:jc w:val="right"/>
      <w:rPr>
        <w:rFonts w:ascii="Century Gothic" w:hAnsi="Century Gothic" w:cs="Arial"/>
        <w:color w:val="000000"/>
        <w:sz w:val="16"/>
        <w:szCs w:val="16"/>
      </w:rPr>
    </w:pPr>
    <w:r>
      <w:rPr>
        <w:rFonts w:ascii="Century Gothic" w:hAnsi="Century Gothic" w:cs="Arial"/>
        <w:color w:val="000000"/>
        <w:sz w:val="16"/>
        <w:szCs w:val="16"/>
      </w:rPr>
      <w:t>Chief Human Resource Office</w:t>
    </w:r>
  </w:p>
  <w:p w:rsidR="00886D0A" w:rsidRPr="00C4677F" w:rsidRDefault="00886D0A" w:rsidP="00C4677F">
    <w:pPr>
      <w:tabs>
        <w:tab w:val="right" w:pos="9720"/>
      </w:tabs>
      <w:jc w:val="right"/>
      <w:rPr>
        <w:rFonts w:ascii="Century Gothic" w:hAnsi="Century Gothic" w:cs="Arial"/>
        <w:color w:val="000000"/>
        <w:sz w:val="16"/>
        <w:szCs w:val="16"/>
      </w:rPr>
    </w:pPr>
    <w:r>
      <w:rPr>
        <w:rFonts w:ascii="Century Gothic" w:hAnsi="Century Gothic" w:cs="Arial"/>
        <w:color w:val="000000"/>
        <w:sz w:val="16"/>
        <w:szCs w:val="16"/>
      </w:rPr>
      <w:t xml:space="preserve"> </w:t>
    </w:r>
    <w:r w:rsidRPr="00C4677F">
      <w:rPr>
        <w:rFonts w:ascii="Century Gothic" w:hAnsi="Century Gothic" w:cs="Arial"/>
        <w:color w:val="000000"/>
        <w:sz w:val="16"/>
        <w:szCs w:val="16"/>
      </w:rPr>
      <w:t>155 Cottage Street NE, U80</w:t>
    </w:r>
  </w:p>
  <w:p w:rsidR="00886D0A" w:rsidRDefault="00886D0A" w:rsidP="00C4677F">
    <w:pPr>
      <w:tabs>
        <w:tab w:val="right" w:pos="9720"/>
      </w:tabs>
      <w:jc w:val="right"/>
      <w:rPr>
        <w:rFonts w:ascii="Century Gothic" w:hAnsi="Century Gothic" w:cs="Arial"/>
        <w:color w:val="000000"/>
        <w:sz w:val="16"/>
        <w:szCs w:val="16"/>
      </w:rPr>
    </w:pPr>
    <w:r w:rsidRPr="00C4677F">
      <w:rPr>
        <w:rFonts w:ascii="Century Gothic" w:hAnsi="Century Gothic" w:cs="Arial"/>
        <w:color w:val="000000"/>
        <w:sz w:val="16"/>
        <w:szCs w:val="16"/>
      </w:rPr>
      <w:t>Salem, OR 97301-39</w:t>
    </w:r>
    <w:r>
      <w:rPr>
        <w:rFonts w:ascii="Century Gothic" w:hAnsi="Century Gothic" w:cs="Arial"/>
        <w:color w:val="000000"/>
        <w:sz w:val="16"/>
        <w:szCs w:val="16"/>
      </w:rPr>
      <w:t>71</w:t>
    </w:r>
  </w:p>
  <w:p w:rsidR="00886D0A" w:rsidRPr="00C4677F" w:rsidRDefault="00886D0A" w:rsidP="00C4677F">
    <w:pPr>
      <w:tabs>
        <w:tab w:val="right" w:pos="9720"/>
      </w:tabs>
      <w:jc w:val="right"/>
      <w:rPr>
        <w:rFonts w:ascii="Century Gothic" w:hAnsi="Century Gothic" w:cs="Arial"/>
        <w:color w:val="000000"/>
        <w:sz w:val="16"/>
        <w:szCs w:val="16"/>
      </w:rPr>
    </w:pPr>
    <w:r>
      <w:rPr>
        <w:rFonts w:ascii="Century Gothic" w:hAnsi="Century Gothic" w:cs="Arial"/>
        <w:color w:val="000000"/>
        <w:sz w:val="16"/>
        <w:szCs w:val="16"/>
      </w:rPr>
      <w:t>Phone: (503) 378-2616</w:t>
    </w:r>
  </w:p>
  <w:p w:rsidR="00886D0A" w:rsidRDefault="00886D0A" w:rsidP="00C4677F">
    <w:pPr>
      <w:tabs>
        <w:tab w:val="right" w:pos="9720"/>
      </w:tabs>
      <w:jc w:val="right"/>
      <w:rPr>
        <w:rFonts w:ascii="Century Gothic" w:hAnsi="Century Gothic" w:cs="Arial"/>
        <w:color w:val="000000"/>
        <w:sz w:val="16"/>
        <w:szCs w:val="16"/>
      </w:rPr>
    </w:pPr>
    <w:r w:rsidRPr="00C4677F">
      <w:rPr>
        <w:rFonts w:ascii="Century Gothic" w:hAnsi="Century Gothic" w:cs="Arial"/>
        <w:color w:val="000000"/>
        <w:sz w:val="16"/>
        <w:szCs w:val="16"/>
      </w:rPr>
      <w:t>FAX: (503) 373-7530</w:t>
    </w:r>
  </w:p>
  <w:p w:rsidR="00886D0A" w:rsidRPr="00C4677F" w:rsidRDefault="00886D0A" w:rsidP="00C4677F">
    <w:pPr>
      <w:tabs>
        <w:tab w:val="right" w:pos="9720"/>
      </w:tabs>
      <w:jc w:val="right"/>
      <w:rPr>
        <w:rFonts w:ascii="Century Gothic" w:hAnsi="Century Gothic" w:cs="Arial"/>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6361"/>
    <w:multiLevelType w:val="hybridMultilevel"/>
    <w:tmpl w:val="42C88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E34E3"/>
    <w:multiLevelType w:val="hybridMultilevel"/>
    <w:tmpl w:val="2DFE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EF231C"/>
    <w:multiLevelType w:val="hybridMultilevel"/>
    <w:tmpl w:val="50F8C796"/>
    <w:lvl w:ilvl="0" w:tplc="FBC41E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294461"/>
    <w:multiLevelType w:val="hybridMultilevel"/>
    <w:tmpl w:val="5EB01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0"/>
  <w:drawingGridHorizontalSpacing w:val="12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CDPData" w:val="`dojcdName:=teckla_buller`dojAuthor:=teckla_buller`dojDivCode:=AS`dojSecCode:=ADMIN`dojFName:=Teckla`dojLName:=Buller`dojMI:=J.`dojNamePrefix:=Ms.`dojNameSuffix:=`dojInitials:=tjb`dojFMLSName:=Teckla J. Buller`dojTitle:=Exec Support Specialist 1`dojOSB:=`dojExt:=235`dojGender:=F`dojNetworkUser:=`dojSortName:=Buller, Teckla J.`dojDivision:=Administrative Services`dojSection:=Administrative Services`dojBuilding:=Justice`dojStreet:=1162 Court Street NE`dojCity:=Salem`dojState:=OR`dojZip:=97301-4096`dojTTYPhone:=(503) 378-5938`dojPhone:=(503) 378-5555`dojFax:=(503) 378-8732`dojnetName:=Teckla Buller`dojnetGroup:=adminsrv`dojnetOrg:=DOJ`netInitialsGroupOrg:=tjb@adminsrv@DOJ`netNameGroupOrg:=Teckla Buller@adminsrv@DOJ`dojstateEmail:=teckla.buller@doj.state.or.us``dojAGName:=Hardy Myers`dojAGOSB:=64077`dojDeputyAGName:=Peter D. Shepherd`dojDeputyAGOSB:=80106`dojOrigTypist:=TJB`dojOrigNickname:=tjb`dojOrigGroup:=AS`dojOrigOrg:=doj`dojOrigSharkMail:=tjbmmUseMatter:=F`"/>
  </w:docVars>
  <w:rsids>
    <w:rsidRoot w:val="00F81CF4"/>
    <w:rsid w:val="000024F8"/>
    <w:rsid w:val="00006663"/>
    <w:rsid w:val="00045990"/>
    <w:rsid w:val="00061BB1"/>
    <w:rsid w:val="000753F9"/>
    <w:rsid w:val="00120EDB"/>
    <w:rsid w:val="0017502E"/>
    <w:rsid w:val="001767DE"/>
    <w:rsid w:val="001B0BD2"/>
    <w:rsid w:val="001B1E5A"/>
    <w:rsid w:val="001B4430"/>
    <w:rsid w:val="001B6B36"/>
    <w:rsid w:val="001D0BAD"/>
    <w:rsid w:val="00262BF8"/>
    <w:rsid w:val="00262F13"/>
    <w:rsid w:val="0026536F"/>
    <w:rsid w:val="0028658B"/>
    <w:rsid w:val="002A7E72"/>
    <w:rsid w:val="002B575E"/>
    <w:rsid w:val="002D0E25"/>
    <w:rsid w:val="003355ED"/>
    <w:rsid w:val="00351E0B"/>
    <w:rsid w:val="003609C7"/>
    <w:rsid w:val="00381809"/>
    <w:rsid w:val="003827B3"/>
    <w:rsid w:val="003E3FE3"/>
    <w:rsid w:val="004017D8"/>
    <w:rsid w:val="004660D3"/>
    <w:rsid w:val="004666EA"/>
    <w:rsid w:val="004B6E9E"/>
    <w:rsid w:val="004D3C40"/>
    <w:rsid w:val="004E2FC3"/>
    <w:rsid w:val="004F4C55"/>
    <w:rsid w:val="00504F39"/>
    <w:rsid w:val="005319E3"/>
    <w:rsid w:val="00533652"/>
    <w:rsid w:val="00536E8A"/>
    <w:rsid w:val="005C0F56"/>
    <w:rsid w:val="005D180E"/>
    <w:rsid w:val="00605E42"/>
    <w:rsid w:val="006075C2"/>
    <w:rsid w:val="0068525E"/>
    <w:rsid w:val="006979DC"/>
    <w:rsid w:val="006B3503"/>
    <w:rsid w:val="006C3E9B"/>
    <w:rsid w:val="006C50F4"/>
    <w:rsid w:val="00706952"/>
    <w:rsid w:val="00736A45"/>
    <w:rsid w:val="00744C30"/>
    <w:rsid w:val="007474EA"/>
    <w:rsid w:val="007A3577"/>
    <w:rsid w:val="007C5526"/>
    <w:rsid w:val="007E31A7"/>
    <w:rsid w:val="00841799"/>
    <w:rsid w:val="00865789"/>
    <w:rsid w:val="00886D0A"/>
    <w:rsid w:val="008B03A8"/>
    <w:rsid w:val="008C5B6F"/>
    <w:rsid w:val="008D427D"/>
    <w:rsid w:val="00902E3A"/>
    <w:rsid w:val="00904876"/>
    <w:rsid w:val="00907C70"/>
    <w:rsid w:val="009339AC"/>
    <w:rsid w:val="00933A52"/>
    <w:rsid w:val="00954812"/>
    <w:rsid w:val="00986B9F"/>
    <w:rsid w:val="009A7497"/>
    <w:rsid w:val="009D0A01"/>
    <w:rsid w:val="009D0D13"/>
    <w:rsid w:val="00A05568"/>
    <w:rsid w:val="00A172A3"/>
    <w:rsid w:val="00A748F2"/>
    <w:rsid w:val="00A83032"/>
    <w:rsid w:val="00AA57E6"/>
    <w:rsid w:val="00AD5FE3"/>
    <w:rsid w:val="00AE3B2E"/>
    <w:rsid w:val="00AF4375"/>
    <w:rsid w:val="00B32203"/>
    <w:rsid w:val="00B35A0B"/>
    <w:rsid w:val="00B37FAC"/>
    <w:rsid w:val="00B7195B"/>
    <w:rsid w:val="00B74C09"/>
    <w:rsid w:val="00B864D5"/>
    <w:rsid w:val="00B877C1"/>
    <w:rsid w:val="00C054CD"/>
    <w:rsid w:val="00C22984"/>
    <w:rsid w:val="00C37743"/>
    <w:rsid w:val="00C43474"/>
    <w:rsid w:val="00C4677F"/>
    <w:rsid w:val="00C67AEF"/>
    <w:rsid w:val="00CA6F00"/>
    <w:rsid w:val="00CA7ECE"/>
    <w:rsid w:val="00CC2491"/>
    <w:rsid w:val="00CE5977"/>
    <w:rsid w:val="00D267E4"/>
    <w:rsid w:val="00D42D21"/>
    <w:rsid w:val="00D94B03"/>
    <w:rsid w:val="00DA0AC3"/>
    <w:rsid w:val="00DA55A9"/>
    <w:rsid w:val="00DB6276"/>
    <w:rsid w:val="00E01F0A"/>
    <w:rsid w:val="00E07FF3"/>
    <w:rsid w:val="00E35CE5"/>
    <w:rsid w:val="00E40209"/>
    <w:rsid w:val="00E40B46"/>
    <w:rsid w:val="00E633BA"/>
    <w:rsid w:val="00E65B9E"/>
    <w:rsid w:val="00E72883"/>
    <w:rsid w:val="00EA0194"/>
    <w:rsid w:val="00EE7F17"/>
    <w:rsid w:val="00F068ED"/>
    <w:rsid w:val="00F14D4D"/>
    <w:rsid w:val="00F6763F"/>
    <w:rsid w:val="00F73133"/>
    <w:rsid w:val="00F743B6"/>
    <w:rsid w:val="00F81CF4"/>
    <w:rsid w:val="00FB6DDC"/>
    <w:rsid w:val="00FC71DC"/>
    <w:rsid w:val="00FE4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F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504F39"/>
    <w:rPr>
      <w:rFonts w:ascii="Times New Roman" w:hAnsi="Times New Roman"/>
      <w:sz w:val="24"/>
    </w:rPr>
  </w:style>
  <w:style w:type="character" w:customStyle="1" w:styleId="Softwaretitle">
    <w:name w:val="Software title"/>
    <w:basedOn w:val="DefaultParagraphFont"/>
    <w:rsid w:val="00504F39"/>
    <w:rPr>
      <w:b/>
      <w:smallCaps/>
    </w:rPr>
  </w:style>
  <w:style w:type="paragraph" w:styleId="BodyText">
    <w:name w:val="Body Text"/>
    <w:basedOn w:val="Normal"/>
    <w:rsid w:val="00504F39"/>
    <w:rPr>
      <w:sz w:val="16"/>
    </w:rPr>
  </w:style>
  <w:style w:type="paragraph" w:styleId="Title">
    <w:name w:val="Title"/>
    <w:basedOn w:val="Normal"/>
    <w:qFormat/>
    <w:rsid w:val="00504F39"/>
    <w:pPr>
      <w:jc w:val="center"/>
    </w:pPr>
    <w:rPr>
      <w:b/>
    </w:rPr>
  </w:style>
  <w:style w:type="paragraph" w:styleId="Header">
    <w:name w:val="header"/>
    <w:basedOn w:val="Normal"/>
    <w:link w:val="HeaderChar"/>
    <w:rsid w:val="00504F39"/>
    <w:pPr>
      <w:tabs>
        <w:tab w:val="center" w:pos="4320"/>
        <w:tab w:val="right" w:pos="8640"/>
      </w:tabs>
    </w:pPr>
    <w:rPr>
      <w:sz w:val="22"/>
    </w:rPr>
  </w:style>
  <w:style w:type="paragraph" w:styleId="Footer">
    <w:name w:val="footer"/>
    <w:basedOn w:val="Normal"/>
    <w:link w:val="FooterChar"/>
    <w:uiPriority w:val="99"/>
    <w:rsid w:val="00504F39"/>
    <w:pPr>
      <w:tabs>
        <w:tab w:val="center" w:pos="4320"/>
        <w:tab w:val="right" w:pos="8640"/>
      </w:tabs>
    </w:pPr>
    <w:rPr>
      <w:sz w:val="22"/>
    </w:rPr>
  </w:style>
  <w:style w:type="character" w:styleId="PageNumber">
    <w:name w:val="page number"/>
    <w:basedOn w:val="DefaultParagraphFont"/>
    <w:rsid w:val="00504F39"/>
  </w:style>
  <w:style w:type="paragraph" w:styleId="Caption">
    <w:name w:val="caption"/>
    <w:basedOn w:val="Normal"/>
    <w:next w:val="Normal"/>
    <w:qFormat/>
    <w:rsid w:val="00504F39"/>
    <w:pPr>
      <w:framePr w:w="6179" w:h="2561" w:hSpace="180" w:wrap="auto" w:vAnchor="text" w:hAnchor="page" w:x="5336" w:y="281"/>
      <w:ind w:left="-4410" w:firstLine="4410"/>
      <w:jc w:val="right"/>
    </w:pPr>
    <w:rPr>
      <w:rFonts w:ascii="Palatino" w:hAnsi="Palatino"/>
      <w:b/>
      <w:color w:val="FF0000"/>
    </w:rPr>
  </w:style>
  <w:style w:type="paragraph" w:styleId="Revision">
    <w:name w:val="Revision"/>
    <w:hidden/>
    <w:uiPriority w:val="99"/>
    <w:semiHidden/>
    <w:rsid w:val="00E40209"/>
    <w:rPr>
      <w:sz w:val="24"/>
    </w:rPr>
  </w:style>
  <w:style w:type="paragraph" w:styleId="BalloonText">
    <w:name w:val="Balloon Text"/>
    <w:basedOn w:val="Normal"/>
    <w:link w:val="BalloonTextChar"/>
    <w:rsid w:val="00E40209"/>
    <w:rPr>
      <w:rFonts w:ascii="Tahoma" w:hAnsi="Tahoma" w:cs="Tahoma"/>
      <w:sz w:val="16"/>
      <w:szCs w:val="16"/>
    </w:rPr>
  </w:style>
  <w:style w:type="character" w:customStyle="1" w:styleId="BalloonTextChar">
    <w:name w:val="Balloon Text Char"/>
    <w:basedOn w:val="DefaultParagraphFont"/>
    <w:link w:val="BalloonText"/>
    <w:rsid w:val="00E40209"/>
    <w:rPr>
      <w:rFonts w:ascii="Tahoma" w:hAnsi="Tahoma" w:cs="Tahoma"/>
      <w:sz w:val="16"/>
      <w:szCs w:val="16"/>
    </w:rPr>
  </w:style>
  <w:style w:type="character" w:customStyle="1" w:styleId="FooterChar">
    <w:name w:val="Footer Char"/>
    <w:basedOn w:val="DefaultParagraphFont"/>
    <w:link w:val="Footer"/>
    <w:uiPriority w:val="99"/>
    <w:rsid w:val="00F73133"/>
    <w:rPr>
      <w:sz w:val="22"/>
    </w:rPr>
  </w:style>
  <w:style w:type="character" w:customStyle="1" w:styleId="HeaderChar">
    <w:name w:val="Header Char"/>
    <w:basedOn w:val="DefaultParagraphFont"/>
    <w:link w:val="Header"/>
    <w:rsid w:val="00120EDB"/>
    <w:rPr>
      <w:sz w:val="22"/>
    </w:rPr>
  </w:style>
  <w:style w:type="paragraph" w:styleId="ListParagraph">
    <w:name w:val="List Paragraph"/>
    <w:basedOn w:val="Normal"/>
    <w:uiPriority w:val="34"/>
    <w:qFormat/>
    <w:rsid w:val="00D267E4"/>
    <w:pPr>
      <w:spacing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91059108">
      <w:bodyDiv w:val="1"/>
      <w:marLeft w:val="0"/>
      <w:marRight w:val="0"/>
      <w:marTop w:val="0"/>
      <w:marBottom w:val="0"/>
      <w:divBdr>
        <w:top w:val="none" w:sz="0" w:space="0" w:color="auto"/>
        <w:left w:val="none" w:sz="0" w:space="0" w:color="auto"/>
        <w:bottom w:val="none" w:sz="0" w:space="0" w:color="auto"/>
        <w:right w:val="none" w:sz="0" w:space="0" w:color="auto"/>
      </w:divBdr>
    </w:div>
    <w:div w:id="518734865">
      <w:bodyDiv w:val="1"/>
      <w:marLeft w:val="0"/>
      <w:marRight w:val="0"/>
      <w:marTop w:val="0"/>
      <w:marBottom w:val="0"/>
      <w:divBdr>
        <w:top w:val="none" w:sz="0" w:space="0" w:color="auto"/>
        <w:left w:val="none" w:sz="0" w:space="0" w:color="auto"/>
        <w:bottom w:val="none" w:sz="0" w:space="0" w:color="auto"/>
        <w:right w:val="none" w:sz="0" w:space="0" w:color="auto"/>
      </w:divBdr>
    </w:div>
    <w:div w:id="1311249325">
      <w:bodyDiv w:val="1"/>
      <w:marLeft w:val="0"/>
      <w:marRight w:val="0"/>
      <w:marTop w:val="0"/>
      <w:marBottom w:val="0"/>
      <w:divBdr>
        <w:top w:val="none" w:sz="0" w:space="0" w:color="auto"/>
        <w:left w:val="none" w:sz="0" w:space="0" w:color="auto"/>
        <w:bottom w:val="none" w:sz="0" w:space="0" w:color="auto"/>
        <w:right w:val="none" w:sz="0" w:space="0" w:color="auto"/>
      </w:divBdr>
    </w:div>
    <w:div w:id="1436638303">
      <w:bodyDiv w:val="1"/>
      <w:marLeft w:val="0"/>
      <w:marRight w:val="0"/>
      <w:marTop w:val="0"/>
      <w:marBottom w:val="0"/>
      <w:divBdr>
        <w:top w:val="none" w:sz="0" w:space="0" w:color="auto"/>
        <w:left w:val="none" w:sz="0" w:space="0" w:color="auto"/>
        <w:bottom w:val="none" w:sz="0" w:space="0" w:color="auto"/>
        <w:right w:val="none" w:sz="0" w:space="0" w:color="auto"/>
      </w:divBdr>
    </w:div>
    <w:div w:id="1437863831">
      <w:bodyDiv w:val="1"/>
      <w:marLeft w:val="0"/>
      <w:marRight w:val="0"/>
      <w:marTop w:val="0"/>
      <w:marBottom w:val="0"/>
      <w:divBdr>
        <w:top w:val="none" w:sz="0" w:space="0" w:color="auto"/>
        <w:left w:val="none" w:sz="0" w:space="0" w:color="auto"/>
        <w:bottom w:val="none" w:sz="0" w:space="0" w:color="auto"/>
        <w:right w:val="none" w:sz="0" w:space="0" w:color="auto"/>
      </w:divBdr>
    </w:div>
    <w:div w:id="16375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dmin\Forms-Letters\LRU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E25B-348A-4841-8225-4AF80759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LRU_Letterhead.dotx</Template>
  <TotalTime>2</TotalTime>
  <Pages>2</Pages>
  <Words>482</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Memo re Templates to Susan Wilson 030211</vt:lpstr>
    </vt:vector>
  </TitlesOfParts>
  <Company>Oregon Dept of Justice</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 Templates to Susan Wilson 030211</dc:title>
  <dc:creator>Anna Sikel</dc:creator>
  <cp:lastModifiedBy>Anna Sikel</cp:lastModifiedBy>
  <cp:revision>2</cp:revision>
  <cp:lastPrinted>2012-04-04T15:59:00Z</cp:lastPrinted>
  <dcterms:created xsi:type="dcterms:W3CDTF">2013-02-25T22:42:00Z</dcterms:created>
  <dcterms:modified xsi:type="dcterms:W3CDTF">2013-02-25T22:42:00Z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_Number">
    <vt:lpwstr>Matter_Number</vt:lpwstr>
  </property>
  <property fmtid="{D5CDD505-2E9C-101B-9397-08002B2CF9AE}" pid="3" name="Forum">
    <vt:lpwstr>Forum</vt:lpwstr>
  </property>
  <property fmtid="{D5CDD505-2E9C-101B-9397-08002B2CF9AE}" pid="4" name="County">
    <vt:lpwstr>County</vt:lpwstr>
  </property>
  <property fmtid="{D5CDD505-2E9C-101B-9397-08002B2CF9AE}" pid="5" name="Docket_Number">
    <vt:lpwstr>Docket_Number</vt:lpwstr>
  </property>
  <property fmtid="{D5CDD505-2E9C-101B-9397-08002B2CF9AE}" pid="6" name="Plaintiff_Title">
    <vt:lpwstr>Plaintiff_Title</vt:lpwstr>
  </property>
  <property fmtid="{D5CDD505-2E9C-101B-9397-08002B2CF9AE}" pid="7" name="Plaintiff_Name">
    <vt:lpwstr>Plaintiff_Name</vt:lpwstr>
  </property>
  <property fmtid="{D5CDD505-2E9C-101B-9397-08002B2CF9AE}" pid="8" name="Defendant_Title">
    <vt:lpwstr>Defendant_Title</vt:lpwstr>
  </property>
  <property fmtid="{D5CDD505-2E9C-101B-9397-08002B2CF9AE}" pid="9" name="Defendant_Name">
    <vt:lpwstr>Defendant_Name</vt:lpwstr>
  </property>
  <property fmtid="{D5CDD505-2E9C-101B-9397-08002B2CF9AE}" pid="10" name="Primary_AAG">
    <vt:lpwstr>Primary_AAG</vt:lpwstr>
  </property>
  <property fmtid="{D5CDD505-2E9C-101B-9397-08002B2CF9AE}" pid="11" name="Opposing_Attorney">
    <vt:lpwstr>Opposing_Attorney</vt:lpwstr>
  </property>
  <property fmtid="{D5CDD505-2E9C-101B-9397-08002B2CF9AE}" pid="12" name="Agency">
    <vt:lpwstr>Agency</vt:lpwstr>
  </property>
  <property fmtid="{D5CDD505-2E9C-101B-9397-08002B2CF9AE}" pid="13" name="Agency_Rep">
    <vt:lpwstr>Agency_Rep</vt:lpwstr>
  </property>
  <property fmtid="{D5CDD505-2E9C-101B-9397-08002B2CF9AE}" pid="14" name="Primary_AAG_Initials">
    <vt:lpwstr>Primary_AAG_Initials</vt:lpwstr>
  </property>
  <property fmtid="{D5CDD505-2E9C-101B-9397-08002B2CF9AE}" pid="15" name="Primary_AAG_Title">
    <vt:lpwstr>Assistant Attorney General</vt:lpwstr>
  </property>
  <property fmtid="{D5CDD505-2E9C-101B-9397-08002B2CF9AE}" pid="16" name="Primary_AAG_Division">
    <vt:lpwstr>YOUR DIVISION</vt:lpwstr>
  </property>
  <property fmtid="{D5CDD505-2E9C-101B-9397-08002B2CF9AE}" pid="17" name="Primary_AAG_Section">
    <vt:lpwstr>YOUR SECTION</vt:lpwstr>
  </property>
  <property fmtid="{D5CDD505-2E9C-101B-9397-08002B2CF9AE}" pid="18" name="Primary_AAG_BarNum">
    <vt:lpwstr>Primary_AAG_BarNum</vt:lpwstr>
  </property>
  <property fmtid="{D5CDD505-2E9C-101B-9397-08002B2CF9AE}" pid="19" name="Primary_AAG_Gender">
    <vt:lpwstr>Primary_AAG_Gender</vt:lpwstr>
  </property>
  <property fmtid="{D5CDD505-2E9C-101B-9397-08002B2CF9AE}" pid="20" name="Primary_AAG_FirstName">
    <vt:lpwstr>Primary_AAG_FirstName</vt:lpwstr>
  </property>
  <property fmtid="{D5CDD505-2E9C-101B-9397-08002B2CF9AE}" pid="21" name="Primary_AAG_LastName">
    <vt:lpwstr>Primary_AAG_LastName</vt:lpwstr>
  </property>
  <property fmtid="{D5CDD505-2E9C-101B-9397-08002B2CF9AE}" pid="22" name="Primary_AAG_MI">
    <vt:lpwstr>Primary_AAG_MI</vt:lpwstr>
  </property>
  <property fmtid="{D5CDD505-2E9C-101B-9397-08002B2CF9AE}" pid="23" name="Primary_AAG_Phone">
    <vt:lpwstr>(503) 378-6060</vt:lpwstr>
  </property>
  <property fmtid="{D5CDD505-2E9C-101B-9397-08002B2CF9AE}" pid="24" name="Primary_AAG_Fax">
    <vt:lpwstr>(503) 378-6100</vt:lpwstr>
  </property>
  <property fmtid="{D5CDD505-2E9C-101B-9397-08002B2CF9AE}" pid="25" name="Primary_AAG_AddressStreet">
    <vt:lpwstr>YOUR STREET ADDRESS</vt:lpwstr>
  </property>
  <property fmtid="{D5CDD505-2E9C-101B-9397-08002B2CF9AE}" pid="26" name="Primary_AAG_AddressCity">
    <vt:lpwstr>CITY/STATE/ZIP</vt:lpwstr>
  </property>
  <property fmtid="{D5CDD505-2E9C-101B-9397-08002B2CF9AE}" pid="27" name="dojSortname">
    <vt:lpwstr>Buller, Teckla J.</vt:lpwstr>
  </property>
  <property fmtid="{D5CDD505-2E9C-101B-9397-08002B2CF9AE}" pid="28" name="dojFMLSName">
    <vt:lpwstr>Teckla J. Buller</vt:lpwstr>
  </property>
  <property fmtid="{D5CDD505-2E9C-101B-9397-08002B2CF9AE}" pid="29" name="dojAuthor">
    <vt:lpwstr>teckla_buller</vt:lpwstr>
  </property>
  <property fmtid="{D5CDD505-2E9C-101B-9397-08002B2CF9AE}" pid="30" name="dojPhone">
    <vt:lpwstr>(503) 378-5555</vt:lpwstr>
  </property>
  <property fmtid="{D5CDD505-2E9C-101B-9397-08002B2CF9AE}" pid="31" name="dojExt">
    <vt:lpwstr>235</vt:lpwstr>
  </property>
  <property fmtid="{D5CDD505-2E9C-101B-9397-08002B2CF9AE}" pid="32" name="dojFax">
    <vt:lpwstr>(503) 378-8732</vt:lpwstr>
  </property>
  <property fmtid="{D5CDD505-2E9C-101B-9397-08002B2CF9AE}" pid="33" name="dojTitle">
    <vt:lpwstr>Exec Support Specialist 1</vt:lpwstr>
  </property>
  <property fmtid="{D5CDD505-2E9C-101B-9397-08002B2CF9AE}" pid="34" name="dojDivision">
    <vt:lpwstr>Administrative Services</vt:lpwstr>
  </property>
  <property fmtid="{D5CDD505-2E9C-101B-9397-08002B2CF9AE}" pid="35" name="dojSection">
    <vt:lpwstr>Administrative Services</vt:lpwstr>
  </property>
  <property fmtid="{D5CDD505-2E9C-101B-9397-08002B2CF9AE}" pid="36" name="dojOSB">
    <vt:lpwstr>`</vt:lpwstr>
  </property>
  <property fmtid="{D5CDD505-2E9C-101B-9397-08002B2CF9AE}" pid="37" name="dojLName">
    <vt:lpwstr>Buller</vt:lpwstr>
  </property>
  <property fmtid="{D5CDD505-2E9C-101B-9397-08002B2CF9AE}" pid="38" name="dojFName">
    <vt:lpwstr>Teckla</vt:lpwstr>
  </property>
  <property fmtid="{D5CDD505-2E9C-101B-9397-08002B2CF9AE}" pid="39" name="dojMI">
    <vt:lpwstr>J.</vt:lpwstr>
  </property>
  <property fmtid="{D5CDD505-2E9C-101B-9397-08002B2CF9AE}" pid="40" name="dojInitials">
    <vt:lpwstr>tjb</vt:lpwstr>
  </property>
  <property fmtid="{D5CDD505-2E9C-101B-9397-08002B2CF9AE}" pid="41" name="dojNamePrefix">
    <vt:lpwstr>Ms.</vt:lpwstr>
  </property>
  <property fmtid="{D5CDD505-2E9C-101B-9397-08002B2CF9AE}" pid="42" name="dojNameSuffix">
    <vt:lpwstr>`</vt:lpwstr>
  </property>
  <property fmtid="{D5CDD505-2E9C-101B-9397-08002B2CF9AE}" pid="43" name="dojGender">
    <vt:lpwstr>F</vt:lpwstr>
  </property>
  <property fmtid="{D5CDD505-2E9C-101B-9397-08002B2CF9AE}" pid="44" name="dojDivCode">
    <vt:lpwstr>AS</vt:lpwstr>
  </property>
  <property fmtid="{D5CDD505-2E9C-101B-9397-08002B2CF9AE}" pid="45" name="dojSecCode">
    <vt:lpwstr>ADMIN</vt:lpwstr>
  </property>
  <property fmtid="{D5CDD505-2E9C-101B-9397-08002B2CF9AE}" pid="46" name="dojBuilding">
    <vt:lpwstr>Justice</vt:lpwstr>
  </property>
  <property fmtid="{D5CDD505-2E9C-101B-9397-08002B2CF9AE}" pid="47" name="dojStreet">
    <vt:lpwstr>1162 Court Street NE</vt:lpwstr>
  </property>
  <property fmtid="{D5CDD505-2E9C-101B-9397-08002B2CF9AE}" pid="48" name="dojCity">
    <vt:lpwstr>Salem</vt:lpwstr>
  </property>
  <property fmtid="{D5CDD505-2E9C-101B-9397-08002B2CF9AE}" pid="49" name="dojState">
    <vt:lpwstr>OR</vt:lpwstr>
  </property>
  <property fmtid="{D5CDD505-2E9C-101B-9397-08002B2CF9AE}" pid="50" name="dojZip">
    <vt:lpwstr>97301-4096</vt:lpwstr>
  </property>
  <property fmtid="{D5CDD505-2E9C-101B-9397-08002B2CF9AE}" pid="51" name="dojTTYPhone">
    <vt:lpwstr>(503) 378-5938</vt:lpwstr>
  </property>
  <property fmtid="{D5CDD505-2E9C-101B-9397-08002B2CF9AE}" pid="52" name="dojOrigTypist">
    <vt:lpwstr>TJB</vt:lpwstr>
  </property>
  <property fmtid="{D5CDD505-2E9C-101B-9397-08002B2CF9AE}" pid="53" name="dojOrigNickname">
    <vt:lpwstr>tjb</vt:lpwstr>
  </property>
  <property fmtid="{D5CDD505-2E9C-101B-9397-08002B2CF9AE}" pid="54" name="dojOrigGroup">
    <vt:lpwstr>AS</vt:lpwstr>
  </property>
  <property fmtid="{D5CDD505-2E9C-101B-9397-08002B2CF9AE}" pid="55" name="dojOrigOrg">
    <vt:lpwstr>doj</vt:lpwstr>
  </property>
  <property fmtid="{D5CDD505-2E9C-101B-9397-08002B2CF9AE}" pid="56" name="dojOrigSharkMail">
    <vt:lpwstr>tjbmmUseMatter:=F</vt:lpwstr>
  </property>
  <property fmtid="{D5CDD505-2E9C-101B-9397-08002B2CF9AE}" pid="57" name="dojAGName">
    <vt:lpwstr>Hardy Myers</vt:lpwstr>
  </property>
  <property fmtid="{D5CDD505-2E9C-101B-9397-08002B2CF9AE}" pid="58" name="dojAGOSB">
    <vt:lpwstr>64077</vt:lpwstr>
  </property>
  <property fmtid="{D5CDD505-2E9C-101B-9397-08002B2CF9AE}" pid="59" name="dojDeputyAGName">
    <vt:lpwstr>Peter D. Shepherd</vt:lpwstr>
  </property>
  <property fmtid="{D5CDD505-2E9C-101B-9397-08002B2CF9AE}" pid="60" name="dojDeputyAGOSB">
    <vt:lpwstr>80106</vt:lpwstr>
  </property>
  <property fmtid="{D5CDD505-2E9C-101B-9397-08002B2CF9AE}" pid="61" name="mmMatterNumber">
    <vt:lpwstr>`</vt:lpwstr>
  </property>
  <property fmtid="{D5CDD505-2E9C-101B-9397-08002B2CF9AE}" pid="62" name="mmMatterName">
    <vt:lpwstr>`</vt:lpwstr>
  </property>
  <property fmtid="{D5CDD505-2E9C-101B-9397-08002B2CF9AE}" pid="63" name="mmMatterCaption">
    <vt:lpwstr>`</vt:lpwstr>
  </property>
  <property fmtid="{D5CDD505-2E9C-101B-9397-08002B2CF9AE}" pid="64" name="mmCourtDocketNumber">
    <vt:lpwstr>`</vt:lpwstr>
  </property>
  <property fmtid="{D5CDD505-2E9C-101B-9397-08002B2CF9AE}" pid="65" name="mmDateOpen">
    <vt:lpwstr>`</vt:lpwstr>
  </property>
  <property fmtid="{D5CDD505-2E9C-101B-9397-08002B2CF9AE}" pid="66" name="mmCountyName">
    <vt:lpwstr>`</vt:lpwstr>
  </property>
  <property fmtid="{D5CDD505-2E9C-101B-9397-08002B2CF9AE}" pid="67" name="mmClientAgencyID">
    <vt:lpwstr>`</vt:lpwstr>
  </property>
  <property fmtid="{D5CDD505-2E9C-101B-9397-08002B2CF9AE}" pid="68" name="mmAdjudicator">
    <vt:lpwstr>`</vt:lpwstr>
  </property>
  <property fmtid="{D5CDD505-2E9C-101B-9397-08002B2CF9AE}" pid="69" name="mmAdjudicatorTitle">
    <vt:lpwstr>`</vt:lpwstr>
  </property>
  <property fmtid="{D5CDD505-2E9C-101B-9397-08002B2CF9AE}" pid="70" name="mmLitigated">
    <vt:lpwstr>`</vt:lpwstr>
  </property>
  <property fmtid="{D5CDD505-2E9C-101B-9397-08002B2CF9AE}" pid="71" name="mmdojCDPsUpdated">
    <vt:lpwstr>Y</vt:lpwstr>
  </property>
  <property fmtid="{D5CDD505-2E9C-101B-9397-08002B2CF9AE}" pid="72" name="mmMatterID">
    <vt:lpwstr>`</vt:lpwstr>
  </property>
  <property fmtid="{D5CDD505-2E9C-101B-9397-08002B2CF9AE}" pid="73" name="dojRecipient">
    <vt:lpwstr>`</vt:lpwstr>
  </property>
  <property fmtid="{D5CDD505-2E9C-101B-9397-08002B2CF9AE}" pid="74" name="mmDateOfAppeal">
    <vt:lpwstr>`</vt:lpwstr>
  </property>
  <property fmtid="{D5CDD505-2E9C-101B-9397-08002B2CF9AE}" pid="75" name="mmOpinionDate">
    <vt:lpwstr>`</vt:lpwstr>
  </property>
  <property fmtid="{D5CDD505-2E9C-101B-9397-08002B2CF9AE}" pid="76" name="mmLowerCourtNbr">
    <vt:lpwstr>`</vt:lpwstr>
  </property>
  <property fmtid="{D5CDD505-2E9C-101B-9397-08002B2CF9AE}" pid="77" name="mmAppellateCourtNbr">
    <vt:lpwstr>`</vt:lpwstr>
  </property>
  <property fmtid="{D5CDD505-2E9C-101B-9397-08002B2CF9AE}" pid="78" name="mmSupremeCourtNbr">
    <vt:lpwstr>`</vt:lpwstr>
  </property>
  <property fmtid="{D5CDD505-2E9C-101B-9397-08002B2CF9AE}" pid="79" name="mmBriefPageCount">
    <vt:lpwstr>`</vt:lpwstr>
  </property>
  <property fmtid="{D5CDD505-2E9C-101B-9397-08002B2CF9AE}" pid="80" name="mmTranscriptCosts">
    <vt:lpwstr>`</vt:lpwstr>
  </property>
  <property fmtid="{D5CDD505-2E9C-101B-9397-08002B2CF9AE}" pid="81" name="mmAttorneyFees">
    <vt:lpwstr>`</vt:lpwstr>
  </property>
</Properties>
</file>