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22" w:rsidRDefault="00172522"/>
    <w:p w:rsidR="00174C11" w:rsidRDefault="00174C11"/>
    <w:p w:rsidR="00174C11" w:rsidRPr="00BE061F" w:rsidRDefault="00174C11">
      <w:pPr>
        <w:rPr>
          <w:b/>
          <w:sz w:val="24"/>
          <w:szCs w:val="24"/>
        </w:rPr>
      </w:pPr>
      <w:r w:rsidRPr="00BE061F">
        <w:rPr>
          <w:b/>
          <w:sz w:val="24"/>
          <w:szCs w:val="24"/>
        </w:rPr>
        <w:t>SB 1049 - Limitation on Annual Subject Salary - “Partial year” limit proration.</w:t>
      </w:r>
      <w:r w:rsidR="009273EB" w:rsidRPr="00BE061F">
        <w:rPr>
          <w:b/>
          <w:sz w:val="24"/>
          <w:szCs w:val="24"/>
        </w:rPr>
        <w:t xml:space="preserve"> Effective 01/01/2020.</w:t>
      </w:r>
    </w:p>
    <w:p w:rsidR="009273EB" w:rsidRPr="00BE061F" w:rsidRDefault="009273EB" w:rsidP="00380F9B">
      <w:pPr>
        <w:widowControl w:val="0"/>
        <w:tabs>
          <w:tab w:val="left" w:pos="360"/>
        </w:tabs>
        <w:rPr>
          <w:rFonts w:ascii="Tahoma" w:hAnsi="Tahoma" w:cs="Tahoma"/>
          <w:b/>
          <w:color w:val="000000"/>
          <w:sz w:val="18"/>
          <w:szCs w:val="18"/>
        </w:rPr>
      </w:pPr>
      <w:r w:rsidRPr="00BE061F">
        <w:rPr>
          <w:rFonts w:ascii="Tahoma" w:hAnsi="Tahoma" w:cs="Tahoma"/>
          <w:b/>
          <w:color w:val="000000"/>
          <w:sz w:val="18"/>
          <w:szCs w:val="18"/>
        </w:rPr>
        <w:t>General Salary Limit Information:</w:t>
      </w:r>
    </w:p>
    <w:p w:rsidR="0028469E" w:rsidRPr="005F35CD" w:rsidRDefault="0028469E" w:rsidP="00380F9B">
      <w:pPr>
        <w:widowControl w:val="0"/>
        <w:tabs>
          <w:tab w:val="left" w:pos="360"/>
        </w:tabs>
        <w:rPr>
          <w:rFonts w:ascii="Tahoma" w:hAnsi="Tahoma" w:cs="Tahoma"/>
          <w:color w:val="FF0000"/>
          <w:sz w:val="18"/>
          <w:szCs w:val="18"/>
        </w:rPr>
      </w:pPr>
      <w:r w:rsidRPr="005F35CD">
        <w:rPr>
          <w:rFonts w:ascii="Tahoma" w:hAnsi="Tahoma" w:cs="Tahoma"/>
          <w:color w:val="000000"/>
          <w:sz w:val="18"/>
          <w:szCs w:val="18"/>
        </w:rPr>
        <w:t>The amount of annual subject salary that may be considered in determining employee contributions to the OPSRP IAP member account, employer contributions</w:t>
      </w:r>
      <w:r w:rsidR="00380F9B">
        <w:rPr>
          <w:rFonts w:ascii="Tahoma" w:hAnsi="Tahoma" w:cs="Tahoma"/>
          <w:color w:val="000000"/>
          <w:sz w:val="18"/>
          <w:szCs w:val="18"/>
        </w:rPr>
        <w:t xml:space="preserve"> and </w:t>
      </w:r>
      <w:r w:rsidR="00380F9B" w:rsidRPr="005F35CD">
        <w:rPr>
          <w:rFonts w:ascii="Tahoma" w:hAnsi="Tahoma" w:cs="Tahoma"/>
          <w:color w:val="000000"/>
          <w:sz w:val="18"/>
          <w:szCs w:val="18"/>
        </w:rPr>
        <w:t>in calcula</w:t>
      </w:r>
      <w:r w:rsidR="00380F9B">
        <w:rPr>
          <w:rFonts w:ascii="Tahoma" w:hAnsi="Tahoma" w:cs="Tahoma"/>
          <w:color w:val="000000"/>
          <w:sz w:val="18"/>
          <w:szCs w:val="18"/>
        </w:rPr>
        <w:t>ting final average salary (FAS)</w:t>
      </w:r>
      <w:r w:rsidRPr="005F35CD">
        <w:rPr>
          <w:rFonts w:ascii="Tahoma" w:hAnsi="Tahoma" w:cs="Tahoma"/>
          <w:color w:val="000000"/>
          <w:sz w:val="18"/>
          <w:szCs w:val="18"/>
        </w:rPr>
        <w:t xml:space="preserve"> f</w:t>
      </w:r>
      <w:r w:rsidR="00C07F77">
        <w:rPr>
          <w:rFonts w:ascii="Tahoma" w:hAnsi="Tahoma" w:cs="Tahoma"/>
          <w:color w:val="000000"/>
          <w:sz w:val="18"/>
          <w:szCs w:val="18"/>
        </w:rPr>
        <w:t xml:space="preserve">or both PERS Chapter 238 and 238A Programs </w:t>
      </w:r>
      <w:r w:rsidRPr="005F35CD">
        <w:rPr>
          <w:rFonts w:ascii="Tahoma" w:hAnsi="Tahoma" w:cs="Tahoma"/>
          <w:color w:val="000000"/>
          <w:sz w:val="18"/>
          <w:szCs w:val="18"/>
        </w:rPr>
        <w:t xml:space="preserve">may not exceed the annual salary limit. </w:t>
      </w:r>
      <w:r w:rsidRPr="005F35CD">
        <w:rPr>
          <w:rFonts w:ascii="Tahoma" w:hAnsi="Tahoma" w:cs="Tahoma"/>
          <w:color w:val="FF0000"/>
          <w:sz w:val="18"/>
          <w:szCs w:val="18"/>
        </w:rPr>
        <w:t>(SB 1049 (2019); ORS 238.005(26</w:t>
      </w:r>
      <w:proofErr w:type="gramStart"/>
      <w:r w:rsidRPr="005F35CD">
        <w:rPr>
          <w:rFonts w:ascii="Tahoma" w:hAnsi="Tahoma" w:cs="Tahoma"/>
          <w:color w:val="FF0000"/>
          <w:sz w:val="18"/>
          <w:szCs w:val="18"/>
        </w:rPr>
        <w:t>)(</w:t>
      </w:r>
      <w:proofErr w:type="gramEnd"/>
      <w:r w:rsidRPr="005F35CD">
        <w:rPr>
          <w:rFonts w:ascii="Tahoma" w:hAnsi="Tahoma" w:cs="Tahoma"/>
          <w:color w:val="FF0000"/>
          <w:sz w:val="18"/>
          <w:szCs w:val="18"/>
        </w:rPr>
        <w:t xml:space="preserve">c)(M); </w:t>
      </w:r>
      <w:r w:rsidR="00380F9B" w:rsidRPr="00405636">
        <w:rPr>
          <w:rFonts w:ascii="Tahoma" w:hAnsi="Tahoma" w:cs="Tahoma"/>
          <w:color w:val="FF0000"/>
          <w:sz w:val="18"/>
          <w:szCs w:val="18"/>
        </w:rPr>
        <w:t xml:space="preserve">ORS 238A.005(17)(c)(M); </w:t>
      </w:r>
      <w:r w:rsidR="00380F9B">
        <w:rPr>
          <w:rFonts w:ascii="Tahoma" w:hAnsi="Tahoma" w:cs="Tahoma"/>
          <w:color w:val="FF0000"/>
          <w:sz w:val="18"/>
          <w:szCs w:val="18"/>
        </w:rPr>
        <w:t>OAR 459-005-0525</w:t>
      </w:r>
      <w:r w:rsidRPr="005F35CD">
        <w:rPr>
          <w:rFonts w:ascii="Tahoma" w:hAnsi="Tahoma" w:cs="Tahoma"/>
          <w:color w:val="FF0000"/>
          <w:sz w:val="18"/>
          <w:szCs w:val="18"/>
        </w:rPr>
        <w:t>)</w:t>
      </w:r>
    </w:p>
    <w:p w:rsidR="0028469E" w:rsidRPr="005F35CD" w:rsidRDefault="0028469E" w:rsidP="00380F9B">
      <w:pPr>
        <w:widowControl w:val="0"/>
        <w:tabs>
          <w:tab w:val="left" w:pos="720"/>
        </w:tabs>
        <w:rPr>
          <w:rFonts w:ascii="Tahoma" w:hAnsi="Tahoma" w:cs="Tahoma"/>
          <w:color w:val="FF0000"/>
          <w:sz w:val="18"/>
          <w:szCs w:val="18"/>
        </w:rPr>
      </w:pPr>
      <w:r w:rsidRPr="005F35CD">
        <w:rPr>
          <w:rFonts w:ascii="Tahoma" w:hAnsi="Tahoma" w:cs="Tahoma"/>
          <w:sz w:val="18"/>
          <w:szCs w:val="18"/>
        </w:rPr>
        <w:t xml:space="preserve">Once the annual salary limit is reached, any additional salary above the salary limit in the calendar year will be </w:t>
      </w:r>
      <w:r w:rsidR="009273EB">
        <w:rPr>
          <w:rFonts w:ascii="Tahoma" w:hAnsi="Tahoma" w:cs="Tahoma"/>
          <w:sz w:val="18"/>
          <w:szCs w:val="18"/>
        </w:rPr>
        <w:t xml:space="preserve">reported as </w:t>
      </w:r>
      <w:r w:rsidRPr="005F35CD">
        <w:rPr>
          <w:rFonts w:ascii="Tahoma" w:hAnsi="Tahoma" w:cs="Tahoma"/>
          <w:sz w:val="18"/>
          <w:szCs w:val="18"/>
        </w:rPr>
        <w:t>non-subject salary</w:t>
      </w:r>
      <w:r w:rsidR="00380F9B">
        <w:rPr>
          <w:rFonts w:ascii="Tahoma" w:hAnsi="Tahoma" w:cs="Tahoma"/>
          <w:sz w:val="18"/>
          <w:szCs w:val="18"/>
        </w:rPr>
        <w:t>.</w:t>
      </w:r>
    </w:p>
    <w:p w:rsidR="009273EB" w:rsidRDefault="0028469E" w:rsidP="00380F9B">
      <w:pPr>
        <w:widowControl w:val="0"/>
        <w:tabs>
          <w:tab w:val="left" w:pos="720"/>
        </w:tabs>
        <w:rPr>
          <w:rFonts w:ascii="Tahoma" w:hAnsi="Tahoma" w:cs="Tahoma"/>
          <w:sz w:val="18"/>
          <w:szCs w:val="18"/>
        </w:rPr>
      </w:pPr>
      <w:r w:rsidRPr="005F35CD">
        <w:rPr>
          <w:rFonts w:ascii="Tahoma" w:hAnsi="Tahoma" w:cs="Tahoma"/>
          <w:sz w:val="18"/>
          <w:szCs w:val="18"/>
        </w:rPr>
        <w:t>The salary limit is $195,000 for calendar year 2020. The PERS Board will increase or decrease the amount of the salary limitation on January 1 of each year, to reflect any percentage changes in the Consumer Price Index</w:t>
      </w:r>
      <w:r w:rsidR="009273EB">
        <w:rPr>
          <w:rFonts w:ascii="Tahoma" w:hAnsi="Tahoma" w:cs="Tahoma"/>
          <w:sz w:val="18"/>
          <w:szCs w:val="18"/>
        </w:rPr>
        <w:t>.</w:t>
      </w:r>
    </w:p>
    <w:p w:rsidR="0028469E" w:rsidRPr="00BE061F" w:rsidRDefault="009273EB" w:rsidP="00380F9B">
      <w:pPr>
        <w:widowControl w:val="0"/>
        <w:tabs>
          <w:tab w:val="left" w:pos="720"/>
        </w:tabs>
        <w:rPr>
          <w:rFonts w:ascii="Tahoma" w:hAnsi="Tahoma" w:cs="Tahoma"/>
          <w:b/>
          <w:color w:val="FF0000"/>
          <w:sz w:val="18"/>
          <w:szCs w:val="18"/>
        </w:rPr>
      </w:pPr>
      <w:r w:rsidRPr="00BE061F">
        <w:rPr>
          <w:rFonts w:ascii="Tahoma" w:hAnsi="Tahoma" w:cs="Tahoma"/>
          <w:b/>
          <w:sz w:val="18"/>
          <w:szCs w:val="18"/>
        </w:rPr>
        <w:t>Partial Year Salary Limit Proration:</w:t>
      </w:r>
    </w:p>
    <w:p w:rsidR="0028469E" w:rsidRPr="005F35CD" w:rsidRDefault="0028469E" w:rsidP="00380F9B">
      <w:pPr>
        <w:widowControl w:val="0"/>
        <w:tabs>
          <w:tab w:val="left" w:pos="720"/>
        </w:tabs>
        <w:rPr>
          <w:rFonts w:ascii="Tahoma" w:hAnsi="Tahoma" w:cs="Tahoma"/>
          <w:color w:val="FF0000"/>
          <w:sz w:val="18"/>
          <w:szCs w:val="18"/>
        </w:rPr>
      </w:pPr>
      <w:r w:rsidRPr="005F35CD">
        <w:rPr>
          <w:rFonts w:ascii="Tahoma" w:hAnsi="Tahoma" w:cs="Tahoma"/>
          <w:sz w:val="18"/>
          <w:szCs w:val="18"/>
        </w:rPr>
        <w:t xml:space="preserve">If any calendar year over which salary is determined has </w:t>
      </w:r>
      <w:r w:rsidRPr="00380F9B">
        <w:rPr>
          <w:rFonts w:ascii="Tahoma" w:hAnsi="Tahoma" w:cs="Tahoma"/>
          <w:sz w:val="18"/>
          <w:szCs w:val="18"/>
          <w:u w:val="single"/>
        </w:rPr>
        <w:t>less than 12 mont</w:t>
      </w:r>
      <w:r w:rsidR="00380F9B" w:rsidRPr="00380F9B">
        <w:rPr>
          <w:rFonts w:ascii="Tahoma" w:hAnsi="Tahoma" w:cs="Tahoma"/>
          <w:sz w:val="18"/>
          <w:szCs w:val="18"/>
          <w:u w:val="single"/>
        </w:rPr>
        <w:t>hs</w:t>
      </w:r>
      <w:r w:rsidR="00380F9B">
        <w:rPr>
          <w:rFonts w:ascii="Tahoma" w:hAnsi="Tahoma" w:cs="Tahoma"/>
          <w:sz w:val="18"/>
          <w:szCs w:val="18"/>
        </w:rPr>
        <w:t xml:space="preserve"> of active membership</w:t>
      </w:r>
      <w:r w:rsidRPr="005F35CD">
        <w:rPr>
          <w:rFonts w:ascii="Tahoma" w:hAnsi="Tahoma" w:cs="Tahoma"/>
          <w:sz w:val="18"/>
          <w:szCs w:val="18"/>
        </w:rPr>
        <w:t xml:space="preserve">, the SB 1049 salary limit for that “determination period” shall be multiplied by a fraction, the denominator of which is always 12, the numerator of which is the number of months of active membership in a single calendar year. </w:t>
      </w:r>
      <w:r w:rsidR="007744C8" w:rsidRPr="005F35CD">
        <w:rPr>
          <w:rFonts w:ascii="Tahoma" w:hAnsi="Tahoma" w:cs="Tahoma"/>
          <w:sz w:val="18"/>
          <w:szCs w:val="18"/>
        </w:rPr>
        <w:t>Do not prorate any partial months. Any month that has active membership is counted as a month in the numerator.</w:t>
      </w:r>
    </w:p>
    <w:p w:rsidR="0028469E" w:rsidRDefault="0028469E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 w:rsidRPr="005F35CD">
        <w:rPr>
          <w:rFonts w:ascii="Tahoma" w:hAnsi="Tahoma" w:cs="Tahoma"/>
          <w:sz w:val="18"/>
          <w:szCs w:val="18"/>
        </w:rPr>
        <w:t>If a member terminates employment in December of a calendar year but receives a final paycheck in January of the following calendar year, for the purpose of determining FAS and IAP contributions</w:t>
      </w:r>
      <w:r w:rsidR="009273EB">
        <w:rPr>
          <w:rFonts w:ascii="Tahoma" w:hAnsi="Tahoma" w:cs="Tahoma"/>
          <w:sz w:val="18"/>
          <w:szCs w:val="18"/>
        </w:rPr>
        <w:t>, the salary paid in January will</w:t>
      </w:r>
      <w:r w:rsidRPr="005F35CD">
        <w:rPr>
          <w:rFonts w:ascii="Tahoma" w:hAnsi="Tahoma" w:cs="Tahoma"/>
          <w:sz w:val="18"/>
          <w:szCs w:val="18"/>
        </w:rPr>
        <w:t xml:space="preserve"> be included in calculating the salary limit for the calen</w:t>
      </w:r>
      <w:r w:rsidR="00380F9B">
        <w:rPr>
          <w:rFonts w:ascii="Tahoma" w:hAnsi="Tahoma" w:cs="Tahoma"/>
          <w:sz w:val="18"/>
          <w:szCs w:val="18"/>
        </w:rPr>
        <w:t>dar year of termination</w:t>
      </w:r>
      <w:r w:rsidRPr="005F35CD">
        <w:rPr>
          <w:rFonts w:ascii="Tahoma" w:hAnsi="Tahoma" w:cs="Tahoma"/>
          <w:sz w:val="18"/>
          <w:szCs w:val="18"/>
        </w:rPr>
        <w:t>.</w:t>
      </w:r>
    </w:p>
    <w:p w:rsidR="003A45C9" w:rsidRDefault="003A45C9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</w:p>
    <w:p w:rsidR="009273EB" w:rsidRPr="00E30460" w:rsidRDefault="009273EB" w:rsidP="00380F9B">
      <w:pPr>
        <w:widowControl w:val="0"/>
        <w:tabs>
          <w:tab w:val="left" w:pos="1080"/>
        </w:tabs>
        <w:rPr>
          <w:rFonts w:ascii="Tahoma" w:hAnsi="Tahoma" w:cs="Tahoma"/>
          <w:b/>
          <w:sz w:val="18"/>
          <w:szCs w:val="18"/>
        </w:rPr>
      </w:pPr>
      <w:r w:rsidRPr="00E30460">
        <w:rPr>
          <w:rFonts w:ascii="Tahoma" w:hAnsi="Tahoma" w:cs="Tahoma"/>
          <w:b/>
          <w:sz w:val="18"/>
          <w:szCs w:val="18"/>
        </w:rPr>
        <w:t>Example 1:</w:t>
      </w:r>
      <w:r w:rsidR="0073137C">
        <w:rPr>
          <w:rFonts w:ascii="Tahoma" w:hAnsi="Tahoma" w:cs="Tahoma"/>
          <w:b/>
          <w:sz w:val="18"/>
          <w:szCs w:val="18"/>
        </w:rPr>
        <w:t xml:space="preserve"> Full Year</w:t>
      </w:r>
    </w:p>
    <w:p w:rsidR="00C450B3" w:rsidRDefault="00E30460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 existing m</w:t>
      </w:r>
      <w:r w:rsidR="00C450B3">
        <w:rPr>
          <w:rFonts w:ascii="Tahoma" w:hAnsi="Tahoma" w:cs="Tahoma"/>
          <w:sz w:val="18"/>
          <w:szCs w:val="18"/>
        </w:rPr>
        <w:t>ember is employed 09/01/2019 in an active position. Member terminates 12/10/2020. Because the member is employed part of December</w:t>
      </w:r>
      <w:r w:rsidR="00BE061F">
        <w:rPr>
          <w:rFonts w:ascii="Tahoma" w:hAnsi="Tahoma" w:cs="Tahoma"/>
          <w:sz w:val="18"/>
          <w:szCs w:val="18"/>
        </w:rPr>
        <w:t>, the</w:t>
      </w:r>
      <w:r w:rsidR="00C450B3">
        <w:rPr>
          <w:rFonts w:ascii="Tahoma" w:hAnsi="Tahoma" w:cs="Tahoma"/>
          <w:sz w:val="18"/>
          <w:szCs w:val="18"/>
        </w:rPr>
        <w:t xml:space="preserve"> month is </w:t>
      </w:r>
      <w:r>
        <w:rPr>
          <w:rFonts w:ascii="Tahoma" w:hAnsi="Tahoma" w:cs="Tahoma"/>
          <w:sz w:val="18"/>
          <w:szCs w:val="18"/>
        </w:rPr>
        <w:t>included</w:t>
      </w:r>
      <w:r w:rsidR="00C450B3">
        <w:rPr>
          <w:rFonts w:ascii="Tahoma" w:hAnsi="Tahoma" w:cs="Tahoma"/>
          <w:sz w:val="18"/>
          <w:szCs w:val="18"/>
        </w:rPr>
        <w:t xml:space="preserve"> as month of active membership. </w:t>
      </w:r>
    </w:p>
    <w:p w:rsidR="009273EB" w:rsidRDefault="00C450B3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member is employed in an active position for 12 months and will </w:t>
      </w:r>
      <w:r w:rsidR="00E30460">
        <w:rPr>
          <w:rFonts w:ascii="Tahoma" w:hAnsi="Tahoma" w:cs="Tahoma"/>
          <w:sz w:val="18"/>
          <w:szCs w:val="18"/>
        </w:rPr>
        <w:t>be subject to the annual</w:t>
      </w:r>
      <w:r>
        <w:rPr>
          <w:rFonts w:ascii="Tahoma" w:hAnsi="Tahoma" w:cs="Tahoma"/>
          <w:sz w:val="18"/>
          <w:szCs w:val="18"/>
        </w:rPr>
        <w:t xml:space="preserve"> salary limitation. The </w:t>
      </w:r>
      <w:r w:rsidR="00BE061F">
        <w:rPr>
          <w:rFonts w:ascii="Tahoma" w:hAnsi="Tahoma" w:cs="Tahoma"/>
          <w:sz w:val="18"/>
          <w:szCs w:val="18"/>
        </w:rPr>
        <w:t>prorated</w:t>
      </w:r>
      <w:r>
        <w:rPr>
          <w:rFonts w:ascii="Tahoma" w:hAnsi="Tahoma" w:cs="Tahoma"/>
          <w:sz w:val="18"/>
          <w:szCs w:val="18"/>
        </w:rPr>
        <w:t xml:space="preserve"> limit will not apply.</w:t>
      </w:r>
    </w:p>
    <w:p w:rsidR="0073137C" w:rsidRDefault="0073137C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</w:p>
    <w:p w:rsidR="0073137C" w:rsidRDefault="0073137C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 w:rsidRPr="00E30460">
        <w:rPr>
          <w:rFonts w:ascii="Tahoma" w:hAnsi="Tahoma" w:cs="Tahoma"/>
          <w:b/>
          <w:sz w:val="18"/>
          <w:szCs w:val="18"/>
        </w:rPr>
        <w:t>Example 2:</w:t>
      </w:r>
      <w:r w:rsidR="00BE061F">
        <w:rPr>
          <w:rFonts w:ascii="Tahoma" w:hAnsi="Tahoma" w:cs="Tahoma"/>
          <w:b/>
          <w:sz w:val="18"/>
          <w:szCs w:val="18"/>
        </w:rPr>
        <w:t xml:space="preserve"> Less than 12 months of active employment</w:t>
      </w:r>
    </w:p>
    <w:p w:rsidR="0073137C" w:rsidRDefault="00A87FC0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 existing member is hired with an employer on 02/29/2020 in a qualifying position and subsequently terminates employment on 08/03/2020. The member has seven months of active membership during the 2020 calendar year.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1936"/>
      </w:tblGrid>
      <w:tr w:rsidR="00A87FC0" w:rsidTr="002278A9">
        <w:trPr>
          <w:trHeight w:val="12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Seven months of active membership in 2020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7 months</w:t>
            </w:r>
          </w:p>
        </w:tc>
      </w:tr>
      <w:tr w:rsidR="00A87FC0" w:rsidTr="002278A9">
        <w:trPr>
          <w:trHeight w:val="1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Divided by 12 months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  <w:u w:val="single"/>
              </w:rPr>
            </w:pPr>
            <w:r>
              <w:rPr>
                <w:rFonts w:ascii="Tahoma" w:hAnsi="Tahoma"/>
                <w:color w:val="000000"/>
                <w:sz w:val="18"/>
                <w:szCs w:val="24"/>
                <w:u w:val="single"/>
              </w:rPr>
              <w:t>÷ 12 months</w:t>
            </w:r>
          </w:p>
        </w:tc>
      </w:tr>
      <w:tr w:rsidR="00A87FC0" w:rsidTr="002278A9">
        <w:trPr>
          <w:trHeight w:val="13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Proration factor for salary limitation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.583333</w:t>
            </w:r>
          </w:p>
        </w:tc>
      </w:tr>
      <w:tr w:rsidR="00A87FC0" w:rsidTr="002278A9">
        <w:trPr>
          <w:trHeight w:val="16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2020 Annual Salary Limitation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 xml:space="preserve">   x     $195,000</w:t>
            </w:r>
          </w:p>
        </w:tc>
      </w:tr>
      <w:tr w:rsidR="00A87FC0" w:rsidTr="002278A9">
        <w:trPr>
          <w:trHeight w:val="12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t>Prorated salary limitation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$      113,749.94</w:t>
            </w:r>
          </w:p>
        </w:tc>
      </w:tr>
      <w:tr w:rsidR="00A87FC0" w:rsidTr="002278A9">
        <w:trPr>
          <w:trHeight w:val="13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</w:tr>
      <w:tr w:rsidR="00A87FC0" w:rsidTr="002278A9">
        <w:trPr>
          <w:trHeight w:val="39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lastRenderedPageBreak/>
              <w:t xml:space="preserve">$113,749.94 for 2020 will be the salary limit used for employee and employer contributions and FAS for this </w:t>
            </w:r>
          </w:p>
          <w:p w:rsidR="00A87FC0" w:rsidRDefault="00A87FC0" w:rsidP="002278A9">
            <w:pPr>
              <w:widowControl w:val="0"/>
              <w:ind w:left="345"/>
              <w:rPr>
                <w:rFonts w:ascii="Tahoma" w:hAnsi="Tahoma"/>
                <w:sz w:val="18"/>
                <w:szCs w:val="24"/>
              </w:rPr>
            </w:pPr>
            <w:proofErr w:type="gramStart"/>
            <w:r>
              <w:rPr>
                <w:rFonts w:ascii="Tahoma" w:hAnsi="Tahoma"/>
                <w:sz w:val="18"/>
                <w:szCs w:val="24"/>
              </w:rPr>
              <w:t>member</w:t>
            </w:r>
            <w:proofErr w:type="gramEnd"/>
            <w:r>
              <w:rPr>
                <w:rFonts w:ascii="Tahoma" w:hAnsi="Tahoma"/>
                <w:sz w:val="18"/>
                <w:szCs w:val="24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FC0" w:rsidRDefault="00A87FC0" w:rsidP="002278A9">
            <w:pPr>
              <w:widowControl w:val="0"/>
              <w:jc w:val="right"/>
              <w:rPr>
                <w:rFonts w:ascii="Tahoma" w:hAnsi="Tahoma"/>
                <w:sz w:val="18"/>
                <w:szCs w:val="24"/>
              </w:rPr>
            </w:pPr>
          </w:p>
        </w:tc>
      </w:tr>
    </w:tbl>
    <w:p w:rsidR="00A87FC0" w:rsidRDefault="00A87FC0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</w:p>
    <w:p w:rsidR="003A45C9" w:rsidRDefault="003A45C9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</w:p>
    <w:p w:rsidR="00C450B3" w:rsidRPr="00E30460" w:rsidRDefault="0073137C" w:rsidP="00380F9B">
      <w:pPr>
        <w:widowControl w:val="0"/>
        <w:tabs>
          <w:tab w:val="left" w:pos="108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Example 3</w:t>
      </w:r>
      <w:r w:rsidR="00C450B3" w:rsidRPr="00E30460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>Contribution Start Date</w:t>
      </w:r>
    </w:p>
    <w:p w:rsidR="00C450B3" w:rsidRDefault="00E30460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new member is employed 12/10/2019 in a qualifying position and continues to work all of 2020 and into the next year. The contributions start date (CSD) is 07/01/2020.</w:t>
      </w:r>
    </w:p>
    <w:p w:rsidR="00E30460" w:rsidRDefault="00E30460" w:rsidP="00380F9B">
      <w:pPr>
        <w:widowControl w:val="0"/>
        <w:tabs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member has six months of active membership for 2020 due to establishing membership on 07/01/2020.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1102"/>
        <w:gridCol w:w="408"/>
        <w:gridCol w:w="260"/>
      </w:tblGrid>
      <w:tr w:rsidR="00E30460" w:rsidTr="006D2EFF">
        <w:trPr>
          <w:trHeight w:val="11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 xml:space="preserve">Six months of </w:t>
            </w:r>
            <w:r>
              <w:rPr>
                <w:rFonts w:ascii="Tahoma" w:hAnsi="Tahoma"/>
                <w:sz w:val="18"/>
                <w:szCs w:val="24"/>
              </w:rPr>
              <w:t>active membership</w:t>
            </w:r>
            <w:r>
              <w:rPr>
                <w:rFonts w:ascii="Tahoma" w:hAnsi="Tahoma"/>
                <w:color w:val="000000"/>
                <w:sz w:val="18"/>
                <w:szCs w:val="24"/>
              </w:rPr>
              <w:t xml:space="preserve"> in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6 months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Arial" w:hAnsi="Arial"/>
                <w:sz w:val="18"/>
                <w:szCs w:val="24"/>
              </w:rPr>
            </w:pPr>
          </w:p>
        </w:tc>
      </w:tr>
      <w:tr w:rsidR="00E30460" w:rsidTr="006D2EFF">
        <w:trPr>
          <w:trHeight w:val="103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Divided by 12 months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  <w:u w:val="single"/>
              </w:rPr>
            </w:pPr>
            <w:r>
              <w:rPr>
                <w:rFonts w:ascii="Tahoma" w:hAnsi="Tahoma"/>
                <w:color w:val="000000"/>
                <w:sz w:val="18"/>
                <w:szCs w:val="24"/>
                <w:u w:val="single"/>
              </w:rPr>
              <w:t>÷ 12 months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Arial" w:hAnsi="Arial"/>
                <w:sz w:val="18"/>
                <w:szCs w:val="24"/>
              </w:rPr>
            </w:pPr>
          </w:p>
        </w:tc>
      </w:tr>
      <w:tr w:rsidR="00E30460" w:rsidTr="006D2EFF">
        <w:trPr>
          <w:trHeight w:val="133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Proration factor for salary limitation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Arial" w:hAnsi="Arial"/>
                <w:sz w:val="18"/>
                <w:szCs w:val="24"/>
              </w:rPr>
            </w:pPr>
          </w:p>
        </w:tc>
      </w:tr>
      <w:tr w:rsidR="00E30460" w:rsidTr="006D2EFF">
        <w:trPr>
          <w:trHeight w:val="16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2020 Annual Salary Limitation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  <w:u w:val="single"/>
              </w:rPr>
            </w:pPr>
            <w:r>
              <w:rPr>
                <w:rFonts w:ascii="Tahoma" w:hAnsi="Tahoma"/>
                <w:color w:val="000000"/>
                <w:sz w:val="18"/>
                <w:szCs w:val="24"/>
                <w:u w:val="single"/>
              </w:rPr>
              <w:t>x     $195,000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Arial" w:hAnsi="Arial"/>
                <w:sz w:val="18"/>
                <w:szCs w:val="24"/>
              </w:rPr>
            </w:pPr>
          </w:p>
        </w:tc>
      </w:tr>
      <w:tr w:rsidR="00E30460" w:rsidTr="006D2EFF">
        <w:trPr>
          <w:trHeight w:val="11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t>Prorated salary limitation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$      97,500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 </w:t>
            </w:r>
          </w:p>
        </w:tc>
      </w:tr>
      <w:tr w:rsidR="00E30460" w:rsidTr="006D2EFF">
        <w:trPr>
          <w:trHeight w:val="133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Arial" w:hAnsi="Arial"/>
                <w:sz w:val="18"/>
                <w:szCs w:val="24"/>
              </w:rPr>
            </w:pPr>
          </w:p>
        </w:tc>
      </w:tr>
      <w:tr w:rsidR="00E30460" w:rsidTr="006D2EFF">
        <w:trPr>
          <w:gridAfter w:val="1"/>
          <w:wAfter w:w="260" w:type="dxa"/>
          <w:trHeight w:val="765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t>$97,500 for 2020 will be the salary limit used for employee and employer contributions and FAS for this member.</w:t>
            </w:r>
          </w:p>
          <w:p w:rsidR="00BE061F" w:rsidRDefault="00BE061F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</w:p>
          <w:p w:rsidR="00BE061F" w:rsidRDefault="00BE061F" w:rsidP="00BE061F">
            <w:pPr>
              <w:widowControl w:val="0"/>
              <w:rPr>
                <w:rFonts w:ascii="Tahoma" w:hAnsi="Tahoma"/>
                <w:sz w:val="18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sz w:val="18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0460" w:rsidRDefault="00E3046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</w:tr>
    </w:tbl>
    <w:p w:rsidR="004C5D00" w:rsidRPr="00AC73A1" w:rsidRDefault="00BE061F" w:rsidP="00BE061F">
      <w:pPr>
        <w:widowControl w:val="0"/>
        <w:rPr>
          <w:rFonts w:ascii="Tahoma" w:hAnsi="Tahoma"/>
          <w:b/>
          <w:sz w:val="18"/>
          <w:szCs w:val="24"/>
        </w:rPr>
      </w:pPr>
      <w:r w:rsidRPr="00AC73A1">
        <w:rPr>
          <w:rFonts w:ascii="Tahoma" w:hAnsi="Tahoma"/>
          <w:b/>
          <w:sz w:val="18"/>
          <w:szCs w:val="24"/>
        </w:rPr>
        <w:t xml:space="preserve">Example 4:  </w:t>
      </w:r>
      <w:r w:rsidR="004C5D00" w:rsidRPr="00AC73A1">
        <w:rPr>
          <w:rFonts w:ascii="Tahoma" w:hAnsi="Tahoma"/>
          <w:b/>
          <w:sz w:val="18"/>
          <w:szCs w:val="24"/>
        </w:rPr>
        <w:t>Partial year and December termination</w:t>
      </w:r>
    </w:p>
    <w:p w:rsidR="0028469E" w:rsidRDefault="00BE061F" w:rsidP="00BE061F">
      <w:pPr>
        <w:widowControl w:val="0"/>
        <w:rPr>
          <w:rFonts w:ascii="Tahoma" w:hAnsi="Tahoma"/>
          <w:sz w:val="18"/>
          <w:szCs w:val="24"/>
        </w:rPr>
      </w:pPr>
      <w:r>
        <w:rPr>
          <w:rFonts w:ascii="Tahoma" w:hAnsi="Tahoma"/>
          <w:sz w:val="18"/>
          <w:szCs w:val="24"/>
        </w:rPr>
        <w:t>An existing member is employed with and employer in a qualifying position</w:t>
      </w:r>
      <w:r w:rsidR="004C5D00">
        <w:rPr>
          <w:rFonts w:ascii="Tahoma" w:hAnsi="Tahoma"/>
          <w:sz w:val="18"/>
          <w:szCs w:val="24"/>
        </w:rPr>
        <w:t xml:space="preserve"> from 08/25/2020 and subsequently terminates employment o 12/15/2020. The member rece</w:t>
      </w:r>
      <w:r w:rsidR="001A58C8">
        <w:rPr>
          <w:rFonts w:ascii="Tahoma" w:hAnsi="Tahoma"/>
          <w:sz w:val="18"/>
          <w:szCs w:val="24"/>
        </w:rPr>
        <w:t>ives their final pay check on 01/</w:t>
      </w:r>
      <w:r w:rsidR="004C5D00">
        <w:rPr>
          <w:rFonts w:ascii="Tahoma" w:hAnsi="Tahoma"/>
          <w:sz w:val="18"/>
          <w:szCs w:val="24"/>
        </w:rPr>
        <w:t>15/2021. The member has five months of active membership.</w:t>
      </w:r>
      <w:bookmarkStart w:id="0" w:name="_GoBack"/>
      <w:bookmarkEnd w:id="0"/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1350"/>
      </w:tblGrid>
      <w:tr w:rsidR="004C5D00" w:rsidTr="002278A9">
        <w:trPr>
          <w:trHeight w:val="120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 xml:space="preserve">Five months of </w:t>
            </w:r>
            <w:r>
              <w:rPr>
                <w:rFonts w:ascii="Tahoma" w:hAnsi="Tahoma"/>
                <w:sz w:val="18"/>
                <w:szCs w:val="24"/>
              </w:rPr>
              <w:t>active membership</w:t>
            </w:r>
            <w:r>
              <w:rPr>
                <w:rFonts w:ascii="Tahoma" w:hAnsi="Tahoma"/>
                <w:color w:val="000000"/>
                <w:sz w:val="18"/>
                <w:szCs w:val="24"/>
              </w:rPr>
              <w:t xml:space="preserve"> in 2020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5 months</w:t>
            </w:r>
          </w:p>
        </w:tc>
      </w:tr>
      <w:tr w:rsidR="004C5D00" w:rsidTr="002278A9">
        <w:trPr>
          <w:trHeight w:val="105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Divided by 12 months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  <w:u w:val="single"/>
              </w:rPr>
            </w:pPr>
            <w:r>
              <w:rPr>
                <w:rFonts w:ascii="Tahoma" w:hAnsi="Tahoma"/>
                <w:color w:val="000000"/>
                <w:sz w:val="18"/>
                <w:szCs w:val="24"/>
                <w:u w:val="single"/>
              </w:rPr>
              <w:t>÷ 12 months</w:t>
            </w:r>
          </w:p>
        </w:tc>
      </w:tr>
      <w:tr w:rsidR="004C5D00" w:rsidTr="002278A9">
        <w:trPr>
          <w:trHeight w:val="135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Proration factor for salary limitation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0.416667</w:t>
            </w:r>
          </w:p>
        </w:tc>
      </w:tr>
      <w:tr w:rsidR="004C5D00" w:rsidTr="002278A9">
        <w:trPr>
          <w:trHeight w:val="165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2020 Annual Salary Limitation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  <w:u w:val="single"/>
              </w:rPr>
            </w:pPr>
            <w:r>
              <w:rPr>
                <w:rFonts w:ascii="Tahoma" w:hAnsi="Tahoma"/>
                <w:color w:val="000000"/>
                <w:sz w:val="18"/>
                <w:szCs w:val="24"/>
                <w:u w:val="single"/>
              </w:rPr>
              <w:t>x     $195,000</w:t>
            </w:r>
          </w:p>
        </w:tc>
      </w:tr>
      <w:tr w:rsidR="004C5D00" w:rsidTr="002278A9">
        <w:trPr>
          <w:trHeight w:val="120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t>Prorated salary limitation for 2020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  <w:r>
              <w:rPr>
                <w:rFonts w:ascii="Tahoma" w:hAnsi="Tahoma"/>
                <w:color w:val="000000"/>
                <w:sz w:val="18"/>
                <w:szCs w:val="24"/>
              </w:rPr>
              <w:t>$      81,250.07</w:t>
            </w:r>
          </w:p>
        </w:tc>
      </w:tr>
      <w:tr w:rsidR="004C5D00" w:rsidTr="002278A9">
        <w:trPr>
          <w:trHeight w:val="120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</w:p>
          <w:p w:rsidR="004C5D00" w:rsidRDefault="004C5D00" w:rsidP="002278A9">
            <w:pPr>
              <w:widowControl w:val="0"/>
              <w:rPr>
                <w:rFonts w:ascii="Tahoma" w:hAnsi="Tahoma"/>
                <w:sz w:val="18"/>
                <w:szCs w:val="24"/>
              </w:rPr>
            </w:pPr>
            <w:r>
              <w:rPr>
                <w:rFonts w:ascii="Tahoma" w:hAnsi="Tahoma"/>
                <w:sz w:val="18"/>
                <w:szCs w:val="24"/>
              </w:rPr>
              <w:t>The salary paid on 01/15/2021 will be included with the member’s 2020 salary for calculating FAS and is subject to the 2020 annual salary limit.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5D00" w:rsidRDefault="004C5D00" w:rsidP="002278A9">
            <w:pPr>
              <w:widowControl w:val="0"/>
              <w:jc w:val="right"/>
              <w:rPr>
                <w:rFonts w:ascii="Tahoma" w:hAnsi="Tahoma"/>
                <w:color w:val="000000"/>
                <w:sz w:val="18"/>
                <w:szCs w:val="24"/>
              </w:rPr>
            </w:pPr>
          </w:p>
        </w:tc>
      </w:tr>
    </w:tbl>
    <w:p w:rsidR="004C5D00" w:rsidRDefault="004C5D00" w:rsidP="004C5D00">
      <w:pPr>
        <w:widowControl w:val="0"/>
        <w:rPr>
          <w:rFonts w:ascii="Tahoma" w:hAnsi="Tahoma"/>
          <w:sz w:val="18"/>
          <w:szCs w:val="24"/>
        </w:rPr>
      </w:pPr>
      <w:r>
        <w:rPr>
          <w:rFonts w:ascii="Tahoma" w:hAnsi="Tahoma"/>
          <w:sz w:val="18"/>
          <w:szCs w:val="24"/>
        </w:rPr>
        <w:t>The salary paid on 01/15/2021 will be included with the member's 2020 salary for the IAP contribution calculation and is subject to the 2020 annual salary limit.</w:t>
      </w:r>
    </w:p>
    <w:p w:rsidR="004C5D00" w:rsidRDefault="004C5D00" w:rsidP="00BE061F">
      <w:pPr>
        <w:widowControl w:val="0"/>
        <w:rPr>
          <w:rFonts w:ascii="Tahoma" w:hAnsi="Tahoma"/>
          <w:sz w:val="18"/>
          <w:szCs w:val="24"/>
        </w:rPr>
      </w:pPr>
    </w:p>
    <w:p w:rsidR="004C5D00" w:rsidRDefault="004C5D00" w:rsidP="00BE061F">
      <w:pPr>
        <w:widowControl w:val="0"/>
        <w:rPr>
          <w:rFonts w:ascii="Tahoma" w:hAnsi="Tahoma"/>
          <w:sz w:val="18"/>
          <w:szCs w:val="24"/>
        </w:rPr>
      </w:pPr>
    </w:p>
    <w:p w:rsidR="004C5D00" w:rsidRPr="005F35CD" w:rsidRDefault="004C5D00" w:rsidP="00BE061F">
      <w:pPr>
        <w:widowControl w:val="0"/>
        <w:rPr>
          <w:rFonts w:ascii="Tahoma" w:hAnsi="Tahoma" w:cs="Tahoma"/>
          <w:color w:val="FF0000"/>
          <w:sz w:val="18"/>
          <w:szCs w:val="18"/>
        </w:rPr>
      </w:pPr>
    </w:p>
    <w:p w:rsidR="00174C11" w:rsidRDefault="00174C11" w:rsidP="0028469E"/>
    <w:sectPr w:rsidR="0017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1"/>
    <w:rsid w:val="00172522"/>
    <w:rsid w:val="00174C11"/>
    <w:rsid w:val="001A58C8"/>
    <w:rsid w:val="0028469E"/>
    <w:rsid w:val="00380F9B"/>
    <w:rsid w:val="003A45C9"/>
    <w:rsid w:val="004C5D00"/>
    <w:rsid w:val="006D2EFF"/>
    <w:rsid w:val="0073137C"/>
    <w:rsid w:val="007744C8"/>
    <w:rsid w:val="009273EB"/>
    <w:rsid w:val="00A87FC0"/>
    <w:rsid w:val="00AC73A1"/>
    <w:rsid w:val="00BE061F"/>
    <w:rsid w:val="00C07F77"/>
    <w:rsid w:val="00C450B3"/>
    <w:rsid w:val="00E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AE4E"/>
  <w15:chartTrackingRefBased/>
  <w15:docId w15:val="{CB57E068-5522-463E-B1F8-0985EDE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PERS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Scholes</dc:creator>
  <cp:keywords/>
  <dc:description/>
  <cp:lastModifiedBy>Paul Scholes</cp:lastModifiedBy>
  <cp:revision>4</cp:revision>
  <dcterms:created xsi:type="dcterms:W3CDTF">2020-01-23T23:50:00Z</dcterms:created>
  <dcterms:modified xsi:type="dcterms:W3CDTF">2020-01-24T19:21:00Z</dcterms:modified>
</cp:coreProperties>
</file>