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0F" w:rsidRDefault="00470785" w:rsidP="00B3260F">
      <w:pPr>
        <w:shd w:val="clear" w:color="auto" w:fill="FFFFFF"/>
        <w:spacing w:after="0" w:line="240" w:lineRule="auto"/>
        <w:rPr>
          <w:rFonts w:ascii="Times" w:eastAsia="Times New Roman" w:hAnsi="Times" w:cs="Times"/>
          <w:b/>
          <w:bCs/>
          <w:caps/>
          <w:color w:val="333333"/>
          <w:sz w:val="32"/>
          <w:szCs w:val="32"/>
        </w:rPr>
      </w:pPr>
      <w:bookmarkStart w:id="0" w:name="_GoBack"/>
      <w:bookmarkEnd w:id="0"/>
      <w:r>
        <w:rPr>
          <w:rFonts w:eastAsia="Times New Roman" w:cs="Times"/>
          <w:b/>
          <w:bCs/>
          <w:caps/>
          <w:color w:val="333333"/>
          <w:sz w:val="28"/>
          <w:szCs w:val="28"/>
        </w:rPr>
        <w:t>T</w:t>
      </w:r>
      <w:r w:rsidR="00B3260F">
        <w:rPr>
          <w:rFonts w:eastAsia="Times New Roman" w:cs="Times"/>
          <w:b/>
          <w:bCs/>
          <w:caps/>
          <w:color w:val="333333"/>
          <w:sz w:val="28"/>
          <w:szCs w:val="28"/>
        </w:rPr>
        <w:t xml:space="preserve">ext from </w:t>
      </w:r>
      <w:hyperlink r:id="rId7" w:history="1">
        <w:r w:rsidR="00B3260F">
          <w:rPr>
            <w:rStyle w:val="Hyperlink"/>
          </w:rPr>
          <w:t>https://www.congress.gov/bill/116th-congress/house-bill/6074/text</w:t>
        </w:r>
      </w:hyperlink>
      <w:r w:rsidR="00B3260F">
        <w:t xml:space="preserve">  relating to telehealth</w:t>
      </w:r>
    </w:p>
    <w:p w:rsidR="00B3260F" w:rsidRDefault="00B3260F" w:rsidP="00B54AAE">
      <w:pPr>
        <w:shd w:val="clear" w:color="auto" w:fill="FFFFFF"/>
        <w:spacing w:after="0" w:line="240" w:lineRule="auto"/>
        <w:jc w:val="center"/>
        <w:rPr>
          <w:rFonts w:ascii="Times" w:eastAsia="Times New Roman" w:hAnsi="Times" w:cs="Times"/>
          <w:b/>
          <w:bCs/>
          <w:caps/>
          <w:color w:val="333333"/>
          <w:sz w:val="32"/>
          <w:szCs w:val="32"/>
        </w:rPr>
      </w:pPr>
    </w:p>
    <w:p w:rsidR="00B54AAE" w:rsidRPr="00B54AAE" w:rsidRDefault="00B54AAE" w:rsidP="00B54AAE">
      <w:pPr>
        <w:shd w:val="clear" w:color="auto" w:fill="FFFFFF"/>
        <w:spacing w:after="0" w:line="240" w:lineRule="auto"/>
        <w:jc w:val="center"/>
        <w:rPr>
          <w:rFonts w:ascii="Times" w:eastAsia="Times New Roman" w:hAnsi="Times" w:cs="Times"/>
          <w:color w:val="333333"/>
          <w:sz w:val="24"/>
          <w:szCs w:val="24"/>
        </w:rPr>
      </w:pPr>
      <w:r w:rsidRPr="00B54AAE">
        <w:rPr>
          <w:rFonts w:ascii="Times" w:eastAsia="Times New Roman" w:hAnsi="Times" w:cs="Times"/>
          <w:b/>
          <w:bCs/>
          <w:caps/>
          <w:color w:val="333333"/>
          <w:sz w:val="32"/>
          <w:szCs w:val="32"/>
        </w:rPr>
        <w:t>DIVISION B—TELEHEALTH SERVICES DURING CERTAIN EMERGENCY PERIODS</w:t>
      </w:r>
    </w:p>
    <w:p w:rsidR="00B54AAE" w:rsidRPr="00B54AAE" w:rsidRDefault="00B54AAE" w:rsidP="00B54AAE">
      <w:pPr>
        <w:shd w:val="clear" w:color="auto" w:fill="FFFFFF"/>
        <w:spacing w:before="100" w:beforeAutospacing="1" w:after="100" w:afterAutospacing="1" w:line="240" w:lineRule="auto"/>
        <w:ind w:left="720"/>
        <w:jc w:val="center"/>
        <w:rPr>
          <w:rFonts w:ascii="Times" w:eastAsia="Times New Roman" w:hAnsi="Times" w:cs="Times"/>
          <w:color w:val="333333"/>
          <w:sz w:val="24"/>
          <w:szCs w:val="24"/>
        </w:rPr>
      </w:pPr>
      <w:r w:rsidRPr="00B54AAE">
        <w:rPr>
          <w:rFonts w:ascii="Times" w:eastAsia="Times New Roman" w:hAnsi="Times" w:cs="Times"/>
          <w:color w:val="333333"/>
          <w:sz w:val="24"/>
          <w:szCs w:val="24"/>
        </w:rPr>
        <w:t>SHORT TITLE</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proofErr w:type="gramStart"/>
      <w:r w:rsidRPr="00B54AAE">
        <w:rPr>
          <w:rFonts w:ascii="Times" w:eastAsia="Times New Roman" w:hAnsi="Times" w:cs="Times"/>
          <w:smallCaps/>
          <w:color w:val="333333"/>
          <w:spacing w:val="20"/>
          <w:sz w:val="28"/>
          <w:szCs w:val="28"/>
        </w:rPr>
        <w:t>Sec. 101.</w:t>
      </w:r>
      <w:proofErr w:type="gramEnd"/>
    </w:p>
    <w:p w:rsidR="00B54AAE" w:rsidRPr="00B54AAE" w:rsidRDefault="00B54AAE" w:rsidP="00B54AAE">
      <w:pPr>
        <w:shd w:val="clear" w:color="auto" w:fill="FFFFFF"/>
        <w:spacing w:before="100" w:beforeAutospacing="1" w:after="100" w:afterAutospacing="1" w:line="240" w:lineRule="auto"/>
        <w:rPr>
          <w:rFonts w:ascii="Times" w:eastAsia="Times New Roman" w:hAnsi="Times" w:cs="Times"/>
          <w:color w:val="333333"/>
          <w:sz w:val="24"/>
          <w:szCs w:val="24"/>
        </w:rPr>
      </w:pPr>
      <w:r w:rsidRPr="00B54AAE">
        <w:rPr>
          <w:rFonts w:ascii="Times" w:eastAsia="Times New Roman" w:hAnsi="Times" w:cs="Times"/>
          <w:color w:val="333333"/>
          <w:sz w:val="24"/>
          <w:szCs w:val="24"/>
        </w:rPr>
        <w:t xml:space="preserve">This division may be cited as the “Telehealth Services </w:t>
      </w:r>
      <w:proofErr w:type="gramStart"/>
      <w:r w:rsidRPr="00B54AAE">
        <w:rPr>
          <w:rFonts w:ascii="Times" w:eastAsia="Times New Roman" w:hAnsi="Times" w:cs="Times"/>
          <w:color w:val="333333"/>
          <w:sz w:val="24"/>
          <w:szCs w:val="24"/>
        </w:rPr>
        <w:t>During</w:t>
      </w:r>
      <w:proofErr w:type="gramEnd"/>
      <w:r w:rsidRPr="00B54AAE">
        <w:rPr>
          <w:rFonts w:ascii="Times" w:eastAsia="Times New Roman" w:hAnsi="Times" w:cs="Times"/>
          <w:color w:val="333333"/>
          <w:sz w:val="24"/>
          <w:szCs w:val="24"/>
        </w:rPr>
        <w:t xml:space="preserve"> Certain Emergency Periods Act of 2020”.</w:t>
      </w:r>
    </w:p>
    <w:p w:rsidR="00B54AAE" w:rsidRPr="00B54AAE" w:rsidRDefault="00B54AAE" w:rsidP="00B54AAE">
      <w:pPr>
        <w:shd w:val="clear" w:color="auto" w:fill="FFFFFF"/>
        <w:spacing w:before="100" w:beforeAutospacing="1" w:after="100" w:afterAutospacing="1" w:line="240" w:lineRule="auto"/>
        <w:ind w:left="720"/>
        <w:jc w:val="center"/>
        <w:rPr>
          <w:rFonts w:ascii="Times" w:eastAsia="Times New Roman" w:hAnsi="Times" w:cs="Times"/>
          <w:color w:val="333333"/>
          <w:sz w:val="24"/>
          <w:szCs w:val="24"/>
        </w:rPr>
      </w:pPr>
      <w:r w:rsidRPr="00B54AAE">
        <w:rPr>
          <w:rFonts w:ascii="Times" w:eastAsia="Times New Roman" w:hAnsi="Times" w:cs="Times"/>
          <w:color w:val="333333"/>
          <w:sz w:val="24"/>
          <w:szCs w:val="24"/>
        </w:rPr>
        <w:t>SECRETARIAL AUTHORITY TO TEMPORARILY WAIVE OR MODIFY APPLICATION OF CERTAIN MEDICARE REQUIREMENTS WITH RESPECT TO TELEHEALTH SERVICES FURNISHED DURING CERTAIN EMERGENCY PERIODS</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proofErr w:type="gramStart"/>
      <w:r w:rsidRPr="00B54AAE">
        <w:rPr>
          <w:rFonts w:ascii="Times" w:eastAsia="Times New Roman" w:hAnsi="Times" w:cs="Times"/>
          <w:smallCaps/>
          <w:color w:val="333333"/>
          <w:spacing w:val="20"/>
          <w:sz w:val="28"/>
          <w:szCs w:val="28"/>
        </w:rPr>
        <w:t>Sec. 102.</w:t>
      </w:r>
      <w:proofErr w:type="gramEnd"/>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(a) </w:t>
      </w:r>
      <w:r w:rsidRPr="00B54AAE">
        <w:rPr>
          <w:rFonts w:ascii="Times" w:eastAsia="Times New Roman" w:hAnsi="Times" w:cs="Times"/>
          <w:smallCaps/>
          <w:color w:val="333333"/>
          <w:sz w:val="24"/>
          <w:szCs w:val="24"/>
        </w:rPr>
        <w:t>In General</w:t>
      </w:r>
      <w:r w:rsidRPr="00B54AAE">
        <w:rPr>
          <w:rFonts w:ascii="Times" w:eastAsia="Times New Roman" w:hAnsi="Times" w:cs="Times"/>
          <w:color w:val="333333"/>
          <w:sz w:val="24"/>
          <w:szCs w:val="24"/>
        </w:rPr>
        <w:t>.—</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(1) </w:t>
      </w:r>
      <w:r w:rsidRPr="00B54AAE">
        <w:rPr>
          <w:rFonts w:ascii="Times" w:eastAsia="Times New Roman" w:hAnsi="Times" w:cs="Times"/>
          <w:color w:val="333333"/>
          <w:sz w:val="26"/>
          <w:szCs w:val="26"/>
        </w:rPr>
        <w:t>W</w:t>
      </w:r>
      <w:r w:rsidRPr="00B54AAE">
        <w:rPr>
          <w:rFonts w:ascii="Times" w:eastAsia="Times New Roman" w:hAnsi="Times" w:cs="Times"/>
          <w:color w:val="333333"/>
          <w:sz w:val="24"/>
          <w:szCs w:val="24"/>
        </w:rPr>
        <w:t>AIVER AUTHORITY.—</w:t>
      </w:r>
      <w:proofErr w:type="gramStart"/>
      <w:r w:rsidRPr="00B54AAE">
        <w:rPr>
          <w:rFonts w:ascii="Times" w:eastAsia="Times New Roman" w:hAnsi="Times" w:cs="Times"/>
          <w:color w:val="333333"/>
          <w:sz w:val="24"/>
          <w:szCs w:val="24"/>
        </w:rPr>
        <w:t>The</w:t>
      </w:r>
      <w:proofErr w:type="gramEnd"/>
      <w:r w:rsidRPr="00B54AAE">
        <w:rPr>
          <w:rFonts w:ascii="Times" w:eastAsia="Times New Roman" w:hAnsi="Times" w:cs="Times"/>
          <w:color w:val="333333"/>
          <w:sz w:val="24"/>
          <w:szCs w:val="24"/>
        </w:rPr>
        <w:t xml:space="preserve"> first sentence of section 1135(b) of the Social Security Act (</w:t>
      </w:r>
      <w:hyperlink r:id="rId8" w:history="1">
        <w:r w:rsidRPr="00B54AAE">
          <w:rPr>
            <w:rFonts w:ascii="Times" w:eastAsia="Times New Roman" w:hAnsi="Times" w:cs="Times"/>
            <w:color w:val="3366CC"/>
            <w:sz w:val="24"/>
            <w:szCs w:val="24"/>
            <w:u w:val="single"/>
          </w:rPr>
          <w:t>42 U.S.C. 1320b–5(b)</w:t>
        </w:r>
      </w:hyperlink>
      <w:r w:rsidRPr="00B54AAE">
        <w:rPr>
          <w:rFonts w:ascii="Times" w:eastAsia="Times New Roman" w:hAnsi="Times" w:cs="Times"/>
          <w:color w:val="333333"/>
          <w:sz w:val="24"/>
          <w:szCs w:val="24"/>
        </w:rPr>
        <w:t>) is amended—</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 xml:space="preserve">(A) </w:t>
      </w:r>
      <w:proofErr w:type="gramStart"/>
      <w:r w:rsidRPr="00B54AAE">
        <w:rPr>
          <w:rFonts w:ascii="Times" w:eastAsia="Times New Roman" w:hAnsi="Times" w:cs="Times"/>
          <w:color w:val="333333"/>
          <w:sz w:val="24"/>
          <w:szCs w:val="24"/>
        </w:rPr>
        <w:t>in</w:t>
      </w:r>
      <w:proofErr w:type="gramEnd"/>
      <w:r w:rsidRPr="00B54AAE">
        <w:rPr>
          <w:rFonts w:ascii="Times" w:eastAsia="Times New Roman" w:hAnsi="Times" w:cs="Times"/>
          <w:color w:val="333333"/>
          <w:sz w:val="24"/>
          <w:szCs w:val="24"/>
        </w:rPr>
        <w:t xml:space="preserve"> paragraph (6), by striking “and” at the end;</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 xml:space="preserve">(B) </w:t>
      </w:r>
      <w:proofErr w:type="gramStart"/>
      <w:r w:rsidRPr="00B54AAE">
        <w:rPr>
          <w:rFonts w:ascii="Times" w:eastAsia="Times New Roman" w:hAnsi="Times" w:cs="Times"/>
          <w:color w:val="333333"/>
          <w:sz w:val="24"/>
          <w:szCs w:val="24"/>
        </w:rPr>
        <w:t>in</w:t>
      </w:r>
      <w:proofErr w:type="gramEnd"/>
      <w:r w:rsidRPr="00B54AAE">
        <w:rPr>
          <w:rFonts w:ascii="Times" w:eastAsia="Times New Roman" w:hAnsi="Times" w:cs="Times"/>
          <w:color w:val="333333"/>
          <w:sz w:val="24"/>
          <w:szCs w:val="24"/>
        </w:rPr>
        <w:t xml:space="preserve"> paragraph (7), by striking the period at the end and inserting “; and”; and</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 xml:space="preserve">(C) </w:t>
      </w:r>
      <w:proofErr w:type="gramStart"/>
      <w:r w:rsidRPr="00B54AAE">
        <w:rPr>
          <w:rFonts w:ascii="Times" w:eastAsia="Times New Roman" w:hAnsi="Times" w:cs="Times"/>
          <w:color w:val="333333"/>
          <w:sz w:val="24"/>
          <w:szCs w:val="24"/>
        </w:rPr>
        <w:t>by</w:t>
      </w:r>
      <w:proofErr w:type="gramEnd"/>
      <w:r w:rsidRPr="00B54AAE">
        <w:rPr>
          <w:rFonts w:ascii="Times" w:eastAsia="Times New Roman" w:hAnsi="Times" w:cs="Times"/>
          <w:color w:val="333333"/>
          <w:sz w:val="24"/>
          <w:szCs w:val="24"/>
        </w:rPr>
        <w:t xml:space="preserve"> inserting after paragraph (7) the following new paragraph:</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 xml:space="preserve">“(8) </w:t>
      </w:r>
      <w:proofErr w:type="gramStart"/>
      <w:r w:rsidRPr="00B54AAE">
        <w:rPr>
          <w:rFonts w:ascii="Times" w:eastAsia="Times New Roman" w:hAnsi="Times" w:cs="Times"/>
          <w:color w:val="333333"/>
          <w:sz w:val="24"/>
          <w:szCs w:val="24"/>
        </w:rPr>
        <w:t>in</w:t>
      </w:r>
      <w:proofErr w:type="gramEnd"/>
      <w:r w:rsidRPr="00B54AAE">
        <w:rPr>
          <w:rFonts w:ascii="Times" w:eastAsia="Times New Roman" w:hAnsi="Times" w:cs="Times"/>
          <w:color w:val="333333"/>
          <w:sz w:val="24"/>
          <w:szCs w:val="24"/>
        </w:rPr>
        <w:t xml:space="preserve"> the case of a telehealth service (as defined in paragraph (4)(F) of section 1834(m)) furnished in any emergency area (or portion of such an area) during any portion of any emergency period to an individual by a qualified provider (as defined in subsection (g)(3))—</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“(A) the requirements of paragraph (4)(C) of such section, except that a facility fee under paragraph (2)(B)(</w:t>
      </w:r>
      <w:proofErr w:type="spellStart"/>
      <w:r w:rsidRPr="00B54AAE">
        <w:rPr>
          <w:rFonts w:ascii="Times" w:eastAsia="Times New Roman" w:hAnsi="Times" w:cs="Times"/>
          <w:color w:val="333333"/>
          <w:sz w:val="24"/>
          <w:szCs w:val="24"/>
        </w:rPr>
        <w:t>i</w:t>
      </w:r>
      <w:proofErr w:type="spellEnd"/>
      <w:r w:rsidRPr="00B54AAE">
        <w:rPr>
          <w:rFonts w:ascii="Times" w:eastAsia="Times New Roman" w:hAnsi="Times" w:cs="Times"/>
          <w:color w:val="333333"/>
          <w:sz w:val="24"/>
          <w:szCs w:val="24"/>
        </w:rPr>
        <w:t xml:space="preserve">) of such section may only be paid to an originating site that is a site described in any of </w:t>
      </w:r>
      <w:proofErr w:type="spellStart"/>
      <w:r w:rsidRPr="00B54AAE">
        <w:rPr>
          <w:rFonts w:ascii="Times" w:eastAsia="Times New Roman" w:hAnsi="Times" w:cs="Times"/>
          <w:color w:val="333333"/>
          <w:sz w:val="24"/>
          <w:szCs w:val="24"/>
        </w:rPr>
        <w:t>subclauses</w:t>
      </w:r>
      <w:proofErr w:type="spellEnd"/>
      <w:r w:rsidRPr="00B54AAE">
        <w:rPr>
          <w:rFonts w:ascii="Times" w:eastAsia="Times New Roman" w:hAnsi="Times" w:cs="Times"/>
          <w:color w:val="333333"/>
          <w:sz w:val="24"/>
          <w:szCs w:val="24"/>
        </w:rPr>
        <w:t xml:space="preserve"> (I) through (IX) of paragraph (4)(C)(ii) of such section; and</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“(B) the restriction on use of a telephone described in the second sentence of section 410.78(a)(3) of title 42, Code of Federal Regulations (or a successor regulation), but only if such telephone has audio and video capabilities that are used for two-way, real-time interactive communication.”.</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lastRenderedPageBreak/>
        <w:t>(2) </w:t>
      </w:r>
      <w:r w:rsidRPr="00B54AAE">
        <w:rPr>
          <w:rFonts w:ascii="Times" w:eastAsia="Times New Roman" w:hAnsi="Times" w:cs="Times"/>
          <w:color w:val="333333"/>
          <w:sz w:val="26"/>
          <w:szCs w:val="26"/>
        </w:rPr>
        <w:t>D</w:t>
      </w:r>
      <w:r w:rsidRPr="00B54AAE">
        <w:rPr>
          <w:rFonts w:ascii="Times" w:eastAsia="Times New Roman" w:hAnsi="Times" w:cs="Times"/>
          <w:color w:val="333333"/>
          <w:sz w:val="24"/>
          <w:szCs w:val="24"/>
        </w:rPr>
        <w:t xml:space="preserve">EFINITION OF QUALIFIED PROVIDER.—Section 1135(g) of the Social Security Act </w:t>
      </w:r>
      <w:proofErr w:type="gramStart"/>
      <w:r w:rsidRPr="00B54AAE">
        <w:rPr>
          <w:rFonts w:ascii="Times" w:eastAsia="Times New Roman" w:hAnsi="Times" w:cs="Times"/>
          <w:color w:val="333333"/>
          <w:sz w:val="24"/>
          <w:szCs w:val="24"/>
        </w:rPr>
        <w:t>(</w:t>
      </w:r>
      <w:hyperlink r:id="rId9" w:history="1">
        <w:r w:rsidRPr="00B54AAE">
          <w:rPr>
            <w:rFonts w:ascii="Times" w:eastAsia="Times New Roman" w:hAnsi="Times" w:cs="Times"/>
            <w:color w:val="3366CC"/>
            <w:sz w:val="24"/>
            <w:szCs w:val="24"/>
            <w:u w:val="single"/>
          </w:rPr>
          <w:t>42 U.S.C. 1320b–5(g)</w:t>
        </w:r>
      </w:hyperlink>
      <w:r w:rsidRPr="00B54AAE">
        <w:rPr>
          <w:rFonts w:ascii="Times" w:eastAsia="Times New Roman" w:hAnsi="Times" w:cs="Times"/>
          <w:color w:val="333333"/>
          <w:sz w:val="24"/>
          <w:szCs w:val="24"/>
        </w:rPr>
        <w:t>)</w:t>
      </w:r>
      <w:proofErr w:type="gramEnd"/>
      <w:r w:rsidRPr="00B54AAE">
        <w:rPr>
          <w:rFonts w:ascii="Times" w:eastAsia="Times New Roman" w:hAnsi="Times" w:cs="Times"/>
          <w:color w:val="333333"/>
          <w:sz w:val="24"/>
          <w:szCs w:val="24"/>
        </w:rPr>
        <w:t xml:space="preserve"> is amended by adding at the end the following new paragraph:</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“(3) </w:t>
      </w:r>
      <w:r w:rsidRPr="00B54AAE">
        <w:rPr>
          <w:rFonts w:ascii="Times" w:eastAsia="Times New Roman" w:hAnsi="Times" w:cs="Times"/>
          <w:color w:val="333333"/>
          <w:sz w:val="26"/>
          <w:szCs w:val="26"/>
        </w:rPr>
        <w:t>Q</w:t>
      </w:r>
      <w:r w:rsidRPr="00B54AAE">
        <w:rPr>
          <w:rFonts w:ascii="Times" w:eastAsia="Times New Roman" w:hAnsi="Times" w:cs="Times"/>
          <w:color w:val="333333"/>
          <w:sz w:val="24"/>
          <w:szCs w:val="24"/>
        </w:rPr>
        <w:t>UALIFIED PROVIDER.—The term ‘qualified provider’ means, with respect a telehealth service (as defined in paragraph (4</w:t>
      </w:r>
      <w:proofErr w:type="gramStart"/>
      <w:r w:rsidRPr="00B54AAE">
        <w:rPr>
          <w:rFonts w:ascii="Times" w:eastAsia="Times New Roman" w:hAnsi="Times" w:cs="Times"/>
          <w:color w:val="333333"/>
          <w:sz w:val="24"/>
          <w:szCs w:val="24"/>
        </w:rPr>
        <w:t>)(</w:t>
      </w:r>
      <w:proofErr w:type="gramEnd"/>
      <w:r w:rsidRPr="00B54AAE">
        <w:rPr>
          <w:rFonts w:ascii="Times" w:eastAsia="Times New Roman" w:hAnsi="Times" w:cs="Times"/>
          <w:color w:val="333333"/>
          <w:sz w:val="24"/>
          <w:szCs w:val="24"/>
        </w:rPr>
        <w:t>F) of section 1834(m)) furnished to an individual, a physician or practitioner (as defined in paragraph (4)(D) or (4)(E), respectively, of such section) who—</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“(A) furnished to such individual an item or service for which payment was made under title XVIII during the 3-year period ending on the date such telehealth service was furnished; or</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 xml:space="preserve">“(B) </w:t>
      </w:r>
      <w:proofErr w:type="gramStart"/>
      <w:r w:rsidRPr="00B54AAE">
        <w:rPr>
          <w:rFonts w:ascii="Times" w:eastAsia="Times New Roman" w:hAnsi="Times" w:cs="Times"/>
          <w:color w:val="333333"/>
          <w:sz w:val="24"/>
          <w:szCs w:val="24"/>
        </w:rPr>
        <w:t>is</w:t>
      </w:r>
      <w:proofErr w:type="gramEnd"/>
      <w:r w:rsidRPr="00B54AAE">
        <w:rPr>
          <w:rFonts w:ascii="Times" w:eastAsia="Times New Roman" w:hAnsi="Times" w:cs="Times"/>
          <w:color w:val="333333"/>
          <w:sz w:val="24"/>
          <w:szCs w:val="24"/>
        </w:rPr>
        <w:t xml:space="preserve"> in the same practice (as determined by tax identification number) of a physician or practitioner (as so defined) who furnished such an item or service to such individual during such period.”.</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(3) </w:t>
      </w:r>
      <w:r w:rsidRPr="00B54AAE">
        <w:rPr>
          <w:rFonts w:ascii="Times" w:eastAsia="Times New Roman" w:hAnsi="Times" w:cs="Times"/>
          <w:color w:val="333333"/>
          <w:sz w:val="26"/>
          <w:szCs w:val="26"/>
        </w:rPr>
        <w:t>I</w:t>
      </w:r>
      <w:r w:rsidRPr="00B54AAE">
        <w:rPr>
          <w:rFonts w:ascii="Times" w:eastAsia="Times New Roman" w:hAnsi="Times" w:cs="Times"/>
          <w:color w:val="333333"/>
          <w:sz w:val="24"/>
          <w:szCs w:val="24"/>
        </w:rPr>
        <w:t>MPLEMENTATION.—</w:t>
      </w:r>
      <w:proofErr w:type="gramStart"/>
      <w:r w:rsidRPr="00B54AAE">
        <w:rPr>
          <w:rFonts w:ascii="Times" w:eastAsia="Times New Roman" w:hAnsi="Times" w:cs="Times"/>
          <w:color w:val="333333"/>
          <w:sz w:val="24"/>
          <w:szCs w:val="24"/>
        </w:rPr>
        <w:t>The</w:t>
      </w:r>
      <w:proofErr w:type="gramEnd"/>
      <w:r w:rsidRPr="00B54AAE">
        <w:rPr>
          <w:rFonts w:ascii="Times" w:eastAsia="Times New Roman" w:hAnsi="Times" w:cs="Times"/>
          <w:color w:val="333333"/>
          <w:sz w:val="24"/>
          <w:szCs w:val="24"/>
        </w:rPr>
        <w:t xml:space="preserve"> Secretary of Health and Human Services may implement the amendments made by this subsection by program instruction or otherwise.</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(b) </w:t>
      </w:r>
      <w:r w:rsidRPr="00B54AAE">
        <w:rPr>
          <w:rFonts w:ascii="Times" w:eastAsia="Times New Roman" w:hAnsi="Times" w:cs="Times"/>
          <w:smallCaps/>
          <w:color w:val="333333"/>
          <w:sz w:val="24"/>
          <w:szCs w:val="24"/>
        </w:rPr>
        <w:t>Clarification Of Definitions Of Emergency Area And Emergency Period</w:t>
      </w:r>
      <w:r w:rsidRPr="00B54AAE">
        <w:rPr>
          <w:rFonts w:ascii="Times" w:eastAsia="Times New Roman" w:hAnsi="Times" w:cs="Times"/>
          <w:color w:val="333333"/>
          <w:sz w:val="24"/>
          <w:szCs w:val="24"/>
        </w:rPr>
        <w:t xml:space="preserve">.—Paragraph (1) of section 1135(g) of the Social Security Act </w:t>
      </w:r>
      <w:proofErr w:type="gramStart"/>
      <w:r w:rsidRPr="00B54AAE">
        <w:rPr>
          <w:rFonts w:ascii="Times" w:eastAsia="Times New Roman" w:hAnsi="Times" w:cs="Times"/>
          <w:color w:val="333333"/>
          <w:sz w:val="24"/>
          <w:szCs w:val="24"/>
        </w:rPr>
        <w:t>(</w:t>
      </w:r>
      <w:hyperlink r:id="rId10" w:history="1">
        <w:r w:rsidRPr="00B54AAE">
          <w:rPr>
            <w:rFonts w:ascii="Times" w:eastAsia="Times New Roman" w:hAnsi="Times" w:cs="Times"/>
            <w:color w:val="3366CC"/>
            <w:sz w:val="24"/>
            <w:szCs w:val="24"/>
            <w:u w:val="single"/>
          </w:rPr>
          <w:t>42 U.S.C. 1320b–5(g)</w:t>
        </w:r>
      </w:hyperlink>
      <w:r w:rsidRPr="00B54AAE">
        <w:rPr>
          <w:rFonts w:ascii="Times" w:eastAsia="Times New Roman" w:hAnsi="Times" w:cs="Times"/>
          <w:color w:val="333333"/>
          <w:sz w:val="24"/>
          <w:szCs w:val="24"/>
        </w:rPr>
        <w:t>)</w:t>
      </w:r>
      <w:proofErr w:type="gramEnd"/>
      <w:r w:rsidRPr="00B54AAE">
        <w:rPr>
          <w:rFonts w:ascii="Times" w:eastAsia="Times New Roman" w:hAnsi="Times" w:cs="Times"/>
          <w:color w:val="333333"/>
          <w:sz w:val="24"/>
          <w:szCs w:val="24"/>
        </w:rPr>
        <w:t xml:space="preserve"> is amended to read as follows:</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“(1) </w:t>
      </w:r>
      <w:r w:rsidRPr="00B54AAE">
        <w:rPr>
          <w:rFonts w:ascii="Times" w:eastAsia="Times New Roman" w:hAnsi="Times" w:cs="Times"/>
          <w:color w:val="333333"/>
          <w:sz w:val="26"/>
          <w:szCs w:val="26"/>
        </w:rPr>
        <w:t>E</w:t>
      </w:r>
      <w:r w:rsidRPr="00B54AAE">
        <w:rPr>
          <w:rFonts w:ascii="Times" w:eastAsia="Times New Roman" w:hAnsi="Times" w:cs="Times"/>
          <w:color w:val="333333"/>
          <w:sz w:val="24"/>
          <w:szCs w:val="24"/>
        </w:rPr>
        <w:t>MERGENCY AREA; EMERGENCY PERIOD.—</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“(A) </w:t>
      </w:r>
      <w:r w:rsidRPr="00B54AAE">
        <w:rPr>
          <w:rFonts w:ascii="Times" w:eastAsia="Times New Roman" w:hAnsi="Times" w:cs="Times"/>
          <w:color w:val="333333"/>
          <w:sz w:val="26"/>
          <w:szCs w:val="26"/>
        </w:rPr>
        <w:t>I</w:t>
      </w:r>
      <w:r w:rsidRPr="00B54AAE">
        <w:rPr>
          <w:rFonts w:ascii="Times" w:eastAsia="Times New Roman" w:hAnsi="Times" w:cs="Times"/>
          <w:color w:val="333333"/>
          <w:sz w:val="24"/>
          <w:szCs w:val="24"/>
        </w:rPr>
        <w:t>N GENERAL.—Subject to subparagraph (B), an ‘emergency area’ is a geographical area in which, and an ‘emergency period’ is the period during which, there exists—</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w:t>
      </w:r>
      <w:proofErr w:type="spellStart"/>
      <w:r w:rsidRPr="00B54AAE">
        <w:rPr>
          <w:rFonts w:ascii="Times" w:eastAsia="Times New Roman" w:hAnsi="Times" w:cs="Times"/>
          <w:color w:val="333333"/>
          <w:sz w:val="24"/>
          <w:szCs w:val="24"/>
        </w:rPr>
        <w:t>i</w:t>
      </w:r>
      <w:proofErr w:type="spellEnd"/>
      <w:r w:rsidRPr="00B54AAE">
        <w:rPr>
          <w:rFonts w:ascii="Times" w:eastAsia="Times New Roman" w:hAnsi="Times" w:cs="Times"/>
          <w:color w:val="333333"/>
          <w:sz w:val="24"/>
          <w:szCs w:val="24"/>
        </w:rPr>
        <w:t>) an emergency or disaster declared by the President pursuant to the National Emergencies Act or the Robert T. Stafford Disaster Relief and Emergency Assistance Act; and</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“(ii) a public health emergency declared by the Secretary pursuant to section 319 of the Public Health Service Act.</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“(B) </w:t>
      </w:r>
      <w:r w:rsidRPr="00B54AAE">
        <w:rPr>
          <w:rFonts w:ascii="Times" w:eastAsia="Times New Roman" w:hAnsi="Times" w:cs="Times"/>
          <w:color w:val="333333"/>
          <w:sz w:val="26"/>
          <w:szCs w:val="26"/>
        </w:rPr>
        <w:t>E</w:t>
      </w:r>
      <w:r w:rsidRPr="00B54AAE">
        <w:rPr>
          <w:rFonts w:ascii="Times" w:eastAsia="Times New Roman" w:hAnsi="Times" w:cs="Times"/>
          <w:color w:val="333333"/>
          <w:sz w:val="24"/>
          <w:szCs w:val="24"/>
        </w:rPr>
        <w:t>XCEPTION.—For purposes of subsection (b</w:t>
      </w:r>
      <w:proofErr w:type="gramStart"/>
      <w:r w:rsidRPr="00B54AAE">
        <w:rPr>
          <w:rFonts w:ascii="Times" w:eastAsia="Times New Roman" w:hAnsi="Times" w:cs="Times"/>
          <w:color w:val="333333"/>
          <w:sz w:val="24"/>
          <w:szCs w:val="24"/>
        </w:rPr>
        <w:t>)(</w:t>
      </w:r>
      <w:proofErr w:type="gramEnd"/>
      <w:r w:rsidRPr="00B54AAE">
        <w:rPr>
          <w:rFonts w:ascii="Times" w:eastAsia="Times New Roman" w:hAnsi="Times" w:cs="Times"/>
          <w:color w:val="333333"/>
          <w:sz w:val="24"/>
          <w:szCs w:val="24"/>
        </w:rPr>
        <w:t>8), an ‘emergency area’ is a geographical area in which, and an ‘emergency period’ is the period during which, there exists—</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w:t>
      </w:r>
      <w:proofErr w:type="spellStart"/>
      <w:r w:rsidRPr="00B54AAE">
        <w:rPr>
          <w:rFonts w:ascii="Times" w:eastAsia="Times New Roman" w:hAnsi="Times" w:cs="Times"/>
          <w:color w:val="333333"/>
          <w:sz w:val="24"/>
          <w:szCs w:val="24"/>
        </w:rPr>
        <w:t>i</w:t>
      </w:r>
      <w:proofErr w:type="spellEnd"/>
      <w:r w:rsidRPr="00B54AAE">
        <w:rPr>
          <w:rFonts w:ascii="Times" w:eastAsia="Times New Roman" w:hAnsi="Times" w:cs="Times"/>
          <w:color w:val="333333"/>
          <w:sz w:val="24"/>
          <w:szCs w:val="24"/>
        </w:rPr>
        <w:t>) the public health emergency declared by the Secretary pursuant to section 319 of the Public Health Service Act on January 31, 2020, entitled ‘Determination that a Public Health Emergency Exists Nationwide as the Result of the 2019 Novel Coronavirus’; and</w:t>
      </w:r>
    </w:p>
    <w:p w:rsidR="00B54AAE" w:rsidRPr="00B54AAE" w:rsidRDefault="00B54AAE" w:rsidP="00B54AAE">
      <w:pPr>
        <w:shd w:val="clear" w:color="auto" w:fill="FFFFFF"/>
        <w:spacing w:before="100" w:beforeAutospacing="1" w:after="100" w:afterAutospacing="1" w:line="240" w:lineRule="auto"/>
        <w:ind w:firstLine="480"/>
        <w:rPr>
          <w:rFonts w:ascii="Times" w:eastAsia="Times New Roman" w:hAnsi="Times" w:cs="Times"/>
          <w:color w:val="333333"/>
          <w:sz w:val="24"/>
          <w:szCs w:val="24"/>
        </w:rPr>
      </w:pPr>
      <w:r w:rsidRPr="00B54AAE">
        <w:rPr>
          <w:rFonts w:ascii="Times" w:eastAsia="Times New Roman" w:hAnsi="Times" w:cs="Times"/>
          <w:color w:val="333333"/>
          <w:sz w:val="24"/>
          <w:szCs w:val="24"/>
        </w:rPr>
        <w:t xml:space="preserve">“(ii) </w:t>
      </w:r>
      <w:proofErr w:type="gramStart"/>
      <w:r w:rsidRPr="00B54AAE">
        <w:rPr>
          <w:rFonts w:ascii="Times" w:eastAsia="Times New Roman" w:hAnsi="Times" w:cs="Times"/>
          <w:color w:val="333333"/>
          <w:sz w:val="24"/>
          <w:szCs w:val="24"/>
        </w:rPr>
        <w:t>any</w:t>
      </w:r>
      <w:proofErr w:type="gramEnd"/>
      <w:r w:rsidRPr="00B54AAE">
        <w:rPr>
          <w:rFonts w:ascii="Times" w:eastAsia="Times New Roman" w:hAnsi="Times" w:cs="Times"/>
          <w:color w:val="333333"/>
          <w:sz w:val="24"/>
          <w:szCs w:val="24"/>
        </w:rPr>
        <w:t xml:space="preserve"> renewal of such declaration pursuant to such section 319.”.</w:t>
      </w:r>
    </w:p>
    <w:p w:rsidR="00B54AAE" w:rsidRDefault="00B54AAE"/>
    <w:p w:rsidR="00B54AAE" w:rsidRDefault="00B54AAE"/>
    <w:p w:rsidR="00B54AAE" w:rsidRDefault="00B54AAE"/>
    <w:p w:rsidR="00B54AAE" w:rsidRDefault="00B54AAE"/>
    <w:p w:rsidR="00470785" w:rsidRPr="00470785" w:rsidRDefault="00470785">
      <w:pPr>
        <w:rPr>
          <w:b/>
          <w:sz w:val="28"/>
          <w:szCs w:val="28"/>
        </w:rPr>
      </w:pPr>
      <w:r>
        <w:rPr>
          <w:b/>
          <w:sz w:val="28"/>
          <w:szCs w:val="28"/>
        </w:rPr>
        <w:t xml:space="preserve">CMS documents for </w:t>
      </w:r>
      <w:proofErr w:type="spellStart"/>
      <w:r>
        <w:rPr>
          <w:b/>
          <w:sz w:val="28"/>
          <w:szCs w:val="28"/>
        </w:rPr>
        <w:t>Covid</w:t>
      </w:r>
      <w:proofErr w:type="spellEnd"/>
      <w:r>
        <w:rPr>
          <w:b/>
          <w:sz w:val="28"/>
          <w:szCs w:val="28"/>
        </w:rPr>
        <w:t xml:space="preserve"> 19 reimbursement</w:t>
      </w:r>
    </w:p>
    <w:p w:rsidR="00B54AAE" w:rsidRDefault="00470785">
      <w:hyperlink r:id="rId11" w:history="1">
        <w:r>
          <w:rPr>
            <w:rStyle w:val="Hyperlink"/>
          </w:rPr>
          <w:t>https://www.cms.gov/files/document/03052020-medicare-covid-19-fact-sheet.pdf</w:t>
        </w:r>
      </w:hyperlink>
    </w:p>
    <w:p w:rsidR="00470785" w:rsidRDefault="00470785">
      <w:hyperlink r:id="rId12" w:history="1">
        <w:r>
          <w:rPr>
            <w:rStyle w:val="Hyperlink"/>
          </w:rPr>
          <w:t>https://www.cms.gov/files/document/03052020-individual-small-market-covid-19-fact-sheet.pdf</w:t>
        </w:r>
      </w:hyperlink>
    </w:p>
    <w:p w:rsidR="00470785" w:rsidRDefault="00470785">
      <w:hyperlink r:id="rId13" w:history="1">
        <w:r>
          <w:rPr>
            <w:rStyle w:val="Hyperlink"/>
          </w:rPr>
          <w:t>https://www.cms.gov/newsroom/press-releases/cms-develops-additional-code-coronavirus-lab-tests</w:t>
        </w:r>
      </w:hyperlink>
    </w:p>
    <w:p w:rsidR="00470785" w:rsidRDefault="00470785"/>
    <w:sectPr w:rsidR="00470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53C61"/>
    <w:multiLevelType w:val="multilevel"/>
    <w:tmpl w:val="3822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523EA"/>
    <w:multiLevelType w:val="multilevel"/>
    <w:tmpl w:val="DBD2B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B558E"/>
    <w:multiLevelType w:val="multilevel"/>
    <w:tmpl w:val="D320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632B53"/>
    <w:multiLevelType w:val="multilevel"/>
    <w:tmpl w:val="81F0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AE"/>
    <w:rsid w:val="002F5FF1"/>
    <w:rsid w:val="00327A34"/>
    <w:rsid w:val="00470785"/>
    <w:rsid w:val="007F0889"/>
    <w:rsid w:val="008200F7"/>
    <w:rsid w:val="00B3260F"/>
    <w:rsid w:val="00B54AAE"/>
    <w:rsid w:val="00D0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AAE"/>
    <w:rPr>
      <w:rFonts w:ascii="Tahoma" w:hAnsi="Tahoma" w:cs="Tahoma"/>
      <w:sz w:val="16"/>
      <w:szCs w:val="16"/>
    </w:rPr>
  </w:style>
  <w:style w:type="character" w:styleId="Hyperlink">
    <w:name w:val="Hyperlink"/>
    <w:basedOn w:val="DefaultParagraphFont"/>
    <w:uiPriority w:val="99"/>
    <w:semiHidden/>
    <w:unhideWhenUsed/>
    <w:rsid w:val="004707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AAE"/>
    <w:rPr>
      <w:rFonts w:ascii="Tahoma" w:hAnsi="Tahoma" w:cs="Tahoma"/>
      <w:sz w:val="16"/>
      <w:szCs w:val="16"/>
    </w:rPr>
  </w:style>
  <w:style w:type="character" w:styleId="Hyperlink">
    <w:name w:val="Hyperlink"/>
    <w:basedOn w:val="DefaultParagraphFont"/>
    <w:uiPriority w:val="99"/>
    <w:semiHidden/>
    <w:unhideWhenUsed/>
    <w:rsid w:val="00470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753034">
      <w:bodyDiv w:val="1"/>
      <w:marLeft w:val="0"/>
      <w:marRight w:val="0"/>
      <w:marTop w:val="0"/>
      <w:marBottom w:val="0"/>
      <w:divBdr>
        <w:top w:val="none" w:sz="0" w:space="0" w:color="auto"/>
        <w:left w:val="none" w:sz="0" w:space="0" w:color="auto"/>
        <w:bottom w:val="none" w:sz="0" w:space="0" w:color="auto"/>
        <w:right w:val="none" w:sz="0" w:space="0" w:color="auto"/>
      </w:divBdr>
      <w:divsChild>
        <w:div w:id="277378539">
          <w:marLeft w:val="0"/>
          <w:marRight w:val="0"/>
          <w:marTop w:val="0"/>
          <w:marBottom w:val="0"/>
          <w:divBdr>
            <w:top w:val="none" w:sz="0" w:space="0" w:color="auto"/>
            <w:left w:val="none" w:sz="0" w:space="0" w:color="auto"/>
            <w:bottom w:val="none" w:sz="0" w:space="0" w:color="auto"/>
            <w:right w:val="none" w:sz="0" w:space="0" w:color="auto"/>
          </w:divBdr>
        </w:div>
        <w:div w:id="570192950">
          <w:marLeft w:val="0"/>
          <w:marRight w:val="0"/>
          <w:marTop w:val="0"/>
          <w:marBottom w:val="0"/>
          <w:divBdr>
            <w:top w:val="none" w:sz="0" w:space="0" w:color="auto"/>
            <w:left w:val="none" w:sz="0" w:space="0" w:color="auto"/>
            <w:bottom w:val="none" w:sz="0" w:space="0" w:color="auto"/>
            <w:right w:val="none" w:sz="0" w:space="0" w:color="auto"/>
          </w:divBdr>
        </w:div>
        <w:div w:id="701327862">
          <w:marLeft w:val="0"/>
          <w:marRight w:val="0"/>
          <w:marTop w:val="0"/>
          <w:marBottom w:val="0"/>
          <w:divBdr>
            <w:top w:val="none" w:sz="0" w:space="0" w:color="auto"/>
            <w:left w:val="none" w:sz="0" w:space="0" w:color="auto"/>
            <w:bottom w:val="none" w:sz="0" w:space="0" w:color="auto"/>
            <w:right w:val="none" w:sz="0" w:space="0" w:color="auto"/>
          </w:divBdr>
        </w:div>
        <w:div w:id="943420026">
          <w:marLeft w:val="0"/>
          <w:marRight w:val="0"/>
          <w:marTop w:val="0"/>
          <w:marBottom w:val="0"/>
          <w:divBdr>
            <w:top w:val="none" w:sz="0" w:space="0" w:color="auto"/>
            <w:left w:val="none" w:sz="0" w:space="0" w:color="auto"/>
            <w:bottom w:val="none" w:sz="0" w:space="0" w:color="auto"/>
            <w:right w:val="none" w:sz="0" w:space="0" w:color="auto"/>
          </w:divBdr>
        </w:div>
        <w:div w:id="1020354424">
          <w:marLeft w:val="0"/>
          <w:marRight w:val="0"/>
          <w:marTop w:val="0"/>
          <w:marBottom w:val="0"/>
          <w:divBdr>
            <w:top w:val="none" w:sz="0" w:space="0" w:color="auto"/>
            <w:left w:val="none" w:sz="0" w:space="0" w:color="auto"/>
            <w:bottom w:val="none" w:sz="0" w:space="0" w:color="auto"/>
            <w:right w:val="none" w:sz="0" w:space="0" w:color="auto"/>
          </w:divBdr>
        </w:div>
        <w:div w:id="1145583358">
          <w:marLeft w:val="0"/>
          <w:marRight w:val="0"/>
          <w:marTop w:val="0"/>
          <w:marBottom w:val="0"/>
          <w:divBdr>
            <w:top w:val="none" w:sz="0" w:space="0" w:color="auto"/>
            <w:left w:val="none" w:sz="0" w:space="0" w:color="auto"/>
            <w:bottom w:val="none" w:sz="0" w:space="0" w:color="auto"/>
            <w:right w:val="none" w:sz="0" w:space="0" w:color="auto"/>
          </w:divBdr>
        </w:div>
        <w:div w:id="1471172817">
          <w:marLeft w:val="0"/>
          <w:marRight w:val="0"/>
          <w:marTop w:val="0"/>
          <w:marBottom w:val="0"/>
          <w:divBdr>
            <w:top w:val="none" w:sz="0" w:space="0" w:color="auto"/>
            <w:left w:val="none" w:sz="0" w:space="0" w:color="auto"/>
            <w:bottom w:val="none" w:sz="0" w:space="0" w:color="auto"/>
            <w:right w:val="none" w:sz="0" w:space="0" w:color="auto"/>
          </w:divBdr>
        </w:div>
        <w:div w:id="1672633618">
          <w:marLeft w:val="0"/>
          <w:marRight w:val="0"/>
          <w:marTop w:val="0"/>
          <w:marBottom w:val="0"/>
          <w:divBdr>
            <w:top w:val="none" w:sz="0" w:space="0" w:color="auto"/>
            <w:left w:val="none" w:sz="0" w:space="0" w:color="auto"/>
            <w:bottom w:val="none" w:sz="0" w:space="0" w:color="auto"/>
            <w:right w:val="none" w:sz="0" w:space="0" w:color="auto"/>
          </w:divBdr>
        </w:div>
        <w:div w:id="1981226581">
          <w:marLeft w:val="0"/>
          <w:marRight w:val="0"/>
          <w:marTop w:val="0"/>
          <w:marBottom w:val="0"/>
          <w:divBdr>
            <w:top w:val="none" w:sz="0" w:space="0" w:color="auto"/>
            <w:left w:val="none" w:sz="0" w:space="0" w:color="auto"/>
            <w:bottom w:val="none" w:sz="0" w:space="0" w:color="auto"/>
            <w:right w:val="none" w:sz="0" w:space="0" w:color="auto"/>
          </w:divBdr>
        </w:div>
        <w:div w:id="2008434370">
          <w:marLeft w:val="0"/>
          <w:marRight w:val="0"/>
          <w:marTop w:val="0"/>
          <w:marBottom w:val="0"/>
          <w:divBdr>
            <w:top w:val="none" w:sz="0" w:space="0" w:color="auto"/>
            <w:left w:val="none" w:sz="0" w:space="0" w:color="auto"/>
            <w:bottom w:val="none" w:sz="0" w:space="0" w:color="auto"/>
            <w:right w:val="none" w:sz="0" w:space="0" w:color="auto"/>
          </w:divBdr>
        </w:div>
      </w:divsChild>
    </w:div>
    <w:div w:id="1960644275">
      <w:bodyDiv w:val="1"/>
      <w:marLeft w:val="0"/>
      <w:marRight w:val="0"/>
      <w:marTop w:val="0"/>
      <w:marBottom w:val="0"/>
      <w:divBdr>
        <w:top w:val="none" w:sz="0" w:space="0" w:color="auto"/>
        <w:left w:val="none" w:sz="0" w:space="0" w:color="auto"/>
        <w:bottom w:val="none" w:sz="0" w:space="0" w:color="auto"/>
        <w:right w:val="none" w:sz="0" w:space="0" w:color="auto"/>
      </w:divBdr>
      <w:divsChild>
        <w:div w:id="42141549">
          <w:marLeft w:val="0"/>
          <w:marRight w:val="0"/>
          <w:marTop w:val="0"/>
          <w:marBottom w:val="0"/>
          <w:divBdr>
            <w:top w:val="none" w:sz="0" w:space="0" w:color="auto"/>
            <w:left w:val="none" w:sz="0" w:space="0" w:color="auto"/>
            <w:bottom w:val="none" w:sz="0" w:space="0" w:color="auto"/>
            <w:right w:val="none" w:sz="0" w:space="0" w:color="auto"/>
          </w:divBdr>
        </w:div>
        <w:div w:id="623315264">
          <w:marLeft w:val="0"/>
          <w:marRight w:val="0"/>
          <w:marTop w:val="0"/>
          <w:marBottom w:val="0"/>
          <w:divBdr>
            <w:top w:val="none" w:sz="0" w:space="0" w:color="auto"/>
            <w:left w:val="none" w:sz="0" w:space="0" w:color="auto"/>
            <w:bottom w:val="none" w:sz="0" w:space="0" w:color="auto"/>
            <w:right w:val="none" w:sz="0" w:space="0" w:color="auto"/>
          </w:divBdr>
          <w:divsChild>
            <w:div w:id="699159546">
              <w:marLeft w:val="0"/>
              <w:marRight w:val="0"/>
              <w:marTop w:val="0"/>
              <w:marBottom w:val="0"/>
              <w:divBdr>
                <w:top w:val="none" w:sz="0" w:space="0" w:color="auto"/>
                <w:left w:val="none" w:sz="0" w:space="0" w:color="auto"/>
                <w:bottom w:val="none" w:sz="0" w:space="0" w:color="auto"/>
                <w:right w:val="none" w:sz="0" w:space="0" w:color="auto"/>
              </w:divBdr>
            </w:div>
            <w:div w:id="714502873">
              <w:marLeft w:val="0"/>
              <w:marRight w:val="0"/>
              <w:marTop w:val="0"/>
              <w:marBottom w:val="0"/>
              <w:divBdr>
                <w:top w:val="none" w:sz="0" w:space="0" w:color="auto"/>
                <w:left w:val="none" w:sz="0" w:space="0" w:color="auto"/>
                <w:bottom w:val="none" w:sz="0" w:space="0" w:color="auto"/>
                <w:right w:val="none" w:sz="0" w:space="0" w:color="auto"/>
              </w:divBdr>
            </w:div>
            <w:div w:id="839850437">
              <w:marLeft w:val="0"/>
              <w:marRight w:val="0"/>
              <w:marTop w:val="0"/>
              <w:marBottom w:val="0"/>
              <w:divBdr>
                <w:top w:val="none" w:sz="0" w:space="0" w:color="auto"/>
                <w:left w:val="none" w:sz="0" w:space="0" w:color="auto"/>
                <w:bottom w:val="none" w:sz="0" w:space="0" w:color="auto"/>
                <w:right w:val="none" w:sz="0" w:space="0" w:color="auto"/>
              </w:divBdr>
            </w:div>
            <w:div w:id="863059817">
              <w:marLeft w:val="0"/>
              <w:marRight w:val="0"/>
              <w:marTop w:val="0"/>
              <w:marBottom w:val="0"/>
              <w:divBdr>
                <w:top w:val="none" w:sz="0" w:space="0" w:color="auto"/>
                <w:left w:val="none" w:sz="0" w:space="0" w:color="auto"/>
                <w:bottom w:val="none" w:sz="0" w:space="0" w:color="auto"/>
                <w:right w:val="none" w:sz="0" w:space="0" w:color="auto"/>
              </w:divBdr>
            </w:div>
            <w:div w:id="979456938">
              <w:marLeft w:val="0"/>
              <w:marRight w:val="0"/>
              <w:marTop w:val="0"/>
              <w:marBottom w:val="0"/>
              <w:divBdr>
                <w:top w:val="none" w:sz="0" w:space="0" w:color="auto"/>
                <w:left w:val="none" w:sz="0" w:space="0" w:color="auto"/>
                <w:bottom w:val="none" w:sz="0" w:space="0" w:color="auto"/>
                <w:right w:val="none" w:sz="0" w:space="0" w:color="auto"/>
              </w:divBdr>
              <w:divsChild>
                <w:div w:id="629169004">
                  <w:marLeft w:val="0"/>
                  <w:marRight w:val="0"/>
                  <w:marTop w:val="0"/>
                  <w:marBottom w:val="0"/>
                  <w:divBdr>
                    <w:top w:val="none" w:sz="0" w:space="0" w:color="auto"/>
                    <w:left w:val="none" w:sz="0" w:space="0" w:color="auto"/>
                    <w:bottom w:val="none" w:sz="0" w:space="0" w:color="auto"/>
                    <w:right w:val="none" w:sz="0" w:space="0" w:color="auto"/>
                  </w:divBdr>
                </w:div>
                <w:div w:id="1346591859">
                  <w:marLeft w:val="0"/>
                  <w:marRight w:val="0"/>
                  <w:marTop w:val="0"/>
                  <w:marBottom w:val="0"/>
                  <w:divBdr>
                    <w:top w:val="none" w:sz="0" w:space="0" w:color="auto"/>
                    <w:left w:val="none" w:sz="0" w:space="0" w:color="auto"/>
                    <w:bottom w:val="none" w:sz="0" w:space="0" w:color="auto"/>
                    <w:right w:val="none" w:sz="0" w:space="0" w:color="auto"/>
                  </w:divBdr>
                </w:div>
                <w:div w:id="1745369707">
                  <w:marLeft w:val="0"/>
                  <w:marRight w:val="0"/>
                  <w:marTop w:val="0"/>
                  <w:marBottom w:val="0"/>
                  <w:divBdr>
                    <w:top w:val="none" w:sz="0" w:space="0" w:color="auto"/>
                    <w:left w:val="none" w:sz="0" w:space="0" w:color="auto"/>
                    <w:bottom w:val="none" w:sz="0" w:space="0" w:color="auto"/>
                    <w:right w:val="none" w:sz="0" w:space="0" w:color="auto"/>
                  </w:divBdr>
                </w:div>
              </w:divsChild>
            </w:div>
            <w:div w:id="1782996696">
              <w:marLeft w:val="0"/>
              <w:marRight w:val="0"/>
              <w:marTop w:val="0"/>
              <w:marBottom w:val="0"/>
              <w:divBdr>
                <w:top w:val="none" w:sz="0" w:space="0" w:color="auto"/>
                <w:left w:val="none" w:sz="0" w:space="0" w:color="auto"/>
                <w:bottom w:val="none" w:sz="0" w:space="0" w:color="auto"/>
                <w:right w:val="none" w:sz="0" w:space="0" w:color="auto"/>
              </w:divBdr>
            </w:div>
            <w:div w:id="1804303170">
              <w:marLeft w:val="0"/>
              <w:marRight w:val="0"/>
              <w:marTop w:val="0"/>
              <w:marBottom w:val="0"/>
              <w:divBdr>
                <w:top w:val="none" w:sz="0" w:space="0" w:color="auto"/>
                <w:left w:val="none" w:sz="0" w:space="0" w:color="auto"/>
                <w:bottom w:val="none" w:sz="0" w:space="0" w:color="auto"/>
                <w:right w:val="none" w:sz="0" w:space="0" w:color="auto"/>
              </w:divBdr>
              <w:divsChild>
                <w:div w:id="1583027931">
                  <w:marLeft w:val="0"/>
                  <w:marRight w:val="0"/>
                  <w:marTop w:val="0"/>
                  <w:marBottom w:val="0"/>
                  <w:divBdr>
                    <w:top w:val="none" w:sz="0" w:space="0" w:color="auto"/>
                    <w:left w:val="none" w:sz="0" w:space="0" w:color="auto"/>
                    <w:bottom w:val="none" w:sz="0" w:space="0" w:color="auto"/>
                    <w:right w:val="none" w:sz="0" w:space="0" w:color="auto"/>
                  </w:divBdr>
                </w:div>
              </w:divsChild>
            </w:div>
            <w:div w:id="2006399466">
              <w:marLeft w:val="0"/>
              <w:marRight w:val="0"/>
              <w:marTop w:val="0"/>
              <w:marBottom w:val="0"/>
              <w:divBdr>
                <w:top w:val="none" w:sz="0" w:space="0" w:color="auto"/>
                <w:left w:val="none" w:sz="0" w:space="0" w:color="auto"/>
                <w:bottom w:val="none" w:sz="0" w:space="0" w:color="auto"/>
                <w:right w:val="none" w:sz="0" w:space="0" w:color="auto"/>
              </w:divBdr>
              <w:divsChild>
                <w:div w:id="16302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4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quicksearch/get.plx?title=42&amp;section=1320b-5" TargetMode="External"/><Relationship Id="rId13" Type="http://schemas.openxmlformats.org/officeDocument/2006/relationships/hyperlink" Target="https://www.cms.gov/newsroom/press-releases/cms-develops-additional-code-coronavirus-lab-tests" TargetMode="External"/><Relationship Id="rId3" Type="http://schemas.openxmlformats.org/officeDocument/2006/relationships/styles" Target="styles.xml"/><Relationship Id="rId7" Type="http://schemas.openxmlformats.org/officeDocument/2006/relationships/hyperlink" Target="https://www.congress.gov/bill/116th-congress/house-bill/6074/text" TargetMode="External"/><Relationship Id="rId12" Type="http://schemas.openxmlformats.org/officeDocument/2006/relationships/hyperlink" Target="https://www.cms.gov/files/document/03052020-individual-small-market-covid-19-fact-shee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files/document/03052020-medicare-covid-19-fact-sheet.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uscode.house.gov/quicksearch/get.plx?title=42&amp;section=1320b-5" TargetMode="External"/><Relationship Id="rId4" Type="http://schemas.microsoft.com/office/2007/relationships/stylesWithEffects" Target="stylesWithEffects.xml"/><Relationship Id="rId9" Type="http://schemas.openxmlformats.org/officeDocument/2006/relationships/hyperlink" Target="http://uscode.house.gov/quicksearch/get.plx?title=42&amp;section=1320b-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DCB1-500A-49EC-8E72-D45666EF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Britain</dc:creator>
  <cp:lastModifiedBy>Catherine Britain</cp:lastModifiedBy>
  <cp:revision>3</cp:revision>
  <dcterms:created xsi:type="dcterms:W3CDTF">2020-03-09T15:51:00Z</dcterms:created>
  <dcterms:modified xsi:type="dcterms:W3CDTF">2020-03-09T18:43:00Z</dcterms:modified>
</cp:coreProperties>
</file>